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F1AF4A1">
      <w:pPr>
        <w:pStyle w:val="2"/>
        <w:bidi w:val="0"/>
        <w:rPr>
          <w:rFonts w:hint="eastAsia"/>
          <w:lang w:val="en-US" w:eastAsia="zh-CN"/>
        </w:rPr>
      </w:pPr>
      <w:r>
        <w:rPr>
          <w:rFonts w:hint="eastAsia"/>
          <w:lang w:val="en-US" w:eastAsia="zh-CN"/>
        </w:rPr>
        <w:t>南雄年鉴2019</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9A34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7886167">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659755" cy="7733665"/>
                  <wp:effectExtent l="0" t="0" r="17145" b="635"/>
                  <wp:docPr id="1" name="图片 1" descr="南雄年鉴2019_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南雄年鉴2019_封面"/>
                          <pic:cNvPicPr>
                            <a:picLocks noChangeAspect="1"/>
                          </pic:cNvPicPr>
                        </pic:nvPicPr>
                        <pic:blipFill>
                          <a:blip r:embed="rId12"/>
                          <a:stretch>
                            <a:fillRect/>
                          </a:stretch>
                        </pic:blipFill>
                        <pic:spPr>
                          <a:xfrm>
                            <a:off x="0" y="0"/>
                            <a:ext cx="5659755" cy="7733665"/>
                          </a:xfrm>
                          <a:prstGeom prst="rect">
                            <a:avLst/>
                          </a:prstGeom>
                        </pic:spPr>
                      </pic:pic>
                    </a:graphicData>
                  </a:graphic>
                </wp:inline>
              </w:drawing>
            </w:r>
          </w:p>
        </w:tc>
      </w:tr>
    </w:tbl>
    <w:p w14:paraId="2B0BC2B5">
      <w:pPr>
        <w:pStyle w:val="2"/>
        <w:bidi w:val="0"/>
        <w:rPr>
          <w:rFonts w:hint="eastAsia"/>
          <w:lang w:val="en-US" w:eastAsia="zh-CN"/>
        </w:rPr>
      </w:pPr>
      <w:r>
        <w:rPr>
          <w:rFonts w:hint="eastAsia"/>
          <w:lang w:val="en-US" w:eastAsia="zh-CN"/>
        </w:rPr>
        <w:t>《南雄年鉴（2019）》编纂委员会</w:t>
      </w:r>
    </w:p>
    <w:p w14:paraId="352755F4">
      <w:pPr>
        <w:rPr>
          <w:rFonts w:hint="default"/>
          <w:lang w:val="en-US" w:eastAsia="zh-CN"/>
        </w:rPr>
      </w:pPr>
      <w:r>
        <w:rPr>
          <w:rFonts w:hint="default"/>
          <w:b/>
          <w:bCs/>
          <w:lang w:val="en-US" w:eastAsia="zh-CN"/>
        </w:rPr>
        <w:t>主</w:t>
      </w:r>
      <w:r>
        <w:rPr>
          <w:rFonts w:hint="eastAsia"/>
          <w:b/>
          <w:bCs/>
          <w:lang w:val="en-US" w:eastAsia="zh-CN"/>
        </w:rPr>
        <w:t xml:space="preserve">    </w:t>
      </w:r>
      <w:r>
        <w:rPr>
          <w:rFonts w:hint="default"/>
          <w:b/>
          <w:bCs/>
          <w:lang w:val="en-US" w:eastAsia="zh-CN"/>
        </w:rPr>
        <w:t>任：</w:t>
      </w:r>
      <w:r>
        <w:rPr>
          <w:rFonts w:hint="default"/>
          <w:lang w:val="en-US" w:eastAsia="zh-CN"/>
        </w:rPr>
        <w:t>王碧安（市委书记）</w:t>
      </w:r>
    </w:p>
    <w:p w14:paraId="064CED23">
      <w:pPr>
        <w:rPr>
          <w:rFonts w:hint="default"/>
          <w:lang w:val="en-US" w:eastAsia="zh-CN"/>
        </w:rPr>
      </w:pPr>
      <w:r>
        <w:rPr>
          <w:rFonts w:hint="default"/>
          <w:b/>
          <w:bCs/>
          <w:lang w:val="en-US" w:eastAsia="zh-CN"/>
        </w:rPr>
        <w:t>执行主任：</w:t>
      </w:r>
      <w:r>
        <w:rPr>
          <w:rFonts w:hint="default"/>
          <w:lang w:val="en-US" w:eastAsia="zh-CN"/>
        </w:rPr>
        <w:t>林小龙（市委副书记、市长）</w:t>
      </w:r>
    </w:p>
    <w:p w14:paraId="6B337D41">
      <w:pPr>
        <w:rPr>
          <w:rFonts w:hint="default"/>
          <w:lang w:val="en-US" w:eastAsia="zh-CN"/>
        </w:rPr>
      </w:pPr>
      <w:r>
        <w:rPr>
          <w:rFonts w:hint="default"/>
          <w:b/>
          <w:bCs/>
          <w:lang w:val="en-US" w:eastAsia="zh-CN"/>
        </w:rPr>
        <w:t>副</w:t>
      </w:r>
      <w:r>
        <w:rPr>
          <w:rFonts w:hint="eastAsia"/>
          <w:b/>
          <w:bCs/>
          <w:lang w:val="en-US" w:eastAsia="zh-CN"/>
        </w:rPr>
        <w:t xml:space="preserve"> </w:t>
      </w:r>
      <w:r>
        <w:rPr>
          <w:rFonts w:hint="default"/>
          <w:b/>
          <w:bCs/>
          <w:lang w:val="en-US" w:eastAsia="zh-CN"/>
        </w:rPr>
        <w:t>主</w:t>
      </w:r>
      <w:r>
        <w:rPr>
          <w:rFonts w:hint="eastAsia"/>
          <w:b/>
          <w:bCs/>
          <w:lang w:val="en-US" w:eastAsia="zh-CN"/>
        </w:rPr>
        <w:t xml:space="preserve"> </w:t>
      </w:r>
      <w:r>
        <w:rPr>
          <w:rFonts w:hint="default"/>
          <w:b/>
          <w:bCs/>
          <w:lang w:val="en-US" w:eastAsia="zh-CN"/>
        </w:rPr>
        <w:t>任：</w:t>
      </w:r>
      <w:r>
        <w:rPr>
          <w:rFonts w:hint="default"/>
          <w:lang w:val="en-US" w:eastAsia="zh-CN"/>
        </w:rPr>
        <w:t>曾文辉（市委常委、市委办主任）</w:t>
      </w:r>
    </w:p>
    <w:p w14:paraId="363CEC24">
      <w:pPr>
        <w:ind w:leftChars="500"/>
        <w:rPr>
          <w:rFonts w:hint="default"/>
          <w:lang w:val="en-US" w:eastAsia="zh-CN"/>
        </w:rPr>
      </w:pPr>
      <w:r>
        <w:rPr>
          <w:rFonts w:hint="default"/>
          <w:lang w:val="en-US" w:eastAsia="zh-CN"/>
        </w:rPr>
        <w:t>王友华（副市长）</w:t>
      </w:r>
    </w:p>
    <w:p w14:paraId="311838F5">
      <w:pPr>
        <w:rPr>
          <w:rFonts w:hint="default"/>
          <w:lang w:val="en-US" w:eastAsia="zh-CN"/>
        </w:rPr>
      </w:pPr>
      <w:r>
        <w:rPr>
          <w:rFonts w:hint="default"/>
          <w:b/>
          <w:bCs/>
          <w:lang w:val="en-US" w:eastAsia="zh-CN"/>
        </w:rPr>
        <w:t>成</w:t>
      </w:r>
      <w:r>
        <w:rPr>
          <w:rFonts w:hint="eastAsia"/>
          <w:b/>
          <w:bCs/>
          <w:lang w:val="en-US" w:eastAsia="zh-CN"/>
        </w:rPr>
        <w:t xml:space="preserve">    </w:t>
      </w:r>
      <w:r>
        <w:rPr>
          <w:rFonts w:hint="default"/>
          <w:b/>
          <w:bCs/>
          <w:lang w:val="en-US" w:eastAsia="zh-CN"/>
        </w:rPr>
        <w:t>员：</w:t>
      </w:r>
      <w:r>
        <w:rPr>
          <w:rFonts w:hint="default"/>
          <w:lang w:val="en-US" w:eastAsia="zh-CN"/>
        </w:rPr>
        <w:t>（以姓氏笔划为序）</w:t>
      </w:r>
    </w:p>
    <w:p w14:paraId="08A97233">
      <w:pPr>
        <w:ind w:leftChars="500"/>
        <w:rPr>
          <w:rFonts w:hint="default"/>
          <w:lang w:val="en-US" w:eastAsia="zh-CN"/>
        </w:rPr>
      </w:pPr>
      <w:r>
        <w:rPr>
          <w:rFonts w:hint="default"/>
          <w:lang w:val="en-US" w:eastAsia="zh-CN"/>
        </w:rPr>
        <w:t>马新路</w:t>
      </w:r>
      <w:r>
        <w:rPr>
          <w:rFonts w:hint="eastAsia"/>
          <w:lang w:val="en-US" w:eastAsia="zh-CN"/>
        </w:rPr>
        <w:t xml:space="preserve">   </w:t>
      </w:r>
      <w:r>
        <w:rPr>
          <w:rFonts w:hint="default"/>
          <w:lang w:val="en-US" w:eastAsia="zh-CN"/>
        </w:rPr>
        <w:t>王婉霞</w:t>
      </w:r>
      <w:r>
        <w:rPr>
          <w:rFonts w:hint="eastAsia"/>
          <w:lang w:val="en-US" w:eastAsia="zh-CN"/>
        </w:rPr>
        <w:t xml:space="preserve">   </w:t>
      </w:r>
      <w:r>
        <w:rPr>
          <w:rFonts w:hint="default"/>
          <w:lang w:val="en-US" w:eastAsia="zh-CN"/>
        </w:rPr>
        <w:t>邓昌忠</w:t>
      </w:r>
      <w:r>
        <w:rPr>
          <w:rFonts w:hint="eastAsia"/>
          <w:lang w:val="en-US" w:eastAsia="zh-CN"/>
        </w:rPr>
        <w:t xml:space="preserve">   </w:t>
      </w:r>
      <w:r>
        <w:rPr>
          <w:rFonts w:hint="default"/>
          <w:lang w:val="en-US" w:eastAsia="zh-CN"/>
        </w:rPr>
        <w:t>邓建明</w:t>
      </w:r>
      <w:r>
        <w:rPr>
          <w:rFonts w:hint="eastAsia"/>
          <w:lang w:val="en-US" w:eastAsia="zh-CN"/>
        </w:rPr>
        <w:t xml:space="preserve">   </w:t>
      </w:r>
      <w:r>
        <w:rPr>
          <w:rFonts w:hint="default"/>
          <w:lang w:val="en-US" w:eastAsia="zh-CN"/>
        </w:rPr>
        <w:t>孔令平</w:t>
      </w:r>
      <w:r>
        <w:rPr>
          <w:rFonts w:hint="eastAsia"/>
          <w:lang w:val="en-US" w:eastAsia="zh-CN"/>
        </w:rPr>
        <w:t xml:space="preserve">   </w:t>
      </w:r>
      <w:r>
        <w:rPr>
          <w:rFonts w:hint="default"/>
          <w:lang w:val="en-US" w:eastAsia="zh-CN"/>
        </w:rPr>
        <w:t>孔建国</w:t>
      </w:r>
      <w:r>
        <w:rPr>
          <w:rFonts w:hint="eastAsia"/>
          <w:lang w:val="en-US" w:eastAsia="zh-CN"/>
        </w:rPr>
        <w:t xml:space="preserve">   </w:t>
      </w:r>
      <w:r>
        <w:rPr>
          <w:rFonts w:hint="default"/>
          <w:lang w:val="en-US" w:eastAsia="zh-CN"/>
        </w:rPr>
        <w:t>叶世明</w:t>
      </w:r>
      <w:r>
        <w:rPr>
          <w:rFonts w:hint="eastAsia"/>
          <w:lang w:val="en-US" w:eastAsia="zh-CN"/>
        </w:rPr>
        <w:t xml:space="preserve">   </w:t>
      </w:r>
      <w:r>
        <w:rPr>
          <w:rFonts w:hint="default"/>
          <w:lang w:val="en-US" w:eastAsia="zh-CN"/>
        </w:rPr>
        <w:t>叶贤银</w:t>
      </w:r>
    </w:p>
    <w:p w14:paraId="69424707">
      <w:pPr>
        <w:ind w:leftChars="500"/>
        <w:rPr>
          <w:rFonts w:hint="default"/>
          <w:lang w:val="en-US" w:eastAsia="zh-CN"/>
        </w:rPr>
      </w:pPr>
      <w:r>
        <w:rPr>
          <w:rFonts w:hint="default"/>
          <w:lang w:val="en-US" w:eastAsia="zh-CN"/>
        </w:rPr>
        <w:t>卢锦华</w:t>
      </w:r>
      <w:r>
        <w:rPr>
          <w:rFonts w:hint="eastAsia"/>
          <w:lang w:val="en-US" w:eastAsia="zh-CN"/>
        </w:rPr>
        <w:t xml:space="preserve">   </w:t>
      </w:r>
      <w:r>
        <w:rPr>
          <w:rFonts w:hint="default"/>
          <w:lang w:val="en-US" w:eastAsia="zh-CN"/>
        </w:rPr>
        <w:t>田文斌</w:t>
      </w:r>
      <w:r>
        <w:rPr>
          <w:rFonts w:hint="eastAsia"/>
          <w:lang w:val="en-US" w:eastAsia="zh-CN"/>
        </w:rPr>
        <w:t xml:space="preserve">   </w:t>
      </w:r>
      <w:r>
        <w:rPr>
          <w:rFonts w:hint="default"/>
          <w:lang w:val="en-US" w:eastAsia="zh-CN"/>
        </w:rPr>
        <w:t>朱运通</w:t>
      </w:r>
      <w:r>
        <w:rPr>
          <w:rFonts w:hint="eastAsia"/>
          <w:lang w:val="en-US" w:eastAsia="zh-CN"/>
        </w:rPr>
        <w:t xml:space="preserve">   </w:t>
      </w:r>
      <w:r>
        <w:rPr>
          <w:rFonts w:hint="default"/>
          <w:lang w:val="en-US" w:eastAsia="zh-CN"/>
        </w:rPr>
        <w:t>朱定球</w:t>
      </w:r>
      <w:r>
        <w:rPr>
          <w:rFonts w:hint="eastAsia"/>
          <w:lang w:val="en-US" w:eastAsia="zh-CN"/>
        </w:rPr>
        <w:t xml:space="preserve">   </w:t>
      </w:r>
      <w:r>
        <w:rPr>
          <w:rFonts w:hint="default"/>
          <w:lang w:val="en-US" w:eastAsia="zh-CN"/>
        </w:rPr>
        <w:t>朱春华</w:t>
      </w:r>
      <w:r>
        <w:rPr>
          <w:rFonts w:hint="eastAsia"/>
          <w:lang w:val="en-US" w:eastAsia="zh-CN"/>
        </w:rPr>
        <w:t xml:space="preserve">   </w:t>
      </w:r>
      <w:r>
        <w:rPr>
          <w:rFonts w:hint="default"/>
          <w:lang w:val="en-US" w:eastAsia="zh-CN"/>
        </w:rPr>
        <w:t>刘</w:t>
      </w:r>
      <w:r>
        <w:rPr>
          <w:rFonts w:hint="eastAsia"/>
          <w:lang w:val="en-US" w:eastAsia="zh-CN"/>
        </w:rPr>
        <w:t xml:space="preserve">  </w:t>
      </w:r>
      <w:r>
        <w:rPr>
          <w:rFonts w:hint="default"/>
          <w:lang w:val="en-US" w:eastAsia="zh-CN"/>
        </w:rPr>
        <w:t>飞</w:t>
      </w:r>
      <w:r>
        <w:rPr>
          <w:rFonts w:hint="eastAsia"/>
          <w:lang w:val="en-US" w:eastAsia="zh-CN"/>
        </w:rPr>
        <w:t xml:space="preserve">   </w:t>
      </w:r>
      <w:r>
        <w:rPr>
          <w:rFonts w:hint="default"/>
          <w:lang w:val="en-US" w:eastAsia="zh-CN"/>
        </w:rPr>
        <w:t>刘小弘</w:t>
      </w:r>
      <w:r>
        <w:rPr>
          <w:rFonts w:hint="eastAsia"/>
          <w:lang w:val="en-US" w:eastAsia="zh-CN"/>
        </w:rPr>
        <w:t xml:space="preserve">   </w:t>
      </w:r>
      <w:r>
        <w:rPr>
          <w:rFonts w:hint="default"/>
          <w:lang w:val="en-US" w:eastAsia="zh-CN"/>
        </w:rPr>
        <w:t>刘先辉</w:t>
      </w:r>
    </w:p>
    <w:p w14:paraId="0F2451C8">
      <w:pPr>
        <w:ind w:leftChars="500"/>
        <w:rPr>
          <w:rFonts w:hint="default"/>
          <w:lang w:val="en-US" w:eastAsia="zh-CN"/>
        </w:rPr>
      </w:pPr>
      <w:r>
        <w:rPr>
          <w:rFonts w:hint="default"/>
          <w:lang w:val="en-US" w:eastAsia="zh-CN"/>
        </w:rPr>
        <w:t>刘宏伟</w:t>
      </w:r>
      <w:r>
        <w:rPr>
          <w:rFonts w:hint="eastAsia"/>
          <w:lang w:val="en-US" w:eastAsia="zh-CN"/>
        </w:rPr>
        <w:t xml:space="preserve">   </w:t>
      </w:r>
      <w:r>
        <w:rPr>
          <w:rFonts w:hint="default"/>
          <w:lang w:val="en-US" w:eastAsia="zh-CN"/>
        </w:rPr>
        <w:t>刘奕琛</w:t>
      </w:r>
      <w:r>
        <w:rPr>
          <w:rFonts w:hint="eastAsia"/>
          <w:lang w:val="en-US" w:eastAsia="zh-CN"/>
        </w:rPr>
        <w:t xml:space="preserve">   </w:t>
      </w:r>
      <w:r>
        <w:rPr>
          <w:rFonts w:hint="default"/>
          <w:lang w:val="en-US" w:eastAsia="zh-CN"/>
        </w:rPr>
        <w:t>刘辉林</w:t>
      </w:r>
      <w:r>
        <w:rPr>
          <w:rFonts w:hint="eastAsia"/>
          <w:lang w:val="en-US" w:eastAsia="zh-CN"/>
        </w:rPr>
        <w:t xml:space="preserve">   </w:t>
      </w:r>
      <w:r>
        <w:rPr>
          <w:rFonts w:hint="default"/>
          <w:lang w:val="en-US" w:eastAsia="zh-CN"/>
        </w:rPr>
        <w:t>刘景通</w:t>
      </w:r>
      <w:r>
        <w:rPr>
          <w:rFonts w:hint="eastAsia"/>
          <w:lang w:val="en-US" w:eastAsia="zh-CN"/>
        </w:rPr>
        <w:t xml:space="preserve">   </w:t>
      </w:r>
      <w:r>
        <w:rPr>
          <w:rFonts w:hint="default"/>
          <w:lang w:val="en-US" w:eastAsia="zh-CN"/>
        </w:rPr>
        <w:t>杨志峰</w:t>
      </w:r>
      <w:r>
        <w:rPr>
          <w:rFonts w:hint="eastAsia"/>
          <w:lang w:val="en-US" w:eastAsia="zh-CN"/>
        </w:rPr>
        <w:t xml:space="preserve">   </w:t>
      </w:r>
      <w:r>
        <w:rPr>
          <w:rFonts w:hint="default"/>
          <w:lang w:val="en-US" w:eastAsia="zh-CN"/>
        </w:rPr>
        <w:t>杨</w:t>
      </w:r>
      <w:r>
        <w:rPr>
          <w:rFonts w:hint="eastAsia"/>
          <w:lang w:val="en-US" w:eastAsia="zh-CN"/>
        </w:rPr>
        <w:t xml:space="preserve">  珂   </w:t>
      </w:r>
      <w:r>
        <w:rPr>
          <w:rFonts w:hint="default"/>
          <w:lang w:val="en-US" w:eastAsia="zh-CN"/>
        </w:rPr>
        <w:t>苏德椿</w:t>
      </w:r>
      <w:r>
        <w:rPr>
          <w:rFonts w:hint="eastAsia"/>
          <w:lang w:val="en-US" w:eastAsia="zh-CN"/>
        </w:rPr>
        <w:t xml:space="preserve">   </w:t>
      </w:r>
      <w:r>
        <w:rPr>
          <w:rFonts w:hint="default"/>
          <w:lang w:val="en-US" w:eastAsia="zh-CN"/>
        </w:rPr>
        <w:t>李平生</w:t>
      </w:r>
    </w:p>
    <w:p w14:paraId="7EFAD84B">
      <w:pPr>
        <w:ind w:leftChars="500"/>
        <w:rPr>
          <w:rFonts w:hint="default"/>
          <w:lang w:val="en-US" w:eastAsia="zh-CN"/>
        </w:rPr>
      </w:pPr>
      <w:r>
        <w:rPr>
          <w:rFonts w:hint="default"/>
          <w:lang w:val="en-US" w:eastAsia="zh-CN"/>
        </w:rPr>
        <w:t>李世勤</w:t>
      </w:r>
      <w:r>
        <w:rPr>
          <w:rFonts w:hint="eastAsia"/>
          <w:lang w:val="en-US" w:eastAsia="zh-CN"/>
        </w:rPr>
        <w:t xml:space="preserve">   </w:t>
      </w:r>
      <w:r>
        <w:rPr>
          <w:rFonts w:hint="default"/>
          <w:lang w:val="en-US" w:eastAsia="zh-CN"/>
        </w:rPr>
        <w:t>李指源</w:t>
      </w:r>
      <w:r>
        <w:rPr>
          <w:rFonts w:hint="eastAsia"/>
          <w:lang w:val="en-US" w:eastAsia="zh-CN"/>
        </w:rPr>
        <w:t xml:space="preserve">   </w:t>
      </w:r>
      <w:r>
        <w:rPr>
          <w:rFonts w:hint="default"/>
          <w:lang w:val="en-US" w:eastAsia="zh-CN"/>
        </w:rPr>
        <w:t>李泉</w:t>
      </w:r>
      <w:r>
        <w:rPr>
          <w:rFonts w:hint="eastAsia"/>
          <w:lang w:val="en-US" w:eastAsia="zh-CN"/>
        </w:rPr>
        <w:t xml:space="preserve">洲   </w:t>
      </w:r>
      <w:r>
        <w:rPr>
          <w:rFonts w:hint="default"/>
          <w:lang w:val="en-US" w:eastAsia="zh-CN"/>
        </w:rPr>
        <w:t>李</w:t>
      </w:r>
      <w:r>
        <w:rPr>
          <w:rFonts w:hint="eastAsia"/>
          <w:lang w:val="en-US" w:eastAsia="zh-CN"/>
        </w:rPr>
        <w:t xml:space="preserve">  </w:t>
      </w:r>
      <w:r>
        <w:rPr>
          <w:rFonts w:hint="default"/>
          <w:lang w:val="en-US" w:eastAsia="zh-CN"/>
        </w:rPr>
        <w:t>祥</w:t>
      </w:r>
      <w:r>
        <w:rPr>
          <w:rFonts w:hint="eastAsia"/>
          <w:lang w:val="en-US" w:eastAsia="zh-CN"/>
        </w:rPr>
        <w:t xml:space="preserve">   </w:t>
      </w:r>
      <w:r>
        <w:rPr>
          <w:rFonts w:hint="default"/>
          <w:lang w:val="en-US" w:eastAsia="zh-CN"/>
        </w:rPr>
        <w:t>李锦华</w:t>
      </w:r>
      <w:r>
        <w:rPr>
          <w:rFonts w:hint="eastAsia"/>
          <w:lang w:val="en-US" w:eastAsia="zh-CN"/>
        </w:rPr>
        <w:t xml:space="preserve">   </w:t>
      </w:r>
      <w:r>
        <w:rPr>
          <w:rFonts w:hint="default"/>
          <w:lang w:val="en-US" w:eastAsia="zh-CN"/>
        </w:rPr>
        <w:t>严桂龙</w:t>
      </w:r>
      <w:r>
        <w:rPr>
          <w:rFonts w:hint="eastAsia"/>
          <w:lang w:val="en-US" w:eastAsia="zh-CN"/>
        </w:rPr>
        <w:t xml:space="preserve">   </w:t>
      </w:r>
      <w:r>
        <w:rPr>
          <w:rFonts w:hint="default"/>
          <w:lang w:val="en-US" w:eastAsia="zh-CN"/>
        </w:rPr>
        <w:t>肖兴麟</w:t>
      </w:r>
      <w:r>
        <w:rPr>
          <w:rFonts w:hint="eastAsia"/>
          <w:lang w:val="en-US" w:eastAsia="zh-CN"/>
        </w:rPr>
        <w:t xml:space="preserve">   </w:t>
      </w:r>
      <w:r>
        <w:rPr>
          <w:rFonts w:hint="default"/>
          <w:lang w:val="en-US" w:eastAsia="zh-CN"/>
        </w:rPr>
        <w:t>肖国军</w:t>
      </w:r>
    </w:p>
    <w:p w14:paraId="008FE50B">
      <w:pPr>
        <w:ind w:leftChars="500"/>
        <w:rPr>
          <w:rFonts w:hint="default"/>
          <w:lang w:val="en-US" w:eastAsia="zh-CN"/>
        </w:rPr>
      </w:pPr>
      <w:r>
        <w:rPr>
          <w:rFonts w:hint="default"/>
          <w:lang w:val="en-US" w:eastAsia="zh-CN"/>
        </w:rPr>
        <w:t>肖清志</w:t>
      </w:r>
      <w:r>
        <w:rPr>
          <w:rFonts w:hint="eastAsia"/>
          <w:lang w:val="en-US" w:eastAsia="zh-CN"/>
        </w:rPr>
        <w:t xml:space="preserve">   </w:t>
      </w:r>
      <w:r>
        <w:rPr>
          <w:rFonts w:hint="default"/>
          <w:lang w:val="en-US" w:eastAsia="zh-CN"/>
        </w:rPr>
        <w:t>吴少华</w:t>
      </w:r>
      <w:r>
        <w:rPr>
          <w:rFonts w:hint="eastAsia"/>
          <w:lang w:val="en-US" w:eastAsia="zh-CN"/>
        </w:rPr>
        <w:t xml:space="preserve">   </w:t>
      </w:r>
      <w:r>
        <w:rPr>
          <w:rFonts w:hint="default"/>
          <w:lang w:val="en-US" w:eastAsia="zh-CN"/>
        </w:rPr>
        <w:t>何少波</w:t>
      </w:r>
      <w:r>
        <w:rPr>
          <w:rFonts w:hint="eastAsia"/>
          <w:lang w:val="en-US" w:eastAsia="zh-CN"/>
        </w:rPr>
        <w:t xml:space="preserve">   </w:t>
      </w:r>
      <w:r>
        <w:rPr>
          <w:rFonts w:hint="default"/>
          <w:lang w:val="en-US" w:eastAsia="zh-CN"/>
        </w:rPr>
        <w:t>何明华</w:t>
      </w:r>
      <w:r>
        <w:rPr>
          <w:rFonts w:hint="eastAsia"/>
          <w:lang w:val="en-US" w:eastAsia="zh-CN"/>
        </w:rPr>
        <w:t xml:space="preserve">   </w:t>
      </w:r>
      <w:r>
        <w:rPr>
          <w:rFonts w:hint="default"/>
          <w:lang w:val="en-US" w:eastAsia="zh-CN"/>
        </w:rPr>
        <w:t>邱万茹</w:t>
      </w:r>
      <w:r>
        <w:rPr>
          <w:rFonts w:hint="eastAsia"/>
          <w:lang w:val="en-US" w:eastAsia="zh-CN"/>
        </w:rPr>
        <w:t xml:space="preserve">   </w:t>
      </w:r>
      <w:r>
        <w:rPr>
          <w:rFonts w:hint="default"/>
          <w:lang w:val="en-US" w:eastAsia="zh-CN"/>
        </w:rPr>
        <w:t>沈学安</w:t>
      </w:r>
      <w:r>
        <w:rPr>
          <w:rFonts w:hint="eastAsia"/>
          <w:lang w:val="en-US" w:eastAsia="zh-CN"/>
        </w:rPr>
        <w:t xml:space="preserve">   </w:t>
      </w:r>
      <w:r>
        <w:rPr>
          <w:rFonts w:hint="default"/>
          <w:lang w:val="en-US" w:eastAsia="zh-CN"/>
        </w:rPr>
        <w:t>沈青松</w:t>
      </w:r>
      <w:r>
        <w:rPr>
          <w:rFonts w:hint="eastAsia"/>
          <w:lang w:val="en-US" w:eastAsia="zh-CN"/>
        </w:rPr>
        <w:t xml:space="preserve">   </w:t>
      </w:r>
      <w:r>
        <w:rPr>
          <w:rFonts w:hint="default"/>
          <w:lang w:val="en-US" w:eastAsia="zh-CN"/>
        </w:rPr>
        <w:t>张红华</w:t>
      </w:r>
    </w:p>
    <w:p w14:paraId="1D81E71E">
      <w:pPr>
        <w:ind w:leftChars="500"/>
        <w:rPr>
          <w:rFonts w:hint="default"/>
          <w:lang w:val="en-US" w:eastAsia="zh-CN"/>
        </w:rPr>
      </w:pPr>
      <w:r>
        <w:rPr>
          <w:rFonts w:hint="default"/>
          <w:lang w:val="en-US" w:eastAsia="zh-CN"/>
        </w:rPr>
        <w:t>张学文</w:t>
      </w:r>
      <w:r>
        <w:rPr>
          <w:rFonts w:hint="eastAsia"/>
          <w:lang w:val="en-US" w:eastAsia="zh-CN"/>
        </w:rPr>
        <w:t xml:space="preserve">   </w:t>
      </w:r>
      <w:r>
        <w:rPr>
          <w:rFonts w:hint="default"/>
          <w:lang w:val="en-US" w:eastAsia="zh-CN"/>
        </w:rPr>
        <w:t>张政平</w:t>
      </w:r>
      <w:r>
        <w:rPr>
          <w:rFonts w:hint="eastAsia"/>
          <w:lang w:val="en-US" w:eastAsia="zh-CN"/>
        </w:rPr>
        <w:t xml:space="preserve">   </w:t>
      </w:r>
      <w:r>
        <w:rPr>
          <w:rFonts w:hint="default"/>
          <w:lang w:val="en-US" w:eastAsia="zh-CN"/>
        </w:rPr>
        <w:t>张祥兰</w:t>
      </w:r>
      <w:r>
        <w:rPr>
          <w:rFonts w:hint="eastAsia"/>
          <w:lang w:val="en-US" w:eastAsia="zh-CN"/>
        </w:rPr>
        <w:t xml:space="preserve">   </w:t>
      </w:r>
      <w:r>
        <w:rPr>
          <w:rFonts w:hint="default"/>
          <w:lang w:val="en-US" w:eastAsia="zh-CN"/>
        </w:rPr>
        <w:t>张福明</w:t>
      </w:r>
      <w:r>
        <w:rPr>
          <w:rFonts w:hint="eastAsia"/>
          <w:lang w:val="en-US" w:eastAsia="zh-CN"/>
        </w:rPr>
        <w:t xml:space="preserve">   </w:t>
      </w:r>
      <w:r>
        <w:rPr>
          <w:rFonts w:hint="default"/>
          <w:lang w:val="en-US" w:eastAsia="zh-CN"/>
        </w:rPr>
        <w:t>陈文波</w:t>
      </w:r>
      <w:r>
        <w:rPr>
          <w:rFonts w:hint="eastAsia"/>
          <w:lang w:val="en-US" w:eastAsia="zh-CN"/>
        </w:rPr>
        <w:t xml:space="preserve">   </w:t>
      </w:r>
      <w:r>
        <w:rPr>
          <w:rFonts w:hint="default"/>
          <w:lang w:val="en-US" w:eastAsia="zh-CN"/>
        </w:rPr>
        <w:t>陈华林</w:t>
      </w:r>
      <w:r>
        <w:rPr>
          <w:rFonts w:hint="eastAsia"/>
          <w:lang w:val="en-US" w:eastAsia="zh-CN"/>
        </w:rPr>
        <w:t xml:space="preserve">   </w:t>
      </w:r>
      <w:r>
        <w:rPr>
          <w:rFonts w:hint="default"/>
          <w:lang w:val="en-US" w:eastAsia="zh-CN"/>
        </w:rPr>
        <w:t>陈志雄</w:t>
      </w:r>
      <w:r>
        <w:rPr>
          <w:rFonts w:hint="eastAsia"/>
          <w:lang w:val="en-US" w:eastAsia="zh-CN"/>
        </w:rPr>
        <w:t xml:space="preserve">   </w:t>
      </w:r>
      <w:r>
        <w:rPr>
          <w:rFonts w:hint="default"/>
          <w:lang w:val="en-US" w:eastAsia="zh-CN"/>
        </w:rPr>
        <w:t>林</w:t>
      </w:r>
      <w:r>
        <w:rPr>
          <w:rFonts w:hint="eastAsia"/>
          <w:lang w:val="en-US" w:eastAsia="zh-CN"/>
        </w:rPr>
        <w:t xml:space="preserve">  </w:t>
      </w:r>
      <w:r>
        <w:rPr>
          <w:rFonts w:hint="default"/>
          <w:lang w:val="en-US" w:eastAsia="zh-CN"/>
        </w:rPr>
        <w:t>生</w:t>
      </w:r>
    </w:p>
    <w:p w14:paraId="6AAC2FA5">
      <w:pPr>
        <w:ind w:leftChars="500"/>
        <w:rPr>
          <w:rFonts w:hint="default"/>
          <w:lang w:val="en-US" w:eastAsia="zh-CN"/>
        </w:rPr>
      </w:pPr>
      <w:r>
        <w:rPr>
          <w:rFonts w:hint="default"/>
          <w:lang w:val="en-US" w:eastAsia="zh-CN"/>
        </w:rPr>
        <w:t>林绍发</w:t>
      </w:r>
      <w:r>
        <w:rPr>
          <w:rFonts w:hint="eastAsia"/>
          <w:lang w:val="en-US" w:eastAsia="zh-CN"/>
        </w:rPr>
        <w:t xml:space="preserve">   </w:t>
      </w:r>
      <w:r>
        <w:rPr>
          <w:rFonts w:hint="default"/>
          <w:lang w:val="en-US" w:eastAsia="zh-CN"/>
        </w:rPr>
        <w:t>胡</w:t>
      </w:r>
      <w:r>
        <w:rPr>
          <w:rFonts w:hint="eastAsia"/>
          <w:lang w:val="en-US" w:eastAsia="zh-CN"/>
        </w:rPr>
        <w:t xml:space="preserve">  </w:t>
      </w:r>
      <w:r>
        <w:rPr>
          <w:rFonts w:hint="default"/>
          <w:lang w:val="en-US" w:eastAsia="zh-CN"/>
        </w:rPr>
        <w:t>辉</w:t>
      </w:r>
      <w:r>
        <w:rPr>
          <w:rFonts w:hint="eastAsia"/>
          <w:lang w:val="en-US" w:eastAsia="zh-CN"/>
        </w:rPr>
        <w:t xml:space="preserve">   </w:t>
      </w:r>
      <w:r>
        <w:rPr>
          <w:rFonts w:hint="default"/>
          <w:lang w:val="en-US" w:eastAsia="zh-CN"/>
        </w:rPr>
        <w:t>钟祥文</w:t>
      </w:r>
      <w:r>
        <w:rPr>
          <w:rFonts w:hint="eastAsia"/>
          <w:lang w:val="en-US" w:eastAsia="zh-CN"/>
        </w:rPr>
        <w:t xml:space="preserve">   </w:t>
      </w:r>
      <w:r>
        <w:rPr>
          <w:rFonts w:hint="default"/>
          <w:lang w:val="en-US" w:eastAsia="zh-CN"/>
        </w:rPr>
        <w:t>钟</w:t>
      </w:r>
      <w:r>
        <w:rPr>
          <w:rFonts w:hint="eastAsia"/>
          <w:lang w:val="en-US" w:eastAsia="zh-CN"/>
        </w:rPr>
        <w:t>筱</w:t>
      </w:r>
      <w:r>
        <w:rPr>
          <w:rFonts w:hint="default"/>
          <w:lang w:val="en-US" w:eastAsia="zh-CN"/>
        </w:rPr>
        <w:t>蓉</w:t>
      </w:r>
      <w:r>
        <w:rPr>
          <w:rFonts w:hint="eastAsia"/>
          <w:lang w:val="en-US" w:eastAsia="zh-CN"/>
        </w:rPr>
        <w:t xml:space="preserve">   </w:t>
      </w:r>
      <w:r>
        <w:rPr>
          <w:rFonts w:hint="default"/>
          <w:lang w:val="en-US" w:eastAsia="zh-CN"/>
        </w:rPr>
        <w:t>姚远华</w:t>
      </w:r>
      <w:r>
        <w:rPr>
          <w:rFonts w:hint="eastAsia"/>
          <w:lang w:val="en-US" w:eastAsia="zh-CN"/>
        </w:rPr>
        <w:t xml:space="preserve">   </w:t>
      </w:r>
      <w:r>
        <w:rPr>
          <w:rFonts w:hint="default"/>
          <w:lang w:val="en-US" w:eastAsia="zh-CN"/>
        </w:rPr>
        <w:t>徐小红</w:t>
      </w:r>
      <w:r>
        <w:rPr>
          <w:rFonts w:hint="eastAsia"/>
          <w:lang w:val="en-US" w:eastAsia="zh-CN"/>
        </w:rPr>
        <w:t xml:space="preserve">   </w:t>
      </w:r>
      <w:r>
        <w:rPr>
          <w:rFonts w:hint="default"/>
          <w:lang w:val="en-US" w:eastAsia="zh-CN"/>
        </w:rPr>
        <w:t>徐学智</w:t>
      </w:r>
      <w:r>
        <w:rPr>
          <w:rFonts w:hint="eastAsia"/>
          <w:lang w:val="en-US" w:eastAsia="zh-CN"/>
        </w:rPr>
        <w:t xml:space="preserve">   </w:t>
      </w:r>
      <w:r>
        <w:rPr>
          <w:rFonts w:hint="default"/>
          <w:lang w:val="en-US" w:eastAsia="zh-CN"/>
        </w:rPr>
        <w:t>郭秀丽</w:t>
      </w:r>
    </w:p>
    <w:p w14:paraId="30BF611B">
      <w:pPr>
        <w:ind w:leftChars="500"/>
        <w:rPr>
          <w:rFonts w:hint="default"/>
          <w:lang w:val="en-US" w:eastAsia="zh-CN"/>
        </w:rPr>
      </w:pPr>
      <w:r>
        <w:rPr>
          <w:rFonts w:hint="default"/>
          <w:lang w:val="en-US" w:eastAsia="zh-CN"/>
        </w:rPr>
        <w:t>涂运发</w:t>
      </w:r>
      <w:r>
        <w:rPr>
          <w:rFonts w:hint="eastAsia"/>
          <w:lang w:val="en-US" w:eastAsia="zh-CN"/>
        </w:rPr>
        <w:t xml:space="preserve">   </w:t>
      </w:r>
      <w:r>
        <w:rPr>
          <w:rFonts w:hint="default"/>
          <w:lang w:val="en-US" w:eastAsia="zh-CN"/>
        </w:rPr>
        <w:t>黄恢伟</w:t>
      </w:r>
      <w:r>
        <w:rPr>
          <w:rFonts w:hint="eastAsia"/>
          <w:lang w:val="en-US" w:eastAsia="zh-CN"/>
        </w:rPr>
        <w:t xml:space="preserve">   </w:t>
      </w:r>
      <w:r>
        <w:rPr>
          <w:rFonts w:hint="default"/>
          <w:lang w:val="en-US" w:eastAsia="zh-CN"/>
        </w:rPr>
        <w:t>彭刚建</w:t>
      </w:r>
      <w:r>
        <w:rPr>
          <w:rFonts w:hint="eastAsia"/>
          <w:lang w:val="en-US" w:eastAsia="zh-CN"/>
        </w:rPr>
        <w:t xml:space="preserve">   </w:t>
      </w:r>
      <w:r>
        <w:rPr>
          <w:rFonts w:hint="default"/>
          <w:lang w:val="en-US" w:eastAsia="zh-CN"/>
        </w:rPr>
        <w:t>董书海</w:t>
      </w:r>
      <w:r>
        <w:rPr>
          <w:rFonts w:hint="eastAsia"/>
          <w:lang w:val="en-US" w:eastAsia="zh-CN"/>
        </w:rPr>
        <w:t xml:space="preserve">   </w:t>
      </w:r>
      <w:r>
        <w:rPr>
          <w:rFonts w:hint="default"/>
          <w:lang w:val="en-US" w:eastAsia="zh-CN"/>
        </w:rPr>
        <w:t>董雪英</w:t>
      </w:r>
      <w:r>
        <w:rPr>
          <w:rFonts w:hint="eastAsia"/>
          <w:lang w:val="en-US" w:eastAsia="zh-CN"/>
        </w:rPr>
        <w:t xml:space="preserve">   </w:t>
      </w:r>
      <w:r>
        <w:rPr>
          <w:rFonts w:hint="default"/>
          <w:lang w:val="en-US" w:eastAsia="zh-CN"/>
        </w:rPr>
        <w:t>曾</w:t>
      </w:r>
      <w:r>
        <w:rPr>
          <w:rFonts w:hint="eastAsia"/>
          <w:lang w:val="en-US" w:eastAsia="zh-CN"/>
        </w:rPr>
        <w:t xml:space="preserve">  </w:t>
      </w:r>
      <w:r>
        <w:rPr>
          <w:rFonts w:hint="default"/>
          <w:lang w:val="en-US" w:eastAsia="zh-CN"/>
        </w:rPr>
        <w:t>光</w:t>
      </w:r>
      <w:r>
        <w:rPr>
          <w:rFonts w:hint="eastAsia"/>
          <w:lang w:val="en-US" w:eastAsia="zh-CN"/>
        </w:rPr>
        <w:t xml:space="preserve">   </w:t>
      </w:r>
      <w:r>
        <w:rPr>
          <w:rFonts w:hint="default"/>
          <w:lang w:val="en-US" w:eastAsia="zh-CN"/>
        </w:rPr>
        <w:t>谢兆锋</w:t>
      </w:r>
      <w:r>
        <w:rPr>
          <w:rFonts w:hint="eastAsia"/>
          <w:lang w:val="en-US" w:eastAsia="zh-CN"/>
        </w:rPr>
        <w:t xml:space="preserve">   </w:t>
      </w:r>
      <w:r>
        <w:rPr>
          <w:rFonts w:hint="default"/>
          <w:lang w:val="en-US" w:eastAsia="zh-CN"/>
        </w:rPr>
        <w:t>蔡先锋</w:t>
      </w:r>
    </w:p>
    <w:p w14:paraId="7941A9CE">
      <w:pPr>
        <w:ind w:leftChars="500"/>
        <w:rPr>
          <w:rFonts w:hint="default"/>
          <w:lang w:val="en-US" w:eastAsia="zh-CN"/>
        </w:rPr>
      </w:pPr>
      <w:r>
        <w:rPr>
          <w:rFonts w:hint="default"/>
          <w:lang w:val="en-US" w:eastAsia="zh-CN"/>
        </w:rPr>
        <w:t>廖声华</w:t>
      </w:r>
      <w:r>
        <w:rPr>
          <w:rFonts w:hint="eastAsia"/>
          <w:lang w:val="en-US" w:eastAsia="zh-CN"/>
        </w:rPr>
        <w:t xml:space="preserve">   </w:t>
      </w:r>
      <w:r>
        <w:rPr>
          <w:rFonts w:hint="default"/>
          <w:lang w:val="en-US" w:eastAsia="zh-CN"/>
        </w:rPr>
        <w:t>谭福志</w:t>
      </w:r>
      <w:r>
        <w:rPr>
          <w:rFonts w:hint="eastAsia"/>
          <w:lang w:val="en-US" w:eastAsia="zh-CN"/>
        </w:rPr>
        <w:t xml:space="preserve">   </w:t>
      </w:r>
      <w:r>
        <w:rPr>
          <w:rFonts w:hint="default"/>
          <w:lang w:val="en-US" w:eastAsia="zh-CN"/>
        </w:rPr>
        <w:t>戴国成</w:t>
      </w:r>
    </w:p>
    <w:p w14:paraId="73040379">
      <w:pPr>
        <w:pStyle w:val="2"/>
        <w:bidi w:val="0"/>
        <w:rPr>
          <w:rFonts w:hint="default"/>
          <w:lang w:val="en-US" w:eastAsia="zh-CN"/>
        </w:rPr>
      </w:pPr>
      <w:r>
        <w:rPr>
          <w:rFonts w:hint="default"/>
          <w:lang w:val="en-US" w:eastAsia="zh-CN"/>
        </w:rPr>
        <w:t>《南雄年鉴（2019）》编辑部</w:t>
      </w:r>
    </w:p>
    <w:p w14:paraId="1AAF1B66">
      <w:pPr>
        <w:rPr>
          <w:rFonts w:hint="default"/>
          <w:lang w:val="en-US" w:eastAsia="zh-CN"/>
        </w:rPr>
      </w:pPr>
      <w:r>
        <w:rPr>
          <w:rFonts w:hint="default"/>
          <w:b/>
          <w:bCs/>
          <w:lang w:val="en-US" w:eastAsia="zh-CN"/>
        </w:rPr>
        <w:t>主</w:t>
      </w:r>
      <w:r>
        <w:rPr>
          <w:rFonts w:hint="eastAsia"/>
          <w:b/>
          <w:bCs/>
          <w:lang w:val="en-US" w:eastAsia="zh-CN"/>
        </w:rPr>
        <w:t xml:space="preserve">    </w:t>
      </w:r>
      <w:r>
        <w:rPr>
          <w:rFonts w:hint="default"/>
          <w:b/>
          <w:bCs/>
          <w:lang w:val="en-US" w:eastAsia="zh-CN"/>
        </w:rPr>
        <w:t>编：</w:t>
      </w:r>
      <w:r>
        <w:rPr>
          <w:rFonts w:hint="default"/>
          <w:lang w:val="en-US" w:eastAsia="zh-CN"/>
        </w:rPr>
        <w:t>肖兴麟</w:t>
      </w:r>
    </w:p>
    <w:p w14:paraId="5F6D389F">
      <w:pPr>
        <w:rPr>
          <w:rFonts w:hint="default"/>
          <w:lang w:val="en-US" w:eastAsia="zh-CN"/>
        </w:rPr>
      </w:pPr>
      <w:r>
        <w:rPr>
          <w:rFonts w:hint="default"/>
          <w:b/>
          <w:bCs/>
          <w:lang w:val="en-US" w:eastAsia="zh-CN"/>
        </w:rPr>
        <w:t>执行主编：</w:t>
      </w:r>
      <w:r>
        <w:rPr>
          <w:rFonts w:hint="default"/>
          <w:lang w:val="en-US" w:eastAsia="zh-CN"/>
        </w:rPr>
        <w:t>周晓飞</w:t>
      </w:r>
    </w:p>
    <w:p w14:paraId="7A3ED00C">
      <w:pPr>
        <w:rPr>
          <w:rFonts w:hint="default"/>
          <w:lang w:val="en-US" w:eastAsia="zh-CN"/>
        </w:rPr>
      </w:pPr>
      <w:r>
        <w:rPr>
          <w:rFonts w:hint="default"/>
          <w:b/>
          <w:bCs/>
          <w:lang w:val="en-US" w:eastAsia="zh-CN"/>
        </w:rPr>
        <w:t>编</w:t>
      </w:r>
      <w:r>
        <w:rPr>
          <w:rFonts w:hint="eastAsia"/>
          <w:b/>
          <w:bCs/>
          <w:lang w:val="en-US" w:eastAsia="zh-CN"/>
        </w:rPr>
        <w:t xml:space="preserve">    </w:t>
      </w:r>
      <w:r>
        <w:rPr>
          <w:rFonts w:hint="default"/>
          <w:b/>
          <w:bCs/>
          <w:lang w:val="en-US" w:eastAsia="zh-CN"/>
        </w:rPr>
        <w:t>辑：</w:t>
      </w:r>
      <w:r>
        <w:rPr>
          <w:rFonts w:hint="default"/>
          <w:lang w:val="en-US" w:eastAsia="zh-CN"/>
        </w:rPr>
        <w:t>肖兴麟</w:t>
      </w:r>
      <w:r>
        <w:rPr>
          <w:rFonts w:hint="eastAsia"/>
          <w:lang w:val="en-US" w:eastAsia="zh-CN"/>
        </w:rPr>
        <w:t xml:space="preserve">   </w:t>
      </w:r>
      <w:r>
        <w:rPr>
          <w:rFonts w:hint="default"/>
          <w:lang w:val="en-US" w:eastAsia="zh-CN"/>
        </w:rPr>
        <w:t>陈</w:t>
      </w:r>
      <w:r>
        <w:rPr>
          <w:rFonts w:hint="eastAsia"/>
          <w:lang w:val="en-US" w:eastAsia="zh-CN"/>
        </w:rPr>
        <w:t xml:space="preserve">  </w:t>
      </w:r>
      <w:r>
        <w:rPr>
          <w:rFonts w:hint="default"/>
          <w:lang w:val="en-US" w:eastAsia="zh-CN"/>
        </w:rPr>
        <w:t>烈</w:t>
      </w:r>
      <w:r>
        <w:rPr>
          <w:rFonts w:hint="eastAsia"/>
          <w:lang w:val="en-US" w:eastAsia="zh-CN"/>
        </w:rPr>
        <w:t xml:space="preserve">   </w:t>
      </w:r>
      <w:r>
        <w:rPr>
          <w:rFonts w:hint="default"/>
          <w:lang w:val="en-US" w:eastAsia="zh-CN"/>
        </w:rPr>
        <w:t>庄素梅</w:t>
      </w:r>
      <w:r>
        <w:rPr>
          <w:rFonts w:hint="eastAsia"/>
          <w:lang w:val="en-US" w:eastAsia="zh-CN"/>
        </w:rPr>
        <w:t xml:space="preserve">   </w:t>
      </w:r>
      <w:r>
        <w:rPr>
          <w:rFonts w:hint="default"/>
          <w:lang w:val="en-US" w:eastAsia="zh-CN"/>
        </w:rPr>
        <w:t>周晓飞</w:t>
      </w:r>
      <w:r>
        <w:rPr>
          <w:rFonts w:hint="eastAsia"/>
          <w:lang w:val="en-US" w:eastAsia="zh-CN"/>
        </w:rPr>
        <w:t xml:space="preserve">   </w:t>
      </w:r>
      <w:r>
        <w:rPr>
          <w:rFonts w:hint="default"/>
          <w:lang w:val="en-US" w:eastAsia="zh-CN"/>
        </w:rPr>
        <w:t>谢庆花</w:t>
      </w:r>
      <w:r>
        <w:rPr>
          <w:rFonts w:hint="eastAsia"/>
          <w:lang w:val="en-US" w:eastAsia="zh-CN"/>
        </w:rPr>
        <w:t xml:space="preserve">   </w:t>
      </w:r>
      <w:r>
        <w:rPr>
          <w:rFonts w:hint="default"/>
          <w:lang w:val="en-US" w:eastAsia="zh-CN"/>
        </w:rPr>
        <w:t>冯任明</w:t>
      </w:r>
      <w:r>
        <w:rPr>
          <w:rFonts w:hint="eastAsia"/>
          <w:lang w:val="en-US" w:eastAsia="zh-CN"/>
        </w:rPr>
        <w:t xml:space="preserve">   </w:t>
      </w:r>
      <w:r>
        <w:rPr>
          <w:rFonts w:hint="default"/>
          <w:lang w:val="en-US" w:eastAsia="zh-CN"/>
        </w:rPr>
        <w:t>聂金光</w:t>
      </w:r>
    </w:p>
    <w:p w14:paraId="5A9257BC">
      <w:pPr>
        <w:pStyle w:val="2"/>
        <w:bidi w:val="0"/>
        <w:rPr>
          <w:rFonts w:hint="default"/>
          <w:lang w:val="en-US" w:eastAsia="zh-CN"/>
        </w:rPr>
      </w:pPr>
      <w:r>
        <w:rPr>
          <w:rFonts w:hint="default"/>
          <w:lang w:val="en-US" w:eastAsia="zh-CN"/>
        </w:rPr>
        <w:t>编辑说明</w:t>
      </w:r>
    </w:p>
    <w:p w14:paraId="61F86007">
      <w:pPr>
        <w:rPr>
          <w:rFonts w:hint="default"/>
          <w:lang w:val="en-US" w:eastAsia="zh-CN"/>
        </w:rPr>
      </w:pPr>
      <w:r>
        <w:rPr>
          <w:rFonts w:hint="default"/>
          <w:lang w:val="en-US" w:eastAsia="zh-CN"/>
        </w:rPr>
        <w:t>一、《南雄年鉴》是由中共南雄市委、南雄市人民政府主办，南雄市史志办公室组织实施，各承编单位共同参与编纂的地方综合性年鉴。《南雄年鉴》以马克思列宁主义、毛泽东思想、邓小平理论、“三个代表”重要思想、科学发展观和习近平新时代中国特色社会主义思想为指导，坚持辩证唯物主义和历史唯物主义的立场、观点和方法，全面、系统地载录本行政区域年度内自然、政治、经济、文化、社会等方面的基本情况，为南雄市年度资料性文献。</w:t>
      </w:r>
    </w:p>
    <w:p w14:paraId="7E5CEE5B">
      <w:pPr>
        <w:rPr>
          <w:rFonts w:hint="default"/>
          <w:lang w:val="en-US" w:eastAsia="zh-CN"/>
        </w:rPr>
      </w:pPr>
      <w:r>
        <w:rPr>
          <w:rFonts w:hint="default"/>
          <w:lang w:val="en-US" w:eastAsia="zh-CN"/>
        </w:rPr>
        <w:t>二、《南雄年鉴》采用分类编辑法。主体内容设类目、分目、条目三个结构层次，以条目为表现内容的基本形式。全书条目的标题统一用黑体加【】表示。少数包含多方面资料的条目则在文内用楷体标题标明各段资料的主题。</w:t>
      </w:r>
    </w:p>
    <w:p w14:paraId="13334EB1">
      <w:pPr>
        <w:rPr>
          <w:rFonts w:hint="default"/>
          <w:lang w:val="en-US" w:eastAsia="zh-CN"/>
        </w:rPr>
      </w:pPr>
      <w:r>
        <w:rPr>
          <w:rFonts w:hint="default"/>
          <w:lang w:val="en-US" w:eastAsia="zh-CN"/>
        </w:rPr>
        <w:t>三、《南雄年鉴（2019）》主要反映2018年南雄市各项事业发展基本情况。本年鉴设总述、大事记、年度关注、中国共产党南雄市委员会、南雄市人民代表大会、南雄市人民政府、政协南雄市委员会、南雄市纪律检查委员会和监察委员会、民主党派·群团组织·社会组织、军事、法治、经济监督管理、财政·税收·金融、工业·重点企业、农业·林业·水利·气象、商贸服务、交通·通信、城建·环保、科技·教育·文化·广电·旅游·体育、卫生·健康、社会·生活、镇（街道）、附录共23个栏目。</w:t>
      </w:r>
    </w:p>
    <w:p w14:paraId="45ED06DF">
      <w:pPr>
        <w:rPr>
          <w:rFonts w:hint="default"/>
          <w:lang w:val="en-US" w:eastAsia="zh-CN"/>
        </w:rPr>
      </w:pPr>
      <w:r>
        <w:rPr>
          <w:rFonts w:hint="default"/>
          <w:lang w:val="en-US" w:eastAsia="zh-CN"/>
        </w:rPr>
        <w:t>四、《南雄年鉴（2019）》在保持往年年鉴基本框架的前提下，结合南雄市实际情况，对部分栏目设置进行了调整，对条目和内容进行更新、充实。其中：“经济管理”更新为“经济监督管理”，“财政·金融”更新为“财政·税收·金融”，“农业·气象”更新为“农业·林业·水利·气象”，“商贸·旅游”更新为“商贸服务”，“文化·广播电视”调整为“科技·教育·文化·广电·旅游·体育”，“社会·事业”更新为“社会·生活”，“卫生·体育”调整为“卫生·健康”，“南雄概况”调整为“总述”。</w:t>
      </w:r>
    </w:p>
    <w:p w14:paraId="7A47120F">
      <w:pPr>
        <w:rPr>
          <w:rFonts w:hint="default"/>
          <w:lang w:val="en-US" w:eastAsia="zh-CN"/>
        </w:rPr>
      </w:pPr>
      <w:r>
        <w:rPr>
          <w:rFonts w:hint="default"/>
          <w:lang w:val="en-US" w:eastAsia="zh-CN"/>
        </w:rPr>
        <w:t>五、《南雄年鉴》编辑部负责撰写部分稿件并编纂全书。本年鉴所录用资料大部分由市直各部门、各单位、各镇（街道）及有关单位提供，稿件资料均经供稿单位领导审阅，撰稿人署名于各相应条目文末。因统计时间、口径不同等原因，个别数据在不同稿件中可能不尽一致，敬请读者采用时引起注意。反映全市国民经济和社会发展情况的数据，以南雄市统计局提供资料为准。由于个别单位、企业未按要求提供资料，以致缺载，请予见谅。</w:t>
      </w:r>
    </w:p>
    <w:p w14:paraId="36025129">
      <w:pPr>
        <w:rPr>
          <w:rFonts w:hint="default"/>
          <w:lang w:val="en-US" w:eastAsia="zh-CN"/>
        </w:rPr>
      </w:pPr>
      <w:r>
        <w:rPr>
          <w:rFonts w:hint="default"/>
          <w:lang w:val="en-US" w:eastAsia="zh-CN"/>
        </w:rPr>
        <w:t>六、本年鉴编辑出版得到全市各级部门和有关单位大力支持及全体撰稿人员通力合作，谨此致谢。同时，如有疏漏之处，敬请批评指正。</w:t>
      </w:r>
    </w:p>
    <w:p w14:paraId="461EB79A">
      <w:pPr>
        <w:rPr>
          <w:rFonts w:hint="default"/>
          <w:lang w:val="en-US" w:eastAsia="zh-CN"/>
        </w:rPr>
      </w:pPr>
      <w:r>
        <w:rPr>
          <w:rFonts w:hint="default"/>
          <w:lang w:val="en-US" w:eastAsia="zh-CN"/>
        </w:rPr>
        <w:t>七、本年鉴配套出版电子版（光盘），全书内容在南雄市人民政府网（http://www.gdnx.gov.cn/）上推出。</w:t>
      </w:r>
    </w:p>
    <w:p w14:paraId="547DD452">
      <w:pPr>
        <w:pStyle w:val="2"/>
        <w:bidi w:val="0"/>
        <w:rPr>
          <w:rFonts w:hint="eastAsia"/>
          <w:lang w:val="en-US" w:eastAsia="zh-CN"/>
        </w:rPr>
      </w:pPr>
      <w:r>
        <w:rPr>
          <w:rFonts w:hint="eastAsia"/>
          <w:lang w:val="en-US" w:eastAsia="zh-CN"/>
        </w:rPr>
        <w:t>图片专辑</w:t>
      </w:r>
    </w:p>
    <w:p w14:paraId="042592D6">
      <w:pPr>
        <w:pStyle w:val="3"/>
        <w:bidi w:val="0"/>
        <w:rPr>
          <w:rFonts w:hint="eastAsia"/>
          <w:lang w:val="en-US" w:eastAsia="zh-CN"/>
        </w:rPr>
      </w:pPr>
      <w:r>
        <w:rPr>
          <w:rFonts w:hint="eastAsia"/>
          <w:lang w:val="en-US" w:eastAsia="zh-CN"/>
        </w:rPr>
        <w:t>政治引领</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F508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2C51A101">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900" cy="3806190"/>
                  <wp:effectExtent l="0" t="0" r="6350" b="3810"/>
                  <wp:docPr id="2" name="图片 2" descr="南雄年鉴2019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南雄年鉴2019_0001"/>
                          <pic:cNvPicPr>
                            <a:picLocks noChangeAspect="1"/>
                          </pic:cNvPicPr>
                        </pic:nvPicPr>
                        <pic:blipFill>
                          <a:blip r:embed="rId13"/>
                          <a:stretch>
                            <a:fillRect/>
                          </a:stretch>
                        </pic:blipFill>
                        <pic:spPr>
                          <a:xfrm>
                            <a:off x="0" y="0"/>
                            <a:ext cx="6184900" cy="3806190"/>
                          </a:xfrm>
                          <a:prstGeom prst="rect">
                            <a:avLst/>
                          </a:prstGeom>
                        </pic:spPr>
                      </pic:pic>
                    </a:graphicData>
                  </a:graphic>
                </wp:inline>
              </w:drawing>
            </w:r>
          </w:p>
        </w:tc>
      </w:tr>
      <w:tr w14:paraId="27D16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EF5C8E6">
            <w:pPr>
              <w:rPr>
                <w:rFonts w:hint="default"/>
                <w:vertAlign w:val="baseline"/>
                <w:lang w:val="en-US" w:eastAsia="zh-CN"/>
              </w:rPr>
            </w:pPr>
            <w:r>
              <w:rPr>
                <w:rFonts w:hint="eastAsia" w:ascii="宋体" w:hAnsi="宋体" w:eastAsia="宋体" w:cs="宋体"/>
                <w:color w:val="2F3031"/>
                <w:sz w:val="21"/>
                <w:szCs w:val="21"/>
              </w:rPr>
              <w:t>2018年6月24日，中国农</w:t>
            </w:r>
            <w:r>
              <w:rPr>
                <w:rFonts w:hint="eastAsia" w:ascii="宋体" w:hAnsi="宋体" w:eastAsia="宋体" w:cs="宋体"/>
                <w:color w:val="2F3031"/>
                <w:sz w:val="21"/>
                <w:szCs w:val="21"/>
                <w:lang w:val="en-US" w:eastAsia="zh-CN"/>
              </w:rPr>
              <w:t>业</w:t>
            </w:r>
            <w:r>
              <w:rPr>
                <w:rFonts w:hint="eastAsia" w:ascii="宋体" w:hAnsi="宋体" w:eastAsia="宋体" w:cs="宋体"/>
                <w:color w:val="2F3031"/>
                <w:sz w:val="21"/>
                <w:szCs w:val="21"/>
              </w:rPr>
              <w:t>农村</w:t>
            </w:r>
            <w:r>
              <w:rPr>
                <w:rFonts w:hint="eastAsia" w:ascii="宋体" w:hAnsi="宋体" w:eastAsia="宋体" w:cs="宋体"/>
                <w:color w:val="000000"/>
                <w:sz w:val="21"/>
                <w:szCs w:val="21"/>
              </w:rPr>
              <w:t>部部长</w:t>
            </w:r>
            <w:r>
              <w:rPr>
                <w:rFonts w:hint="eastAsia" w:ascii="宋体" w:hAnsi="宋体" w:eastAsia="宋体" w:cs="宋体"/>
                <w:color w:val="000000"/>
                <w:sz w:val="21"/>
                <w:szCs w:val="21"/>
                <w:lang w:val="en-US" w:eastAsia="zh-CN"/>
              </w:rPr>
              <w:t>韩长赋</w:t>
            </w:r>
            <w:r>
              <w:rPr>
                <w:rFonts w:hint="eastAsia" w:ascii="宋体" w:hAnsi="宋体" w:eastAsia="宋体" w:cs="宋体"/>
                <w:color w:val="000000"/>
                <w:sz w:val="21"/>
                <w:szCs w:val="21"/>
              </w:rPr>
              <w:t>（前排左二）在珠</w:t>
            </w:r>
            <w:r>
              <w:rPr>
                <w:rFonts w:hint="eastAsia" w:cs="宋体"/>
                <w:color w:val="000000"/>
                <w:sz w:val="21"/>
                <w:szCs w:val="21"/>
                <w:lang w:val="en-US" w:eastAsia="zh-CN"/>
              </w:rPr>
              <w:t>玑</w:t>
            </w:r>
            <w:r>
              <w:rPr>
                <w:rFonts w:hint="eastAsia" w:ascii="宋体" w:hAnsi="宋体" w:eastAsia="宋体" w:cs="宋体"/>
                <w:color w:val="000000"/>
                <w:sz w:val="21"/>
                <w:szCs w:val="21"/>
              </w:rPr>
              <w:t>灵潭</w:t>
            </w:r>
            <w:r>
              <w:rPr>
                <w:rFonts w:hint="eastAsia" w:ascii="宋体" w:hAnsi="宋体" w:eastAsia="宋体" w:cs="宋体"/>
                <w:color w:val="000000"/>
                <w:sz w:val="21"/>
                <w:szCs w:val="21"/>
                <w:lang w:val="en-US" w:eastAsia="zh-CN"/>
              </w:rPr>
              <w:t>村党群公众服务中心调研</w:t>
            </w:r>
            <w:r>
              <w:rPr>
                <w:rFonts w:hint="eastAsia" w:ascii="宋体" w:hAnsi="宋体" w:eastAsia="宋体" w:cs="宋体"/>
                <w:color w:val="2F3031"/>
                <w:sz w:val="21"/>
                <w:szCs w:val="21"/>
              </w:rPr>
              <w:t>（蔡仁银</w:t>
            </w:r>
            <w:r>
              <w:rPr>
                <w:rFonts w:hint="eastAsia" w:ascii="宋体" w:hAnsi="宋体" w:eastAsia="宋体" w:cs="宋体"/>
                <w:color w:val="2F3031"/>
                <w:sz w:val="21"/>
                <w:szCs w:val="21"/>
                <w:lang w:val="en-US" w:eastAsia="zh-CN"/>
              </w:rPr>
              <w:t xml:space="preserve">  摄</w:t>
            </w:r>
            <w:r>
              <w:rPr>
                <w:rFonts w:hint="eastAsia" w:ascii="宋体" w:hAnsi="宋体" w:eastAsia="宋体" w:cs="宋体"/>
                <w:color w:val="2F3031"/>
                <w:sz w:val="21"/>
                <w:szCs w:val="21"/>
              </w:rPr>
              <w:t>）</w:t>
            </w:r>
          </w:p>
        </w:tc>
      </w:tr>
    </w:tbl>
    <w:p w14:paraId="31DA1DB7">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8E43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706EDECC">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3783330"/>
                  <wp:effectExtent l="0" t="0" r="5715" b="7620"/>
                  <wp:docPr id="3" name="图片 3" descr="南雄年鉴2019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南雄年鉴2019_0002"/>
                          <pic:cNvPicPr>
                            <a:picLocks noChangeAspect="1"/>
                          </pic:cNvPicPr>
                        </pic:nvPicPr>
                        <pic:blipFill>
                          <a:blip r:embed="rId14"/>
                          <a:stretch>
                            <a:fillRect/>
                          </a:stretch>
                        </pic:blipFill>
                        <pic:spPr>
                          <a:xfrm>
                            <a:off x="0" y="0"/>
                            <a:ext cx="6185535" cy="3783330"/>
                          </a:xfrm>
                          <a:prstGeom prst="rect">
                            <a:avLst/>
                          </a:prstGeom>
                        </pic:spPr>
                      </pic:pic>
                    </a:graphicData>
                  </a:graphic>
                </wp:inline>
              </w:drawing>
            </w:r>
          </w:p>
        </w:tc>
      </w:tr>
      <w:tr w14:paraId="24684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04E9C7B">
            <w:pPr>
              <w:rPr>
                <w:rFonts w:hint="default"/>
                <w:vertAlign w:val="baseline"/>
                <w:lang w:val="en-US" w:eastAsia="zh-CN"/>
              </w:rPr>
            </w:pPr>
            <w:r>
              <w:rPr>
                <w:rFonts w:hint="eastAsia" w:ascii="宋体" w:hAnsi="宋体" w:eastAsia="宋体" w:cs="宋体"/>
                <w:color w:val="2F3031"/>
                <w:sz w:val="21"/>
                <w:szCs w:val="21"/>
              </w:rPr>
              <w:t>2018年9月27日，广东省</w:t>
            </w:r>
            <w:r>
              <w:rPr>
                <w:rFonts w:hint="eastAsia" w:ascii="宋体" w:hAnsi="宋体" w:eastAsia="宋体" w:cs="宋体"/>
                <w:color w:val="000000"/>
                <w:sz w:val="21"/>
                <w:szCs w:val="21"/>
              </w:rPr>
              <w:t>委书</w:t>
            </w:r>
            <w:r>
              <w:rPr>
                <w:rFonts w:hint="eastAsia" w:ascii="宋体" w:hAnsi="宋体" w:eastAsia="宋体" w:cs="宋体"/>
                <w:color w:val="000000"/>
                <w:sz w:val="21"/>
                <w:szCs w:val="21"/>
                <w:lang w:val="en-US" w:eastAsia="zh-CN"/>
              </w:rPr>
              <w:t>记</w:t>
            </w:r>
            <w:r>
              <w:rPr>
                <w:rFonts w:hint="eastAsia" w:ascii="宋体" w:hAnsi="宋体" w:eastAsia="宋体" w:cs="宋体"/>
                <w:color w:val="000000"/>
                <w:sz w:val="21"/>
                <w:szCs w:val="21"/>
              </w:rPr>
              <w:t>李希（右一）调研</w:t>
            </w:r>
            <w:r>
              <w:rPr>
                <w:rFonts w:hint="eastAsia" w:ascii="宋体" w:hAnsi="宋体" w:eastAsia="宋体" w:cs="宋体"/>
                <w:color w:val="2F3031"/>
                <w:sz w:val="21"/>
                <w:szCs w:val="21"/>
              </w:rPr>
              <w:t>南粤古驿道</w:t>
            </w:r>
            <w:r>
              <w:rPr>
                <w:rFonts w:hint="eastAsia" w:ascii="宋体" w:hAnsi="宋体" w:eastAsia="宋体" w:cs="宋体"/>
                <w:color w:val="000000"/>
                <w:sz w:val="21"/>
                <w:szCs w:val="21"/>
              </w:rPr>
              <w:t>建设情</w:t>
            </w:r>
            <w:r>
              <w:rPr>
                <w:rFonts w:hint="eastAsia" w:ascii="宋体" w:hAnsi="宋体" w:eastAsia="宋体" w:cs="宋体"/>
                <w:color w:val="000000"/>
                <w:sz w:val="21"/>
                <w:szCs w:val="21"/>
                <w:lang w:val="en-US" w:eastAsia="zh-CN"/>
              </w:rPr>
              <w:t>况，韶关市委书记、</w:t>
            </w:r>
            <w:r>
              <w:rPr>
                <w:rFonts w:hint="eastAsia" w:ascii="宋体" w:hAnsi="宋体" w:eastAsia="宋体" w:cs="宋体"/>
                <w:color w:val="2F3031"/>
                <w:sz w:val="21"/>
                <w:szCs w:val="21"/>
              </w:rPr>
              <w:t>市人大常委会主任莫高义（</w:t>
            </w:r>
            <w:r>
              <w:rPr>
                <w:rFonts w:hint="eastAsia" w:ascii="宋体" w:hAnsi="宋体" w:eastAsia="宋体" w:cs="宋体"/>
                <w:color w:val="000000"/>
                <w:sz w:val="21"/>
                <w:szCs w:val="21"/>
              </w:rPr>
              <w:t>右三）陪同调研</w:t>
            </w:r>
            <w:r>
              <w:rPr>
                <w:rFonts w:hint="eastAsia" w:ascii="宋体" w:hAnsi="宋体" w:eastAsia="宋体" w:cs="宋体"/>
                <w:color w:val="2F3031"/>
                <w:sz w:val="21"/>
                <w:szCs w:val="21"/>
              </w:rPr>
              <w:t>（蔡仁银</w:t>
            </w:r>
            <w:r>
              <w:rPr>
                <w:rFonts w:hint="eastAsia" w:ascii="宋体" w:hAnsi="宋体" w:eastAsia="宋体" w:cs="宋体"/>
                <w:color w:val="2F3031"/>
                <w:sz w:val="21"/>
                <w:szCs w:val="21"/>
                <w:lang w:val="en-US" w:eastAsia="zh-CN"/>
              </w:rPr>
              <w:t xml:space="preserve">  摄</w:t>
            </w:r>
            <w:r>
              <w:rPr>
                <w:rFonts w:hint="eastAsia" w:ascii="宋体" w:hAnsi="宋体" w:eastAsia="宋体" w:cs="宋体"/>
                <w:color w:val="2F3031"/>
                <w:sz w:val="21"/>
                <w:szCs w:val="21"/>
              </w:rPr>
              <w:t>）</w:t>
            </w:r>
          </w:p>
        </w:tc>
      </w:tr>
    </w:tbl>
    <w:p w14:paraId="1D936F23">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5E76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77F5F18">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725" cy="4040505"/>
                  <wp:effectExtent l="0" t="0" r="9525" b="17145"/>
                  <wp:docPr id="4" name="图片 4" descr="南雄年鉴2019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南雄年鉴2019_0003"/>
                          <pic:cNvPicPr>
                            <a:picLocks noChangeAspect="1"/>
                          </pic:cNvPicPr>
                        </pic:nvPicPr>
                        <pic:blipFill>
                          <a:blip r:embed="rId15"/>
                          <a:stretch>
                            <a:fillRect/>
                          </a:stretch>
                        </pic:blipFill>
                        <pic:spPr>
                          <a:xfrm>
                            <a:off x="0" y="0"/>
                            <a:ext cx="6181725" cy="4040505"/>
                          </a:xfrm>
                          <a:prstGeom prst="rect">
                            <a:avLst/>
                          </a:prstGeom>
                        </pic:spPr>
                      </pic:pic>
                    </a:graphicData>
                  </a:graphic>
                </wp:inline>
              </w:drawing>
            </w:r>
          </w:p>
        </w:tc>
      </w:tr>
      <w:tr w14:paraId="5D839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27C80A8">
            <w:pPr>
              <w:rPr>
                <w:rFonts w:hint="default"/>
                <w:vertAlign w:val="baseline"/>
                <w:lang w:val="en-US" w:eastAsia="zh-CN"/>
              </w:rPr>
            </w:pPr>
            <w:r>
              <w:rPr>
                <w:rFonts w:hint="eastAsia" w:ascii="宋体" w:hAnsi="宋体" w:eastAsia="宋体" w:cs="宋体"/>
                <w:color w:val="414342"/>
                <w:sz w:val="21"/>
                <w:szCs w:val="21"/>
              </w:rPr>
              <w:t>2018年6月29日，广东省</w:t>
            </w:r>
            <w:r>
              <w:rPr>
                <w:rFonts w:hint="eastAsia" w:ascii="宋体" w:hAnsi="宋体" w:eastAsia="宋体" w:cs="宋体"/>
                <w:color w:val="000000"/>
                <w:sz w:val="21"/>
                <w:szCs w:val="21"/>
              </w:rPr>
              <w:t>党建促扶贫</w:t>
            </w:r>
            <w:r>
              <w:rPr>
                <w:rFonts w:hint="eastAsia" w:ascii="宋体" w:hAnsi="宋体" w:eastAsia="宋体" w:cs="宋体"/>
                <w:color w:val="000000"/>
                <w:sz w:val="21"/>
                <w:szCs w:val="21"/>
                <w:lang w:val="en-US" w:eastAsia="zh-CN"/>
              </w:rPr>
              <w:t>现</w:t>
            </w:r>
            <w:r>
              <w:rPr>
                <w:rFonts w:hint="eastAsia" w:ascii="宋体" w:hAnsi="宋体" w:eastAsia="宋体" w:cs="宋体"/>
                <w:color w:val="000000"/>
                <w:sz w:val="21"/>
                <w:szCs w:val="21"/>
              </w:rPr>
              <w:t>场会</w:t>
            </w:r>
            <w:r>
              <w:rPr>
                <w:rFonts w:hint="eastAsia" w:ascii="宋体" w:hAnsi="宋体" w:eastAsia="宋体" w:cs="宋体"/>
                <w:color w:val="414342"/>
                <w:sz w:val="21"/>
                <w:szCs w:val="21"/>
              </w:rPr>
              <w:t>在南雄市召开期</w:t>
            </w:r>
            <w:r>
              <w:rPr>
                <w:rFonts w:hint="eastAsia" w:ascii="宋体" w:hAnsi="宋体" w:eastAsia="宋体" w:cs="宋体"/>
                <w:color w:val="000000"/>
                <w:sz w:val="21"/>
                <w:szCs w:val="21"/>
              </w:rPr>
              <w:t>间，省委</w:t>
            </w:r>
            <w:r>
              <w:rPr>
                <w:rFonts w:hint="eastAsia" w:ascii="宋体" w:hAnsi="宋体" w:eastAsia="宋体" w:cs="宋体"/>
                <w:color w:val="000000"/>
                <w:sz w:val="21"/>
                <w:szCs w:val="21"/>
                <w:lang w:val="en-US" w:eastAsia="zh-CN"/>
              </w:rPr>
              <w:t>组织</w:t>
            </w:r>
            <w:r>
              <w:rPr>
                <w:rFonts w:hint="eastAsia" w:ascii="宋体" w:hAnsi="宋体" w:eastAsia="宋体" w:cs="宋体"/>
                <w:color w:val="000000"/>
                <w:sz w:val="21"/>
                <w:szCs w:val="21"/>
              </w:rPr>
              <w:t>部部长</w:t>
            </w:r>
            <w:r>
              <w:rPr>
                <w:rFonts w:hint="eastAsia" w:ascii="宋体" w:hAnsi="宋体" w:eastAsia="宋体" w:cs="宋体"/>
                <w:color w:val="414342"/>
                <w:sz w:val="21"/>
                <w:szCs w:val="21"/>
              </w:rPr>
              <w:t>邹铭（右一）在珠</w:t>
            </w:r>
            <w:r>
              <w:rPr>
                <w:rFonts w:hint="eastAsia" w:cs="宋体"/>
                <w:color w:val="414342"/>
                <w:sz w:val="21"/>
                <w:szCs w:val="21"/>
                <w:lang w:val="en-US" w:eastAsia="zh-CN"/>
              </w:rPr>
              <w:t>玑</w:t>
            </w:r>
            <w:r>
              <w:rPr>
                <w:rFonts w:hint="eastAsia" w:ascii="宋体" w:hAnsi="宋体" w:eastAsia="宋体" w:cs="宋体"/>
                <w:color w:val="414342"/>
                <w:sz w:val="21"/>
                <w:szCs w:val="21"/>
                <w:lang w:val="en-US" w:eastAsia="zh-CN"/>
              </w:rPr>
              <w:t>镇</w:t>
            </w:r>
            <w:r>
              <w:rPr>
                <w:rFonts w:hint="eastAsia" w:ascii="宋体" w:hAnsi="宋体" w:eastAsia="宋体" w:cs="宋体"/>
                <w:color w:val="414342"/>
                <w:sz w:val="21"/>
                <w:szCs w:val="21"/>
              </w:rPr>
              <w:t>角湾村调研</w:t>
            </w:r>
            <w:r>
              <w:rPr>
                <w:rFonts w:hint="eastAsia" w:ascii="宋体" w:hAnsi="宋体" w:eastAsia="宋体" w:cs="宋体"/>
                <w:color w:val="000000"/>
                <w:sz w:val="21"/>
                <w:szCs w:val="21"/>
              </w:rPr>
              <w:t>（蔡仁银</w:t>
            </w:r>
            <w:r>
              <w:rPr>
                <w:rFonts w:hint="eastAsia" w:cs="宋体"/>
                <w:color w:val="000000"/>
                <w:sz w:val="21"/>
                <w:szCs w:val="21"/>
                <w:lang w:val="en-US" w:eastAsia="zh-CN"/>
              </w:rPr>
              <w:t xml:space="preserve"> </w:t>
            </w:r>
            <w:r>
              <w:rPr>
                <w:rFonts w:hint="eastAsia" w:ascii="宋体" w:hAnsi="宋体" w:eastAsia="宋体" w:cs="宋体"/>
                <w:color w:val="000000"/>
                <w:sz w:val="21"/>
                <w:szCs w:val="21"/>
                <w:lang w:val="en-US" w:eastAsia="zh-CN"/>
              </w:rPr>
              <w:t xml:space="preserve">  </w:t>
            </w:r>
            <w:r>
              <w:rPr>
                <w:rFonts w:hint="eastAsia" w:cs="宋体"/>
                <w:color w:val="000000"/>
                <w:sz w:val="21"/>
                <w:szCs w:val="21"/>
                <w:lang w:val="en-US" w:eastAsia="zh-CN"/>
              </w:rPr>
              <w:t xml:space="preserve"> </w:t>
            </w:r>
            <w:r>
              <w:rPr>
                <w:rFonts w:hint="eastAsia" w:ascii="宋体" w:hAnsi="宋体" w:eastAsia="宋体" w:cs="宋体"/>
                <w:color w:val="000000"/>
                <w:sz w:val="21"/>
                <w:szCs w:val="21"/>
                <w:lang w:val="en-US" w:eastAsia="zh-CN"/>
              </w:rPr>
              <w:t>摄</w:t>
            </w:r>
            <w:r>
              <w:rPr>
                <w:rFonts w:hint="eastAsia" w:ascii="宋体" w:hAnsi="宋体" w:eastAsia="宋体" w:cs="宋体"/>
                <w:color w:val="000000"/>
                <w:sz w:val="21"/>
                <w:szCs w:val="21"/>
              </w:rPr>
              <w:t>）</w:t>
            </w:r>
          </w:p>
        </w:tc>
      </w:tr>
    </w:tbl>
    <w:p w14:paraId="146643AD">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8342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6FB0662">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3966210"/>
                  <wp:effectExtent l="0" t="0" r="3810" b="15240"/>
                  <wp:docPr id="5" name="图片 5" descr="南雄年鉴2019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南雄年鉴2019_0004"/>
                          <pic:cNvPicPr>
                            <a:picLocks noChangeAspect="1"/>
                          </pic:cNvPicPr>
                        </pic:nvPicPr>
                        <pic:blipFill>
                          <a:blip r:embed="rId16"/>
                          <a:stretch>
                            <a:fillRect/>
                          </a:stretch>
                        </pic:blipFill>
                        <pic:spPr>
                          <a:xfrm>
                            <a:off x="0" y="0"/>
                            <a:ext cx="6187440" cy="3966210"/>
                          </a:xfrm>
                          <a:prstGeom prst="rect">
                            <a:avLst/>
                          </a:prstGeom>
                        </pic:spPr>
                      </pic:pic>
                    </a:graphicData>
                  </a:graphic>
                </wp:inline>
              </w:drawing>
            </w:r>
          </w:p>
        </w:tc>
      </w:tr>
      <w:tr w14:paraId="3CB67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9F5DF94">
            <w:pPr>
              <w:rPr>
                <w:rFonts w:hint="default"/>
                <w:vertAlign w:val="baseline"/>
                <w:lang w:val="en-US" w:eastAsia="zh-CN"/>
              </w:rPr>
            </w:pPr>
            <w:r>
              <w:rPr>
                <w:rFonts w:hint="eastAsia" w:ascii="宋体" w:hAnsi="宋体" w:eastAsia="宋体" w:cs="宋体"/>
                <w:color w:val="414342"/>
                <w:sz w:val="21"/>
                <w:szCs w:val="21"/>
              </w:rPr>
              <w:t>2018年10月27日，广东省</w:t>
            </w:r>
            <w:r>
              <w:rPr>
                <w:rFonts w:hint="eastAsia" w:ascii="宋体" w:hAnsi="宋体" w:eastAsia="宋体" w:cs="宋体"/>
                <w:color w:val="000000"/>
                <w:sz w:val="21"/>
                <w:szCs w:val="21"/>
              </w:rPr>
              <w:t>文化和旅游厅</w:t>
            </w:r>
            <w:r>
              <w:rPr>
                <w:rFonts w:hint="eastAsia" w:ascii="宋体" w:hAnsi="宋体" w:eastAsia="宋体" w:cs="宋体"/>
                <w:color w:val="414342"/>
                <w:sz w:val="21"/>
                <w:szCs w:val="21"/>
              </w:rPr>
              <w:t>厅长汪一洋（前排左三）调研</w:t>
            </w:r>
            <w:r>
              <w:rPr>
                <w:rFonts w:hint="eastAsia" w:ascii="宋体" w:hAnsi="宋体" w:eastAsia="宋体" w:cs="宋体"/>
                <w:color w:val="000000"/>
                <w:sz w:val="21"/>
                <w:szCs w:val="21"/>
              </w:rPr>
              <w:t>南雄市文化产品</w:t>
            </w:r>
            <w:r>
              <w:rPr>
                <w:rFonts w:hint="eastAsia" w:ascii="宋体" w:hAnsi="宋体" w:eastAsia="宋体" w:cs="宋体"/>
                <w:color w:val="414342"/>
                <w:sz w:val="21"/>
                <w:szCs w:val="21"/>
              </w:rPr>
              <w:t>发展情况</w:t>
            </w:r>
            <w:r>
              <w:rPr>
                <w:rFonts w:hint="eastAsia" w:ascii="宋体" w:hAnsi="宋体" w:eastAsia="宋体" w:cs="宋体"/>
                <w:color w:val="323132"/>
                <w:sz w:val="21"/>
                <w:szCs w:val="21"/>
              </w:rPr>
              <w:t>（蔡仁银</w:t>
            </w:r>
            <w:r>
              <w:rPr>
                <w:rFonts w:hint="eastAsia" w:ascii="宋体" w:hAnsi="宋体" w:eastAsia="宋体" w:cs="宋体"/>
                <w:color w:val="323132"/>
                <w:sz w:val="21"/>
                <w:szCs w:val="21"/>
                <w:lang w:val="en-US" w:eastAsia="zh-CN"/>
              </w:rPr>
              <w:t xml:space="preserve">  摄</w:t>
            </w:r>
            <w:r>
              <w:rPr>
                <w:rFonts w:hint="eastAsia" w:ascii="宋体" w:hAnsi="宋体" w:eastAsia="宋体" w:cs="宋体"/>
                <w:color w:val="323132"/>
                <w:sz w:val="21"/>
                <w:szCs w:val="21"/>
              </w:rPr>
              <w:t>）</w:t>
            </w:r>
          </w:p>
        </w:tc>
      </w:tr>
    </w:tbl>
    <w:p w14:paraId="2DD97EEF">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4F29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0153B75">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170" cy="3931920"/>
                  <wp:effectExtent l="0" t="0" r="5080" b="11430"/>
                  <wp:docPr id="6" name="图片 6" descr="南雄年鉴2019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南雄年鉴2019_0005"/>
                          <pic:cNvPicPr>
                            <a:picLocks noChangeAspect="1"/>
                          </pic:cNvPicPr>
                        </pic:nvPicPr>
                        <pic:blipFill>
                          <a:blip r:embed="rId17"/>
                          <a:stretch>
                            <a:fillRect/>
                          </a:stretch>
                        </pic:blipFill>
                        <pic:spPr>
                          <a:xfrm>
                            <a:off x="0" y="0"/>
                            <a:ext cx="6186170" cy="3931920"/>
                          </a:xfrm>
                          <a:prstGeom prst="rect">
                            <a:avLst/>
                          </a:prstGeom>
                        </pic:spPr>
                      </pic:pic>
                    </a:graphicData>
                  </a:graphic>
                </wp:inline>
              </w:drawing>
            </w:r>
          </w:p>
        </w:tc>
      </w:tr>
      <w:tr w14:paraId="550FA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BFDE341">
            <w:pPr>
              <w:rPr>
                <w:rFonts w:hint="default"/>
                <w:vertAlign w:val="baseline"/>
                <w:lang w:val="en-US" w:eastAsia="zh-CN"/>
              </w:rPr>
            </w:pPr>
            <w:r>
              <w:rPr>
                <w:rFonts w:hint="eastAsia" w:ascii="宋体" w:hAnsi="宋体" w:eastAsia="宋体" w:cs="宋体"/>
                <w:color w:val="2F302F"/>
                <w:sz w:val="21"/>
                <w:szCs w:val="21"/>
              </w:rPr>
              <w:t>2018年5月17日</w:t>
            </w:r>
            <w:r>
              <w:rPr>
                <w:rFonts w:hint="eastAsia" w:ascii="宋体" w:hAnsi="宋体" w:eastAsia="宋体" w:cs="宋体"/>
                <w:color w:val="4C4C4C"/>
                <w:sz w:val="21"/>
                <w:szCs w:val="21"/>
              </w:rPr>
              <w:t>，</w:t>
            </w:r>
            <w:r>
              <w:rPr>
                <w:rFonts w:hint="eastAsia" w:ascii="宋体" w:hAnsi="宋体" w:eastAsia="宋体" w:cs="宋体"/>
                <w:color w:val="2F302F"/>
                <w:sz w:val="21"/>
                <w:szCs w:val="21"/>
              </w:rPr>
              <w:t>韶关市</w:t>
            </w:r>
            <w:r>
              <w:rPr>
                <w:rFonts w:hint="eastAsia" w:ascii="宋体" w:hAnsi="宋体" w:eastAsia="宋体" w:cs="宋体"/>
                <w:color w:val="000000"/>
                <w:sz w:val="21"/>
                <w:szCs w:val="21"/>
              </w:rPr>
              <w:t>委书</w:t>
            </w:r>
            <w:r>
              <w:rPr>
                <w:rFonts w:hint="eastAsia" w:ascii="宋体" w:hAnsi="宋体" w:eastAsia="宋体" w:cs="宋体"/>
                <w:color w:val="000000"/>
                <w:sz w:val="21"/>
                <w:szCs w:val="21"/>
                <w:lang w:val="en-US" w:eastAsia="zh-CN"/>
              </w:rPr>
              <w:t>记、</w:t>
            </w:r>
            <w:r>
              <w:rPr>
                <w:rFonts w:hint="eastAsia" w:ascii="宋体" w:hAnsi="宋体" w:eastAsia="宋体" w:cs="宋体"/>
                <w:color w:val="2F302F"/>
                <w:sz w:val="21"/>
                <w:szCs w:val="21"/>
              </w:rPr>
              <w:t>市人大常委会主任莫高义（</w:t>
            </w:r>
            <w:r>
              <w:rPr>
                <w:rFonts w:hint="eastAsia" w:ascii="宋体" w:hAnsi="宋体" w:eastAsia="宋体" w:cs="宋体"/>
                <w:color w:val="000000"/>
                <w:sz w:val="21"/>
                <w:szCs w:val="21"/>
              </w:rPr>
              <w:t>前排右二）到南雄市电子</w:t>
            </w:r>
            <w:r>
              <w:rPr>
                <w:rFonts w:hint="eastAsia" w:ascii="宋体" w:hAnsi="宋体" w:eastAsia="宋体" w:cs="宋体"/>
                <w:color w:val="2F302F"/>
                <w:sz w:val="21"/>
                <w:szCs w:val="21"/>
              </w:rPr>
              <w:t>商务公</w:t>
            </w:r>
            <w:r>
              <w:rPr>
                <w:rFonts w:hint="eastAsia" w:ascii="宋体" w:hAnsi="宋体" w:eastAsia="宋体" w:cs="宋体"/>
                <w:color w:val="000000"/>
                <w:sz w:val="21"/>
                <w:szCs w:val="21"/>
              </w:rPr>
              <w:t>共服务中</w:t>
            </w:r>
            <w:r>
              <w:rPr>
                <w:rFonts w:hint="eastAsia" w:ascii="宋体" w:hAnsi="宋体" w:eastAsia="宋体" w:cs="宋体"/>
                <w:color w:val="000000"/>
                <w:sz w:val="21"/>
                <w:szCs w:val="21"/>
                <w:lang w:val="en-US" w:eastAsia="zh-CN"/>
              </w:rPr>
              <w:t>心调研</w:t>
            </w:r>
            <w:r>
              <w:rPr>
                <w:rFonts w:hint="eastAsia" w:ascii="宋体" w:hAnsi="宋体" w:eastAsia="宋体" w:cs="宋体"/>
                <w:color w:val="323132"/>
                <w:sz w:val="21"/>
                <w:szCs w:val="21"/>
              </w:rPr>
              <w:t>（蔡仁银</w:t>
            </w:r>
            <w:r>
              <w:rPr>
                <w:rFonts w:hint="eastAsia" w:ascii="宋体" w:hAnsi="宋体" w:eastAsia="宋体" w:cs="宋体"/>
                <w:color w:val="323132"/>
                <w:sz w:val="21"/>
                <w:szCs w:val="21"/>
                <w:lang w:val="en-US" w:eastAsia="zh-CN"/>
              </w:rPr>
              <w:t xml:space="preserve">  摄</w:t>
            </w:r>
            <w:r>
              <w:rPr>
                <w:rFonts w:hint="eastAsia" w:ascii="宋体" w:hAnsi="宋体" w:eastAsia="宋体" w:cs="宋体"/>
                <w:color w:val="323132"/>
                <w:sz w:val="21"/>
                <w:szCs w:val="21"/>
              </w:rPr>
              <w:t>）</w:t>
            </w:r>
          </w:p>
        </w:tc>
      </w:tr>
    </w:tbl>
    <w:p w14:paraId="2E8DE19A">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6ABA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58F8C85D">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3914775"/>
                  <wp:effectExtent l="0" t="0" r="5715" b="9525"/>
                  <wp:docPr id="7" name="图片 7" descr="南雄年鉴2019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南雄年鉴2019_0006"/>
                          <pic:cNvPicPr>
                            <a:picLocks noChangeAspect="1"/>
                          </pic:cNvPicPr>
                        </pic:nvPicPr>
                        <pic:blipFill>
                          <a:blip r:embed="rId18"/>
                          <a:stretch>
                            <a:fillRect/>
                          </a:stretch>
                        </pic:blipFill>
                        <pic:spPr>
                          <a:xfrm>
                            <a:off x="0" y="0"/>
                            <a:ext cx="6185535" cy="3914775"/>
                          </a:xfrm>
                          <a:prstGeom prst="rect">
                            <a:avLst/>
                          </a:prstGeom>
                        </pic:spPr>
                      </pic:pic>
                    </a:graphicData>
                  </a:graphic>
                </wp:inline>
              </w:drawing>
            </w:r>
          </w:p>
        </w:tc>
      </w:tr>
      <w:tr w14:paraId="636FB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3D6E2CA">
            <w:pPr>
              <w:rPr>
                <w:rFonts w:hint="default"/>
                <w:vertAlign w:val="baseline"/>
                <w:lang w:val="en-US" w:eastAsia="zh-CN"/>
              </w:rPr>
            </w:pPr>
            <w:r>
              <w:rPr>
                <w:rFonts w:hint="eastAsia" w:ascii="宋体" w:hAnsi="宋体" w:eastAsia="宋体" w:cs="宋体"/>
                <w:color w:val="2F302F"/>
                <w:sz w:val="21"/>
                <w:szCs w:val="21"/>
              </w:rPr>
              <w:t>2018年11月16日，南雄市委书</w:t>
            </w:r>
            <w:r>
              <w:rPr>
                <w:rFonts w:hint="eastAsia" w:ascii="宋体" w:hAnsi="宋体" w:eastAsia="宋体" w:cs="宋体"/>
                <w:color w:val="2F302F"/>
                <w:sz w:val="21"/>
                <w:szCs w:val="21"/>
                <w:lang w:val="en-US" w:eastAsia="zh-CN"/>
              </w:rPr>
              <w:t>记</w:t>
            </w:r>
            <w:r>
              <w:rPr>
                <w:rFonts w:hint="eastAsia" w:ascii="宋体" w:hAnsi="宋体" w:eastAsia="宋体" w:cs="宋体"/>
                <w:color w:val="2F302F"/>
                <w:sz w:val="21"/>
                <w:szCs w:val="21"/>
              </w:rPr>
              <w:t>王碧安（右三），市委副书</w:t>
            </w:r>
            <w:r>
              <w:rPr>
                <w:rFonts w:hint="eastAsia" w:ascii="宋体" w:hAnsi="宋体" w:eastAsia="宋体" w:cs="宋体"/>
                <w:color w:val="2F302F"/>
                <w:sz w:val="21"/>
                <w:szCs w:val="21"/>
                <w:lang w:val="en-US" w:eastAsia="zh-CN"/>
              </w:rPr>
              <w:t>记</w:t>
            </w:r>
            <w:r>
              <w:rPr>
                <w:rFonts w:hint="eastAsia" w:ascii="宋体" w:hAnsi="宋体" w:eastAsia="宋体" w:cs="宋体"/>
                <w:color w:val="4C4C4C"/>
                <w:sz w:val="21"/>
                <w:szCs w:val="21"/>
              </w:rPr>
              <w:t>、</w:t>
            </w:r>
            <w:r>
              <w:rPr>
                <w:rFonts w:hint="eastAsia" w:ascii="宋体" w:hAnsi="宋体" w:eastAsia="宋体" w:cs="宋体"/>
                <w:color w:val="2F302F"/>
                <w:sz w:val="21"/>
                <w:szCs w:val="21"/>
              </w:rPr>
              <w:t>市长林</w:t>
            </w:r>
            <w:r>
              <w:rPr>
                <w:rFonts w:hint="eastAsia" w:ascii="宋体" w:hAnsi="宋体" w:eastAsia="宋体" w:cs="宋体"/>
                <w:color w:val="000000"/>
                <w:sz w:val="21"/>
                <w:szCs w:val="21"/>
              </w:rPr>
              <w:t>小龙</w:t>
            </w:r>
            <w:r>
              <w:rPr>
                <w:rFonts w:hint="eastAsia" w:ascii="宋体" w:hAnsi="宋体" w:eastAsia="宋体" w:cs="宋体"/>
                <w:color w:val="2F302F"/>
                <w:sz w:val="21"/>
                <w:szCs w:val="21"/>
              </w:rPr>
              <w:t>（右二）调研</w:t>
            </w:r>
            <w:r>
              <w:rPr>
                <w:rFonts w:hint="eastAsia" w:ascii="宋体" w:hAnsi="宋体" w:eastAsia="宋体" w:cs="宋体"/>
                <w:color w:val="000000"/>
                <w:sz w:val="21"/>
                <w:szCs w:val="21"/>
              </w:rPr>
              <w:t>产业转移园</w:t>
            </w:r>
            <w:r>
              <w:rPr>
                <w:rFonts w:hint="eastAsia" w:ascii="宋体" w:hAnsi="宋体" w:eastAsia="宋体" w:cs="宋体"/>
                <w:color w:val="000000"/>
                <w:sz w:val="21"/>
                <w:szCs w:val="21"/>
                <w:lang w:val="en-US" w:eastAsia="zh-CN"/>
              </w:rPr>
              <w:t>项</w:t>
            </w:r>
            <w:r>
              <w:rPr>
                <w:rFonts w:hint="eastAsia" w:ascii="宋体" w:hAnsi="宋体" w:eastAsia="宋体" w:cs="宋体"/>
                <w:color w:val="000000"/>
                <w:sz w:val="21"/>
                <w:szCs w:val="21"/>
              </w:rPr>
              <w:t>目推进情</w:t>
            </w:r>
            <w:r>
              <w:rPr>
                <w:rFonts w:hint="eastAsia" w:ascii="宋体" w:hAnsi="宋体" w:eastAsia="宋体" w:cs="宋体"/>
                <w:color w:val="000000"/>
                <w:sz w:val="21"/>
                <w:szCs w:val="21"/>
                <w:lang w:val="en-US" w:eastAsia="zh-CN"/>
              </w:rPr>
              <w:t>况</w:t>
            </w:r>
          </w:p>
        </w:tc>
      </w:tr>
    </w:tbl>
    <w:p w14:paraId="5EDB91CC">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40AD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018139D9">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4017645"/>
                  <wp:effectExtent l="0" t="0" r="10795" b="1905"/>
                  <wp:docPr id="8" name="图片 8" descr="南雄年鉴2019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南雄年鉴2019_0007"/>
                          <pic:cNvPicPr>
                            <a:picLocks noChangeAspect="1"/>
                          </pic:cNvPicPr>
                        </pic:nvPicPr>
                        <pic:blipFill>
                          <a:blip r:embed="rId19"/>
                          <a:stretch>
                            <a:fillRect/>
                          </a:stretch>
                        </pic:blipFill>
                        <pic:spPr>
                          <a:xfrm>
                            <a:off x="0" y="0"/>
                            <a:ext cx="6180455" cy="4017645"/>
                          </a:xfrm>
                          <a:prstGeom prst="rect">
                            <a:avLst/>
                          </a:prstGeom>
                        </pic:spPr>
                      </pic:pic>
                    </a:graphicData>
                  </a:graphic>
                </wp:inline>
              </w:drawing>
            </w:r>
          </w:p>
        </w:tc>
      </w:tr>
      <w:tr w14:paraId="5ADD3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0B46E30">
            <w:pPr>
              <w:rPr>
                <w:rFonts w:hint="default"/>
                <w:vertAlign w:val="baseline"/>
                <w:lang w:val="en-US" w:eastAsia="zh-CN"/>
              </w:rPr>
            </w:pPr>
            <w:r>
              <w:rPr>
                <w:rFonts w:hint="eastAsia" w:ascii="宋体" w:hAnsi="宋体" w:eastAsia="宋体" w:cs="宋体"/>
                <w:color w:val="3B3D3C"/>
                <w:sz w:val="21"/>
                <w:szCs w:val="21"/>
              </w:rPr>
              <w:t>2018年11月27日，南雄市委书</w:t>
            </w:r>
            <w:r>
              <w:rPr>
                <w:rFonts w:hint="eastAsia" w:ascii="宋体" w:hAnsi="宋体" w:eastAsia="宋体" w:cs="宋体"/>
                <w:color w:val="3B3D3C"/>
                <w:sz w:val="21"/>
                <w:szCs w:val="21"/>
                <w:lang w:val="en-US" w:eastAsia="zh-CN"/>
              </w:rPr>
              <w:t>记</w:t>
            </w:r>
            <w:r>
              <w:rPr>
                <w:rFonts w:hint="eastAsia" w:ascii="宋体" w:hAnsi="宋体" w:eastAsia="宋体" w:cs="宋体"/>
                <w:color w:val="3B3D3C"/>
                <w:sz w:val="21"/>
                <w:szCs w:val="21"/>
              </w:rPr>
              <w:t>王碧安接受韶关全</w:t>
            </w:r>
            <w:r>
              <w:rPr>
                <w:rFonts w:hint="eastAsia" w:ascii="宋体" w:hAnsi="宋体" w:eastAsia="宋体" w:cs="宋体"/>
                <w:color w:val="000000"/>
                <w:sz w:val="21"/>
                <w:szCs w:val="21"/>
              </w:rPr>
              <w:t>媒体微访</w:t>
            </w:r>
            <w:r>
              <w:rPr>
                <w:rFonts w:hint="eastAsia" w:ascii="宋体" w:hAnsi="宋体" w:eastAsia="宋体" w:cs="宋体"/>
                <w:color w:val="000000"/>
                <w:sz w:val="21"/>
                <w:szCs w:val="21"/>
                <w:lang w:val="en-US" w:eastAsia="zh-CN"/>
              </w:rPr>
              <w:t>谈</w:t>
            </w:r>
            <w:r>
              <w:rPr>
                <w:rFonts w:hint="eastAsia" w:ascii="宋体" w:hAnsi="宋体" w:eastAsia="宋体" w:cs="宋体"/>
                <w:color w:val="000000"/>
                <w:sz w:val="21"/>
                <w:szCs w:val="21"/>
              </w:rPr>
              <w:t>节目</w:t>
            </w:r>
            <w:r>
              <w:rPr>
                <w:rFonts w:hint="eastAsia" w:ascii="宋体" w:hAnsi="宋体" w:eastAsia="宋体" w:cs="宋体"/>
                <w:color w:val="3B3D3C"/>
                <w:sz w:val="21"/>
                <w:szCs w:val="21"/>
              </w:rPr>
              <w:t>《</w:t>
            </w:r>
            <w:r>
              <w:rPr>
                <w:rFonts w:hint="eastAsia" w:ascii="宋体" w:hAnsi="宋体" w:eastAsia="宋体" w:cs="宋体"/>
                <w:color w:val="3B3D3C"/>
                <w:sz w:val="21"/>
                <w:szCs w:val="21"/>
                <w:lang w:val="en-US" w:eastAsia="zh-CN"/>
              </w:rPr>
              <w:t>改</w:t>
            </w:r>
            <w:r>
              <w:rPr>
                <w:rFonts w:hint="eastAsia" w:ascii="宋体" w:hAnsi="宋体" w:eastAsia="宋体" w:cs="宋体"/>
                <w:color w:val="3B3D3C"/>
                <w:sz w:val="21"/>
                <w:szCs w:val="21"/>
              </w:rPr>
              <w:t>革新语》</w:t>
            </w:r>
            <w:r>
              <w:rPr>
                <w:rFonts w:hint="eastAsia" w:ascii="宋体" w:hAnsi="宋体" w:eastAsia="宋体" w:cs="宋体"/>
                <w:color w:val="000000"/>
                <w:sz w:val="21"/>
                <w:szCs w:val="21"/>
              </w:rPr>
              <w:t>：</w:t>
            </w:r>
            <w:r>
              <w:rPr>
                <w:rFonts w:hint="eastAsia" w:ascii="宋体" w:hAnsi="宋体" w:eastAsia="宋体" w:cs="宋体"/>
                <w:color w:val="3B3D3C"/>
                <w:sz w:val="21"/>
                <w:szCs w:val="21"/>
              </w:rPr>
              <w:t>奋力开</w:t>
            </w:r>
            <w:r>
              <w:rPr>
                <w:rFonts w:hint="eastAsia" w:ascii="宋体" w:hAnsi="宋体" w:eastAsia="宋体" w:cs="宋体"/>
                <w:color w:val="3B3D3C"/>
                <w:sz w:val="21"/>
                <w:szCs w:val="21"/>
                <w:lang w:val="en-US" w:eastAsia="zh-CN"/>
              </w:rPr>
              <w:t>创</w:t>
            </w:r>
            <w:r>
              <w:rPr>
                <w:rFonts w:hint="eastAsia" w:ascii="宋体" w:hAnsi="宋体" w:eastAsia="宋体" w:cs="宋体"/>
                <w:color w:val="3B3D3C"/>
                <w:sz w:val="21"/>
                <w:szCs w:val="21"/>
              </w:rPr>
              <w:t>南雄振兴</w:t>
            </w:r>
            <w:r>
              <w:rPr>
                <w:rFonts w:hint="eastAsia" w:ascii="宋体" w:hAnsi="宋体" w:eastAsia="宋体" w:cs="宋体"/>
                <w:color w:val="3B3D3C"/>
                <w:sz w:val="21"/>
                <w:szCs w:val="21"/>
                <w:lang w:val="en-US" w:eastAsia="zh-CN"/>
              </w:rPr>
              <w:t>发</w:t>
            </w:r>
            <w:r>
              <w:rPr>
                <w:rFonts w:hint="eastAsia" w:ascii="宋体" w:hAnsi="宋体" w:eastAsia="宋体" w:cs="宋体"/>
                <w:color w:val="3B3D3C"/>
                <w:sz w:val="21"/>
                <w:szCs w:val="21"/>
              </w:rPr>
              <w:t>展新局面（南雄市史志办</w:t>
            </w:r>
            <w:r>
              <w:rPr>
                <w:rFonts w:hint="eastAsia" w:ascii="宋体" w:hAnsi="宋体" w:eastAsia="宋体" w:cs="宋体"/>
                <w:color w:val="3B3D3C"/>
                <w:sz w:val="21"/>
                <w:szCs w:val="21"/>
                <w:lang w:val="en-US" w:eastAsia="zh-CN"/>
              </w:rPr>
              <w:t xml:space="preserve">  </w:t>
            </w:r>
            <w:r>
              <w:rPr>
                <w:rFonts w:hint="eastAsia" w:ascii="宋体" w:hAnsi="宋体" w:eastAsia="宋体" w:cs="宋体"/>
                <w:color w:val="3B3D3C"/>
                <w:sz w:val="21"/>
                <w:szCs w:val="21"/>
              </w:rPr>
              <w:t>供</w:t>
            </w:r>
            <w:r>
              <w:rPr>
                <w:rFonts w:hint="eastAsia" w:ascii="宋体" w:hAnsi="宋体" w:eastAsia="宋体" w:cs="宋体"/>
                <w:color w:val="000000"/>
                <w:sz w:val="21"/>
                <w:szCs w:val="21"/>
              </w:rPr>
              <w:t>）</w:t>
            </w:r>
          </w:p>
        </w:tc>
      </w:tr>
    </w:tbl>
    <w:p w14:paraId="47D96C11">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6787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F66C208">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805" cy="3949065"/>
                  <wp:effectExtent l="0" t="0" r="4445" b="13335"/>
                  <wp:docPr id="9" name="图片 9" descr="南雄年鉴2019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南雄年鉴2019_0008"/>
                          <pic:cNvPicPr>
                            <a:picLocks noChangeAspect="1"/>
                          </pic:cNvPicPr>
                        </pic:nvPicPr>
                        <pic:blipFill>
                          <a:blip r:embed="rId20"/>
                          <a:stretch>
                            <a:fillRect/>
                          </a:stretch>
                        </pic:blipFill>
                        <pic:spPr>
                          <a:xfrm>
                            <a:off x="0" y="0"/>
                            <a:ext cx="6186805" cy="3949065"/>
                          </a:xfrm>
                          <a:prstGeom prst="rect">
                            <a:avLst/>
                          </a:prstGeom>
                        </pic:spPr>
                      </pic:pic>
                    </a:graphicData>
                  </a:graphic>
                </wp:inline>
              </w:drawing>
            </w:r>
          </w:p>
        </w:tc>
      </w:tr>
      <w:tr w14:paraId="6A123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1535BE3C">
            <w:pPr>
              <w:rPr>
                <w:rFonts w:hint="default"/>
                <w:vertAlign w:val="baseline"/>
                <w:lang w:val="en-US" w:eastAsia="zh-CN"/>
              </w:rPr>
            </w:pPr>
            <w:r>
              <w:rPr>
                <w:rFonts w:hint="eastAsia" w:ascii="宋体" w:hAnsi="宋体" w:eastAsia="宋体" w:cs="宋体"/>
                <w:color w:val="3B3D3C"/>
                <w:sz w:val="21"/>
                <w:szCs w:val="21"/>
              </w:rPr>
              <w:t>2018年2月18日，为推</w:t>
            </w:r>
            <w:r>
              <w:rPr>
                <w:rFonts w:hint="eastAsia" w:ascii="宋体" w:hAnsi="宋体" w:eastAsia="宋体" w:cs="宋体"/>
                <w:color w:val="000000"/>
                <w:sz w:val="21"/>
                <w:szCs w:val="21"/>
              </w:rPr>
              <w:t>进美丽</w:t>
            </w:r>
            <w:r>
              <w:rPr>
                <w:rFonts w:hint="eastAsia" w:ascii="宋体" w:hAnsi="宋体" w:eastAsia="宋体" w:cs="宋体"/>
                <w:color w:val="000000"/>
                <w:sz w:val="21"/>
                <w:szCs w:val="21"/>
                <w:lang w:val="en-US" w:eastAsia="zh-CN"/>
              </w:rPr>
              <w:t>乡</w:t>
            </w:r>
            <w:r>
              <w:rPr>
                <w:rFonts w:hint="eastAsia" w:ascii="宋体" w:hAnsi="宋体" w:eastAsia="宋体" w:cs="宋体"/>
                <w:color w:val="000000"/>
                <w:sz w:val="21"/>
                <w:szCs w:val="21"/>
              </w:rPr>
              <w:t>村建设，</w:t>
            </w:r>
            <w:r>
              <w:rPr>
                <w:rFonts w:hint="eastAsia" w:ascii="宋体" w:hAnsi="宋体" w:eastAsia="宋体" w:cs="宋体"/>
                <w:color w:val="3B3D3C"/>
                <w:sz w:val="21"/>
                <w:szCs w:val="21"/>
              </w:rPr>
              <w:t>南雄市委副书</w:t>
            </w:r>
            <w:r>
              <w:rPr>
                <w:rFonts w:hint="eastAsia" w:ascii="宋体" w:hAnsi="宋体" w:eastAsia="宋体" w:cs="宋体"/>
                <w:color w:val="3B3D3C"/>
                <w:sz w:val="21"/>
                <w:szCs w:val="21"/>
                <w:lang w:val="en-US" w:eastAsia="zh-CN"/>
              </w:rPr>
              <w:t>记</w:t>
            </w:r>
            <w:r>
              <w:rPr>
                <w:rFonts w:hint="eastAsia" w:ascii="宋体" w:hAnsi="宋体" w:eastAsia="宋体" w:cs="宋体"/>
                <w:color w:val="3B3D3C"/>
                <w:sz w:val="21"/>
                <w:szCs w:val="21"/>
              </w:rPr>
              <w:t>、市长林</w:t>
            </w:r>
            <w:r>
              <w:rPr>
                <w:rFonts w:hint="eastAsia" w:ascii="宋体" w:hAnsi="宋体" w:eastAsia="宋体" w:cs="宋体"/>
                <w:color w:val="000000"/>
                <w:sz w:val="21"/>
                <w:szCs w:val="21"/>
              </w:rPr>
              <w:t>小龙</w:t>
            </w:r>
            <w:r>
              <w:rPr>
                <w:rFonts w:hint="eastAsia" w:ascii="宋体" w:hAnsi="宋体" w:eastAsia="宋体" w:cs="宋体"/>
                <w:color w:val="3B3D3C"/>
                <w:sz w:val="21"/>
                <w:szCs w:val="21"/>
              </w:rPr>
              <w:t>（前排左二）检</w:t>
            </w:r>
            <w:r>
              <w:rPr>
                <w:rFonts w:hint="eastAsia" w:ascii="宋体" w:hAnsi="宋体" w:eastAsia="宋体" w:cs="宋体"/>
                <w:color w:val="3B3D3C"/>
                <w:sz w:val="21"/>
                <w:szCs w:val="21"/>
                <w:lang w:val="en-US" w:eastAsia="zh-CN"/>
              </w:rPr>
              <w:t>查垃圾</w:t>
            </w:r>
            <w:r>
              <w:rPr>
                <w:rFonts w:hint="eastAsia" w:ascii="宋体" w:hAnsi="宋体" w:eastAsia="宋体" w:cs="宋体"/>
                <w:color w:val="3B3D3C"/>
                <w:sz w:val="21"/>
                <w:szCs w:val="21"/>
              </w:rPr>
              <w:t>压缩中转站</w:t>
            </w:r>
            <w:r>
              <w:rPr>
                <w:rFonts w:hint="eastAsia" w:ascii="宋体" w:hAnsi="宋体" w:eastAsia="宋体" w:cs="宋体"/>
                <w:color w:val="000000"/>
                <w:sz w:val="21"/>
                <w:szCs w:val="21"/>
              </w:rPr>
              <w:t>及</w:t>
            </w:r>
            <w:r>
              <w:rPr>
                <w:rFonts w:hint="eastAsia" w:ascii="宋体" w:hAnsi="宋体" w:eastAsia="宋体" w:cs="宋体"/>
                <w:color w:val="000000"/>
                <w:sz w:val="21"/>
                <w:szCs w:val="21"/>
                <w:lang w:val="en-US" w:eastAsia="zh-CN"/>
              </w:rPr>
              <w:t>垃圾</w:t>
            </w:r>
            <w:r>
              <w:rPr>
                <w:rFonts w:hint="eastAsia" w:ascii="宋体" w:hAnsi="宋体" w:eastAsia="宋体" w:cs="宋体"/>
                <w:color w:val="000000"/>
                <w:sz w:val="21"/>
                <w:szCs w:val="21"/>
              </w:rPr>
              <w:t>填埋场</w:t>
            </w:r>
            <w:r>
              <w:rPr>
                <w:rFonts w:hint="eastAsia" w:ascii="宋体" w:hAnsi="宋体" w:eastAsia="宋体" w:cs="宋体"/>
                <w:color w:val="3B3D3C"/>
                <w:sz w:val="21"/>
                <w:szCs w:val="21"/>
              </w:rPr>
              <w:t>建设情</w:t>
            </w:r>
            <w:r>
              <w:rPr>
                <w:rFonts w:hint="eastAsia" w:ascii="宋体" w:hAnsi="宋体" w:eastAsia="宋体" w:cs="宋体"/>
                <w:color w:val="000000"/>
                <w:sz w:val="21"/>
                <w:szCs w:val="21"/>
              </w:rPr>
              <w:t>况（蔡仁银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4FB8167C">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60E1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EF4E2B1">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3949065"/>
                  <wp:effectExtent l="0" t="0" r="10795" b="13335"/>
                  <wp:docPr id="10" name="图片 10" descr="南雄年鉴2019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南雄年鉴2019_0009"/>
                          <pic:cNvPicPr>
                            <a:picLocks noChangeAspect="1"/>
                          </pic:cNvPicPr>
                        </pic:nvPicPr>
                        <pic:blipFill>
                          <a:blip r:embed="rId21"/>
                          <a:stretch>
                            <a:fillRect/>
                          </a:stretch>
                        </pic:blipFill>
                        <pic:spPr>
                          <a:xfrm>
                            <a:off x="0" y="0"/>
                            <a:ext cx="6180455" cy="3949065"/>
                          </a:xfrm>
                          <a:prstGeom prst="rect">
                            <a:avLst/>
                          </a:prstGeom>
                        </pic:spPr>
                      </pic:pic>
                    </a:graphicData>
                  </a:graphic>
                </wp:inline>
              </w:drawing>
            </w:r>
          </w:p>
        </w:tc>
      </w:tr>
      <w:tr w14:paraId="5BA1E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406CF4A">
            <w:pPr>
              <w:rPr>
                <w:rFonts w:hint="default"/>
                <w:vertAlign w:val="baseline"/>
                <w:lang w:val="en-US" w:eastAsia="zh-CN"/>
              </w:rPr>
            </w:pPr>
            <w:r>
              <w:rPr>
                <w:rFonts w:hint="eastAsia" w:ascii="宋体" w:hAnsi="宋体" w:eastAsia="宋体" w:cs="宋体"/>
                <w:color w:val="323234"/>
                <w:sz w:val="21"/>
                <w:szCs w:val="21"/>
              </w:rPr>
              <w:t>2018年2月2日，中国共产党</w:t>
            </w:r>
            <w:r>
              <w:rPr>
                <w:rFonts w:hint="eastAsia" w:ascii="宋体" w:hAnsi="宋体" w:eastAsia="宋体" w:cs="宋体"/>
                <w:color w:val="000000"/>
                <w:sz w:val="21"/>
                <w:szCs w:val="21"/>
              </w:rPr>
              <w:t>南雄市第十</w:t>
            </w:r>
            <w:r>
              <w:rPr>
                <w:rFonts w:hint="eastAsia" w:ascii="宋体" w:hAnsi="宋体" w:eastAsia="宋体" w:cs="宋体"/>
                <w:color w:val="000000"/>
                <w:sz w:val="21"/>
                <w:szCs w:val="21"/>
                <w:lang w:val="en-US" w:eastAsia="zh-CN"/>
              </w:rPr>
              <w:t>三届委</w:t>
            </w:r>
            <w:r>
              <w:rPr>
                <w:rFonts w:hint="eastAsia" w:ascii="宋体" w:hAnsi="宋体" w:eastAsia="宋体" w:cs="宋体"/>
                <w:color w:val="000000"/>
                <w:sz w:val="21"/>
                <w:szCs w:val="21"/>
              </w:rPr>
              <w:t>员会</w:t>
            </w:r>
            <w:r>
              <w:rPr>
                <w:rFonts w:hint="eastAsia" w:ascii="宋体" w:hAnsi="宋体" w:eastAsia="宋体" w:cs="宋体"/>
                <w:color w:val="323234"/>
                <w:sz w:val="21"/>
                <w:szCs w:val="21"/>
              </w:rPr>
              <w:t>第五次全体会议召</w:t>
            </w:r>
            <w:r>
              <w:rPr>
                <w:rFonts w:hint="eastAsia" w:ascii="宋体" w:hAnsi="宋体" w:eastAsia="宋体" w:cs="宋体"/>
                <w:color w:val="000000"/>
                <w:sz w:val="21"/>
                <w:szCs w:val="21"/>
              </w:rPr>
              <w:t>开（蔡仁银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5EAEBB65">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E94C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3A65E3F">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8075" cy="3863340"/>
                  <wp:effectExtent l="0" t="0" r="3175" b="3810"/>
                  <wp:docPr id="11" name="图片 11" descr="南雄年鉴2019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南雄年鉴2019_0010"/>
                          <pic:cNvPicPr>
                            <a:picLocks noChangeAspect="1"/>
                          </pic:cNvPicPr>
                        </pic:nvPicPr>
                        <pic:blipFill>
                          <a:blip r:embed="rId22"/>
                          <a:stretch>
                            <a:fillRect/>
                          </a:stretch>
                        </pic:blipFill>
                        <pic:spPr>
                          <a:xfrm>
                            <a:off x="0" y="0"/>
                            <a:ext cx="6188075" cy="3863340"/>
                          </a:xfrm>
                          <a:prstGeom prst="rect">
                            <a:avLst/>
                          </a:prstGeom>
                        </pic:spPr>
                      </pic:pic>
                    </a:graphicData>
                  </a:graphic>
                </wp:inline>
              </w:drawing>
            </w:r>
          </w:p>
        </w:tc>
      </w:tr>
      <w:tr w14:paraId="37083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9962" w:type="dxa"/>
            <w:tcBorders>
              <w:top w:val="nil"/>
              <w:left w:val="nil"/>
              <w:bottom w:val="nil"/>
              <w:right w:val="nil"/>
            </w:tcBorders>
          </w:tcPr>
          <w:p w14:paraId="3B7CCB87">
            <w:pPr>
              <w:rPr>
                <w:rFonts w:hint="default"/>
                <w:vertAlign w:val="baseline"/>
                <w:lang w:val="en-US" w:eastAsia="zh-CN"/>
              </w:rPr>
            </w:pPr>
            <w:r>
              <w:rPr>
                <w:rFonts w:hint="eastAsia" w:ascii="宋体" w:hAnsi="宋体" w:eastAsia="宋体" w:cs="宋体"/>
                <w:color w:val="323234"/>
                <w:sz w:val="21"/>
                <w:szCs w:val="21"/>
              </w:rPr>
              <w:t>2018年2月9日，中国共产党</w:t>
            </w:r>
            <w:r>
              <w:rPr>
                <w:rFonts w:hint="eastAsia" w:ascii="宋体" w:hAnsi="宋体" w:eastAsia="宋体" w:cs="宋体"/>
                <w:color w:val="000000"/>
                <w:sz w:val="21"/>
                <w:szCs w:val="21"/>
              </w:rPr>
              <w:t>南雄市第十三届纪律</w:t>
            </w:r>
            <w:r>
              <w:rPr>
                <w:rFonts w:hint="eastAsia" w:ascii="宋体" w:hAnsi="宋体" w:eastAsia="宋体" w:cs="宋体"/>
                <w:color w:val="323234"/>
                <w:sz w:val="21"/>
                <w:szCs w:val="21"/>
              </w:rPr>
              <w:t>检查委员会</w:t>
            </w:r>
            <w:r>
              <w:rPr>
                <w:rFonts w:hint="eastAsia" w:ascii="宋体" w:hAnsi="宋体" w:eastAsia="宋体" w:cs="宋体"/>
                <w:color w:val="000000"/>
                <w:sz w:val="21"/>
                <w:szCs w:val="21"/>
              </w:rPr>
              <w:t>第三次全体会议召</w:t>
            </w:r>
            <w:r>
              <w:rPr>
                <w:rFonts w:hint="eastAsia" w:cs="宋体"/>
                <w:color w:val="000000"/>
                <w:sz w:val="21"/>
                <w:szCs w:val="21"/>
                <w:lang w:val="en-US" w:eastAsia="zh-CN"/>
              </w:rPr>
              <w:t>开</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4399852F">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9A4B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CE0B1BC">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3966210"/>
                  <wp:effectExtent l="0" t="0" r="10795" b="15240"/>
                  <wp:docPr id="12" name="图片 12" descr="南雄年鉴2019_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南雄年鉴2019_0011"/>
                          <pic:cNvPicPr>
                            <a:picLocks noChangeAspect="1"/>
                          </pic:cNvPicPr>
                        </pic:nvPicPr>
                        <pic:blipFill>
                          <a:blip r:embed="rId23"/>
                          <a:stretch>
                            <a:fillRect/>
                          </a:stretch>
                        </pic:blipFill>
                        <pic:spPr>
                          <a:xfrm>
                            <a:off x="0" y="0"/>
                            <a:ext cx="6180455" cy="3966210"/>
                          </a:xfrm>
                          <a:prstGeom prst="rect">
                            <a:avLst/>
                          </a:prstGeom>
                        </pic:spPr>
                      </pic:pic>
                    </a:graphicData>
                  </a:graphic>
                </wp:inline>
              </w:drawing>
            </w:r>
          </w:p>
        </w:tc>
      </w:tr>
      <w:tr w14:paraId="32B5E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2F74700">
            <w:pPr>
              <w:rPr>
                <w:rFonts w:hint="default"/>
                <w:vertAlign w:val="baseline"/>
                <w:lang w:val="en-US" w:eastAsia="zh-CN"/>
              </w:rPr>
            </w:pPr>
            <w:r>
              <w:rPr>
                <w:rFonts w:hint="eastAsia" w:ascii="宋体" w:hAnsi="宋体" w:eastAsia="宋体" w:cs="宋体"/>
                <w:color w:val="363739"/>
                <w:sz w:val="21"/>
                <w:szCs w:val="21"/>
              </w:rPr>
              <w:t>2018年3月27</w:t>
            </w:r>
            <w:r>
              <w:rPr>
                <w:rFonts w:hint="eastAsia" w:cs="宋体"/>
                <w:color w:val="363739"/>
                <w:sz w:val="21"/>
                <w:szCs w:val="21"/>
                <w:lang w:val="en-US" w:eastAsia="zh-CN"/>
              </w:rPr>
              <w:t>-</w:t>
            </w:r>
            <w:r>
              <w:rPr>
                <w:rFonts w:hint="eastAsia" w:ascii="宋体" w:hAnsi="宋体" w:eastAsia="宋体" w:cs="宋体"/>
                <w:color w:val="363739"/>
                <w:sz w:val="21"/>
                <w:szCs w:val="21"/>
              </w:rPr>
              <w:t>28日，中国人民政治协商</w:t>
            </w:r>
            <w:r>
              <w:rPr>
                <w:rFonts w:hint="eastAsia" w:ascii="宋体" w:hAnsi="宋体" w:eastAsia="宋体" w:cs="宋体"/>
                <w:color w:val="000000"/>
                <w:sz w:val="21"/>
                <w:szCs w:val="21"/>
              </w:rPr>
              <w:t>会议南</w:t>
            </w:r>
            <w:r>
              <w:rPr>
                <w:rFonts w:hint="eastAsia" w:ascii="宋体" w:hAnsi="宋体" w:eastAsia="宋体" w:cs="宋体"/>
                <w:color w:val="363739"/>
                <w:sz w:val="21"/>
                <w:szCs w:val="21"/>
              </w:rPr>
              <w:t>雄市第十届委员会</w:t>
            </w:r>
            <w:r>
              <w:rPr>
                <w:rFonts w:hint="eastAsia" w:ascii="宋体" w:hAnsi="宋体" w:eastAsia="宋体" w:cs="宋体"/>
                <w:color w:val="000000"/>
                <w:sz w:val="21"/>
                <w:szCs w:val="21"/>
              </w:rPr>
              <w:t>第三次会议召</w:t>
            </w:r>
            <w:r>
              <w:rPr>
                <w:rFonts w:hint="eastAsia" w:ascii="宋体" w:hAnsi="宋体" w:eastAsia="宋体" w:cs="宋体"/>
                <w:color w:val="000000"/>
                <w:sz w:val="21"/>
                <w:szCs w:val="21"/>
                <w:lang w:val="en-US" w:eastAsia="zh-CN"/>
              </w:rPr>
              <w:t>开</w:t>
            </w:r>
            <w:r>
              <w:rPr>
                <w:rFonts w:hint="eastAsia" w:ascii="宋体" w:hAnsi="宋体" w:eastAsia="宋体" w:cs="宋体"/>
                <w:color w:val="363739"/>
                <w:sz w:val="21"/>
                <w:szCs w:val="21"/>
              </w:rPr>
              <w:t>（肖锋</w:t>
            </w:r>
            <w:r>
              <w:rPr>
                <w:rFonts w:hint="eastAsia" w:ascii="宋体" w:hAnsi="宋体" w:eastAsia="宋体" w:cs="宋体"/>
                <w:color w:val="363739"/>
                <w:sz w:val="21"/>
                <w:szCs w:val="21"/>
                <w:lang w:val="en-US" w:eastAsia="zh-CN"/>
              </w:rPr>
              <w:t xml:space="preserve">  摄</w:t>
            </w:r>
            <w:r>
              <w:rPr>
                <w:rFonts w:hint="eastAsia" w:ascii="宋体" w:hAnsi="宋体" w:eastAsia="宋体" w:cs="宋体"/>
                <w:color w:val="363739"/>
                <w:sz w:val="21"/>
                <w:szCs w:val="21"/>
              </w:rPr>
              <w:t>）</w:t>
            </w:r>
          </w:p>
        </w:tc>
      </w:tr>
    </w:tbl>
    <w:p w14:paraId="33BAD143">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01CE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6FDBC55">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3903345"/>
                  <wp:effectExtent l="0" t="0" r="10795" b="1905"/>
                  <wp:docPr id="13" name="图片 13" descr="南雄年鉴2019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南雄年鉴2019_0012"/>
                          <pic:cNvPicPr>
                            <a:picLocks noChangeAspect="1"/>
                          </pic:cNvPicPr>
                        </pic:nvPicPr>
                        <pic:blipFill>
                          <a:blip r:embed="rId24"/>
                          <a:stretch>
                            <a:fillRect/>
                          </a:stretch>
                        </pic:blipFill>
                        <pic:spPr>
                          <a:xfrm>
                            <a:off x="0" y="0"/>
                            <a:ext cx="6180455" cy="3903345"/>
                          </a:xfrm>
                          <a:prstGeom prst="rect">
                            <a:avLst/>
                          </a:prstGeom>
                        </pic:spPr>
                      </pic:pic>
                    </a:graphicData>
                  </a:graphic>
                </wp:inline>
              </w:drawing>
            </w:r>
          </w:p>
        </w:tc>
      </w:tr>
      <w:tr w14:paraId="30586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7E99E49">
            <w:pPr>
              <w:rPr>
                <w:rFonts w:hint="default"/>
                <w:vertAlign w:val="baseline"/>
                <w:lang w:val="en-US" w:eastAsia="zh-CN"/>
              </w:rPr>
            </w:pPr>
            <w:r>
              <w:rPr>
                <w:rFonts w:hint="eastAsia" w:ascii="宋体" w:hAnsi="宋体" w:eastAsia="宋体" w:cs="宋体"/>
                <w:color w:val="363739"/>
                <w:sz w:val="21"/>
                <w:szCs w:val="21"/>
              </w:rPr>
              <w:t>2018</w:t>
            </w:r>
            <w:r>
              <w:rPr>
                <w:rFonts w:hint="eastAsia" w:ascii="宋体" w:hAnsi="宋体" w:eastAsia="宋体" w:cs="宋体"/>
                <w:color w:val="363739"/>
                <w:sz w:val="21"/>
                <w:szCs w:val="21"/>
                <w:lang w:val="en-US" w:eastAsia="zh-CN"/>
              </w:rPr>
              <w:t>年</w:t>
            </w:r>
            <w:r>
              <w:rPr>
                <w:rFonts w:hint="eastAsia" w:ascii="宋体" w:hAnsi="宋体" w:eastAsia="宋体" w:cs="宋体"/>
                <w:color w:val="363739"/>
                <w:sz w:val="21"/>
                <w:szCs w:val="21"/>
              </w:rPr>
              <w:t>3月28</w:t>
            </w:r>
            <w:r>
              <w:rPr>
                <w:rFonts w:hint="eastAsia" w:cs="宋体"/>
                <w:color w:val="363739"/>
                <w:sz w:val="21"/>
                <w:szCs w:val="21"/>
                <w:lang w:val="en-US" w:eastAsia="zh-CN"/>
              </w:rPr>
              <w:t>-</w:t>
            </w:r>
            <w:r>
              <w:rPr>
                <w:rFonts w:hint="eastAsia" w:ascii="宋体" w:hAnsi="宋体" w:eastAsia="宋体" w:cs="宋体"/>
                <w:color w:val="363739"/>
                <w:sz w:val="21"/>
                <w:szCs w:val="21"/>
              </w:rPr>
              <w:t>29日，南雄市第十五届人民代表大会第四次会议召</w:t>
            </w:r>
            <w:r>
              <w:rPr>
                <w:rFonts w:hint="eastAsia" w:ascii="宋体" w:hAnsi="宋体" w:eastAsia="宋体" w:cs="宋体"/>
                <w:color w:val="000000"/>
                <w:sz w:val="21"/>
                <w:szCs w:val="21"/>
              </w:rPr>
              <w:t>开（蔡仁银</w:t>
            </w:r>
            <w:r>
              <w:rPr>
                <w:rFonts w:hint="eastAsia" w:cs="宋体"/>
                <w:color w:val="000000"/>
                <w:sz w:val="21"/>
                <w:szCs w:val="21"/>
                <w:lang w:val="en-US" w:eastAsia="zh-CN"/>
              </w:rPr>
              <w:t xml:space="preserve">  </w:t>
            </w:r>
            <w:r>
              <w:rPr>
                <w:rFonts w:hint="eastAsia" w:ascii="宋体" w:hAnsi="宋体" w:eastAsia="宋体" w:cs="宋体"/>
                <w:color w:val="000000"/>
                <w:sz w:val="21"/>
                <w:szCs w:val="21"/>
                <w:lang w:val="en-US" w:eastAsia="zh-CN"/>
              </w:rPr>
              <w:t>摄</w:t>
            </w:r>
            <w:r>
              <w:rPr>
                <w:rFonts w:hint="eastAsia" w:ascii="宋体" w:hAnsi="宋体" w:eastAsia="宋体" w:cs="宋体"/>
                <w:color w:val="000000"/>
                <w:sz w:val="21"/>
                <w:szCs w:val="21"/>
              </w:rPr>
              <w:t>）</w:t>
            </w:r>
          </w:p>
        </w:tc>
      </w:tr>
    </w:tbl>
    <w:p w14:paraId="5981FFA8">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FED3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8AA0472">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900" cy="4011930"/>
                  <wp:effectExtent l="0" t="0" r="6350" b="7620"/>
                  <wp:docPr id="14" name="图片 14" descr="南雄年鉴2019_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南雄年鉴2019_0013"/>
                          <pic:cNvPicPr>
                            <a:picLocks noChangeAspect="1"/>
                          </pic:cNvPicPr>
                        </pic:nvPicPr>
                        <pic:blipFill>
                          <a:blip r:embed="rId25"/>
                          <a:stretch>
                            <a:fillRect/>
                          </a:stretch>
                        </pic:blipFill>
                        <pic:spPr>
                          <a:xfrm>
                            <a:off x="0" y="0"/>
                            <a:ext cx="6184900" cy="4011930"/>
                          </a:xfrm>
                          <a:prstGeom prst="rect">
                            <a:avLst/>
                          </a:prstGeom>
                        </pic:spPr>
                      </pic:pic>
                    </a:graphicData>
                  </a:graphic>
                </wp:inline>
              </w:drawing>
            </w:r>
          </w:p>
        </w:tc>
      </w:tr>
      <w:tr w14:paraId="58DFF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28C51735">
            <w:pPr>
              <w:rPr>
                <w:rFonts w:hint="default"/>
                <w:vertAlign w:val="baseline"/>
                <w:lang w:val="en-US" w:eastAsia="zh-CN"/>
              </w:rPr>
            </w:pPr>
            <w:r>
              <w:rPr>
                <w:rFonts w:hint="eastAsia" w:ascii="宋体" w:hAnsi="宋体" w:eastAsia="宋体" w:cs="宋体"/>
                <w:color w:val="353539"/>
                <w:sz w:val="21"/>
                <w:szCs w:val="21"/>
              </w:rPr>
              <w:t>2018年6月21日，韶关市</w:t>
            </w:r>
            <w:r>
              <w:rPr>
                <w:rFonts w:hint="eastAsia" w:ascii="宋体" w:hAnsi="宋体" w:eastAsia="宋体" w:cs="宋体"/>
                <w:color w:val="000000"/>
                <w:sz w:val="21"/>
                <w:szCs w:val="21"/>
              </w:rPr>
              <w:t>水田垦造</w:t>
            </w:r>
            <w:r>
              <w:rPr>
                <w:rFonts w:hint="eastAsia" w:ascii="宋体" w:hAnsi="宋体" w:eastAsia="宋体" w:cs="宋体"/>
                <w:color w:val="353539"/>
                <w:sz w:val="21"/>
                <w:szCs w:val="21"/>
              </w:rPr>
              <w:t>工作</w:t>
            </w:r>
            <w:r>
              <w:rPr>
                <w:rFonts w:hint="eastAsia" w:ascii="宋体" w:hAnsi="宋体" w:eastAsia="宋体" w:cs="宋体"/>
                <w:color w:val="353539"/>
                <w:sz w:val="21"/>
                <w:szCs w:val="21"/>
                <w:lang w:val="en-US" w:eastAsia="zh-CN"/>
              </w:rPr>
              <w:t>现场</w:t>
            </w:r>
            <w:r>
              <w:rPr>
                <w:rFonts w:hint="eastAsia" w:ascii="宋体" w:hAnsi="宋体" w:eastAsia="宋体" w:cs="宋体"/>
                <w:color w:val="353539"/>
                <w:sz w:val="21"/>
                <w:szCs w:val="21"/>
              </w:rPr>
              <w:t>会在南雄市召开（</w:t>
            </w:r>
            <w:r>
              <w:rPr>
                <w:rFonts w:hint="eastAsia" w:ascii="宋体" w:hAnsi="宋体" w:eastAsia="宋体" w:cs="宋体"/>
                <w:color w:val="000000"/>
                <w:sz w:val="21"/>
                <w:szCs w:val="21"/>
              </w:rPr>
              <w:t>张伟杰</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摄）</w:t>
            </w:r>
          </w:p>
        </w:tc>
      </w:tr>
    </w:tbl>
    <w:p w14:paraId="55F54BF0">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5169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0783BE6">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900" cy="4029075"/>
                  <wp:effectExtent l="0" t="0" r="6350" b="9525"/>
                  <wp:docPr id="15" name="图片 15" descr="南雄年鉴2019_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南雄年鉴2019_0014"/>
                          <pic:cNvPicPr>
                            <a:picLocks noChangeAspect="1"/>
                          </pic:cNvPicPr>
                        </pic:nvPicPr>
                        <pic:blipFill>
                          <a:blip r:embed="rId26"/>
                          <a:stretch>
                            <a:fillRect/>
                          </a:stretch>
                        </pic:blipFill>
                        <pic:spPr>
                          <a:xfrm>
                            <a:off x="0" y="0"/>
                            <a:ext cx="6184900" cy="4029075"/>
                          </a:xfrm>
                          <a:prstGeom prst="rect">
                            <a:avLst/>
                          </a:prstGeom>
                        </pic:spPr>
                      </pic:pic>
                    </a:graphicData>
                  </a:graphic>
                </wp:inline>
              </w:drawing>
            </w:r>
          </w:p>
        </w:tc>
      </w:tr>
      <w:tr w14:paraId="0F9C1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45E9B6C">
            <w:pPr>
              <w:rPr>
                <w:rFonts w:hint="default"/>
                <w:vertAlign w:val="baseline"/>
                <w:lang w:val="en-US" w:eastAsia="zh-CN"/>
              </w:rPr>
            </w:pPr>
            <w:r>
              <w:rPr>
                <w:rFonts w:hint="eastAsia" w:ascii="宋体" w:hAnsi="宋体" w:eastAsia="宋体" w:cs="宋体"/>
                <w:color w:val="353539"/>
                <w:sz w:val="21"/>
                <w:szCs w:val="21"/>
              </w:rPr>
              <w:t>2018年6月29日，广东省</w:t>
            </w:r>
            <w:r>
              <w:rPr>
                <w:rFonts w:hint="eastAsia" w:ascii="宋体" w:hAnsi="宋体" w:eastAsia="宋体" w:cs="宋体"/>
                <w:color w:val="000000"/>
                <w:sz w:val="21"/>
                <w:szCs w:val="21"/>
              </w:rPr>
              <w:t>抓党建促脱贫攻</w:t>
            </w:r>
            <w:r>
              <w:rPr>
                <w:rFonts w:hint="eastAsia" w:ascii="宋体" w:hAnsi="宋体" w:eastAsia="宋体" w:cs="宋体"/>
                <w:color w:val="353539"/>
                <w:sz w:val="21"/>
                <w:szCs w:val="21"/>
              </w:rPr>
              <w:t>坚工作</w:t>
            </w:r>
            <w:r>
              <w:rPr>
                <w:rFonts w:hint="eastAsia" w:ascii="宋体" w:hAnsi="宋体" w:eastAsia="宋体" w:cs="宋体"/>
                <w:color w:val="353539"/>
                <w:sz w:val="21"/>
                <w:szCs w:val="21"/>
                <w:lang w:val="en-US" w:eastAsia="zh-CN"/>
              </w:rPr>
              <w:t>现场</w:t>
            </w:r>
            <w:r>
              <w:rPr>
                <w:rFonts w:hint="eastAsia" w:ascii="宋体" w:hAnsi="宋体" w:eastAsia="宋体" w:cs="宋体"/>
                <w:color w:val="353539"/>
                <w:sz w:val="21"/>
                <w:szCs w:val="21"/>
              </w:rPr>
              <w:t>会在南雄召开</w:t>
            </w:r>
          </w:p>
        </w:tc>
      </w:tr>
    </w:tbl>
    <w:p w14:paraId="4F0C6075">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57FE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EB726A7">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995" cy="3909060"/>
                  <wp:effectExtent l="0" t="0" r="8255" b="15240"/>
                  <wp:docPr id="16" name="图片 16" descr="南雄年鉴2019_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南雄年鉴2019_0015"/>
                          <pic:cNvPicPr>
                            <a:picLocks noChangeAspect="1"/>
                          </pic:cNvPicPr>
                        </pic:nvPicPr>
                        <pic:blipFill>
                          <a:blip r:embed="rId27"/>
                          <a:stretch>
                            <a:fillRect/>
                          </a:stretch>
                        </pic:blipFill>
                        <pic:spPr>
                          <a:xfrm>
                            <a:off x="0" y="0"/>
                            <a:ext cx="6182995" cy="3909060"/>
                          </a:xfrm>
                          <a:prstGeom prst="rect">
                            <a:avLst/>
                          </a:prstGeom>
                        </pic:spPr>
                      </pic:pic>
                    </a:graphicData>
                  </a:graphic>
                </wp:inline>
              </w:drawing>
            </w:r>
          </w:p>
        </w:tc>
      </w:tr>
      <w:tr w14:paraId="15551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FF32A7A">
            <w:pPr>
              <w:rPr>
                <w:rFonts w:hint="default"/>
                <w:vertAlign w:val="baseline"/>
                <w:lang w:val="en-US" w:eastAsia="zh-CN"/>
              </w:rPr>
            </w:pPr>
            <w:r>
              <w:rPr>
                <w:rFonts w:hint="eastAsia" w:ascii="宋体" w:hAnsi="宋体" w:eastAsia="宋体" w:cs="宋体"/>
                <w:color w:val="3E4042"/>
                <w:sz w:val="21"/>
                <w:szCs w:val="21"/>
              </w:rPr>
              <w:t>2018年7月6日，举行</w:t>
            </w:r>
            <w:r>
              <w:rPr>
                <w:rFonts w:hint="eastAsia" w:ascii="宋体" w:hAnsi="宋体" w:eastAsia="宋体" w:cs="宋体"/>
                <w:color w:val="000000"/>
                <w:sz w:val="21"/>
                <w:szCs w:val="21"/>
              </w:rPr>
              <w:t>广东</w:t>
            </w:r>
            <w:r>
              <w:rPr>
                <w:rFonts w:hint="eastAsia" w:ascii="宋体" w:hAnsi="宋体" w:eastAsia="宋体" w:cs="宋体"/>
                <w:color w:val="000000"/>
                <w:sz w:val="21"/>
                <w:szCs w:val="21"/>
                <w:lang w:val="en-US" w:eastAsia="zh-CN"/>
              </w:rPr>
              <w:t>经</w:t>
            </w:r>
            <w:r>
              <w:rPr>
                <w:rFonts w:hint="eastAsia" w:ascii="宋体" w:hAnsi="宋体" w:eastAsia="宋体" w:cs="宋体"/>
                <w:color w:val="000000"/>
                <w:sz w:val="21"/>
                <w:szCs w:val="21"/>
              </w:rPr>
              <w:t>济</w:t>
            </w:r>
            <w:r>
              <w:rPr>
                <w:rFonts w:hint="eastAsia" w:ascii="宋体" w:hAnsi="宋体" w:eastAsia="宋体" w:cs="宋体"/>
                <w:color w:val="3E4042"/>
                <w:sz w:val="21"/>
                <w:szCs w:val="21"/>
              </w:rPr>
              <w:t>形势</w:t>
            </w:r>
            <w:r>
              <w:rPr>
                <w:rFonts w:hint="eastAsia" w:ascii="宋体" w:hAnsi="宋体" w:eastAsia="宋体" w:cs="宋体"/>
                <w:color w:val="3E4042"/>
                <w:sz w:val="21"/>
                <w:szCs w:val="21"/>
                <w:lang w:val="en-US" w:eastAsia="zh-CN"/>
              </w:rPr>
              <w:t>报</w:t>
            </w:r>
            <w:r>
              <w:rPr>
                <w:rFonts w:hint="eastAsia" w:ascii="宋体" w:hAnsi="宋体" w:eastAsia="宋体" w:cs="宋体"/>
                <w:color w:val="3E4042"/>
                <w:sz w:val="21"/>
                <w:szCs w:val="21"/>
              </w:rPr>
              <w:t>告会南雄</w:t>
            </w:r>
            <w:r>
              <w:rPr>
                <w:rFonts w:hint="eastAsia" w:ascii="宋体" w:hAnsi="宋体" w:eastAsia="宋体" w:cs="宋体"/>
                <w:color w:val="3E4042"/>
                <w:sz w:val="21"/>
                <w:szCs w:val="21"/>
                <w:lang w:val="en-US" w:eastAsia="zh-CN"/>
              </w:rPr>
              <w:t>专场</w:t>
            </w:r>
            <w:r>
              <w:rPr>
                <w:rFonts w:hint="eastAsia" w:ascii="宋体" w:hAnsi="宋体" w:eastAsia="宋体" w:cs="宋体"/>
                <w:color w:val="3E4042"/>
                <w:sz w:val="21"/>
                <w:szCs w:val="21"/>
              </w:rPr>
              <w:t>会议（</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7864AC31">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7A84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EA8F51F">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805" cy="3949065"/>
                  <wp:effectExtent l="0" t="0" r="4445" b="13335"/>
                  <wp:docPr id="17" name="图片 17" descr="南雄年鉴2019_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南雄年鉴2019_0016"/>
                          <pic:cNvPicPr>
                            <a:picLocks noChangeAspect="1"/>
                          </pic:cNvPicPr>
                        </pic:nvPicPr>
                        <pic:blipFill>
                          <a:blip r:embed="rId28"/>
                          <a:stretch>
                            <a:fillRect/>
                          </a:stretch>
                        </pic:blipFill>
                        <pic:spPr>
                          <a:xfrm>
                            <a:off x="0" y="0"/>
                            <a:ext cx="6186805" cy="3949065"/>
                          </a:xfrm>
                          <a:prstGeom prst="rect">
                            <a:avLst/>
                          </a:prstGeom>
                        </pic:spPr>
                      </pic:pic>
                    </a:graphicData>
                  </a:graphic>
                </wp:inline>
              </w:drawing>
            </w:r>
          </w:p>
        </w:tc>
      </w:tr>
      <w:tr w14:paraId="22C86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1C71266">
            <w:pPr>
              <w:rPr>
                <w:rFonts w:hint="default"/>
                <w:vertAlign w:val="baseline"/>
                <w:lang w:val="en-US" w:eastAsia="zh-CN"/>
              </w:rPr>
            </w:pPr>
            <w:r>
              <w:rPr>
                <w:rFonts w:hint="eastAsia" w:ascii="宋体" w:hAnsi="宋体" w:eastAsia="宋体" w:cs="宋体"/>
                <w:color w:val="3E4042"/>
                <w:sz w:val="21"/>
                <w:szCs w:val="21"/>
              </w:rPr>
              <w:t>2018年8月22日，南雄市召开</w:t>
            </w:r>
            <w:r>
              <w:rPr>
                <w:rFonts w:hint="eastAsia" w:ascii="宋体" w:hAnsi="宋体" w:eastAsia="宋体" w:cs="宋体"/>
                <w:color w:val="3E4042"/>
                <w:sz w:val="21"/>
                <w:szCs w:val="21"/>
                <w:lang w:val="en-US" w:eastAsia="zh-CN"/>
              </w:rPr>
              <w:t>实</w:t>
            </w:r>
            <w:r>
              <w:rPr>
                <w:rFonts w:hint="eastAsia" w:ascii="宋体" w:hAnsi="宋体" w:eastAsia="宋体" w:cs="宋体"/>
                <w:color w:val="3E4042"/>
                <w:sz w:val="21"/>
                <w:szCs w:val="21"/>
              </w:rPr>
              <w:t>施乡村</w:t>
            </w:r>
            <w:r>
              <w:rPr>
                <w:rFonts w:hint="eastAsia" w:ascii="宋体" w:hAnsi="宋体" w:eastAsia="宋体" w:cs="宋体"/>
                <w:color w:val="000000"/>
                <w:sz w:val="21"/>
                <w:szCs w:val="21"/>
              </w:rPr>
              <w:t>振兴</w:t>
            </w:r>
            <w:r>
              <w:rPr>
                <w:rFonts w:hint="eastAsia" w:ascii="宋体" w:hAnsi="宋体" w:eastAsia="宋体" w:cs="宋体"/>
                <w:color w:val="000000"/>
                <w:sz w:val="21"/>
                <w:szCs w:val="21"/>
                <w:lang w:val="en-US" w:eastAsia="zh-CN"/>
              </w:rPr>
              <w:t>战</w:t>
            </w:r>
            <w:r>
              <w:rPr>
                <w:rFonts w:hint="eastAsia" w:ascii="宋体" w:hAnsi="宋体" w:eastAsia="宋体" w:cs="宋体"/>
                <w:color w:val="000000"/>
                <w:sz w:val="21"/>
                <w:szCs w:val="21"/>
              </w:rPr>
              <w:t>略暨</w:t>
            </w:r>
            <w:r>
              <w:rPr>
                <w:rFonts w:hint="eastAsia" w:ascii="宋体" w:hAnsi="宋体" w:eastAsia="宋体" w:cs="宋体"/>
                <w:color w:val="3E4042"/>
                <w:sz w:val="21"/>
                <w:szCs w:val="21"/>
              </w:rPr>
              <w:t>打赢脱</w:t>
            </w:r>
            <w:r>
              <w:rPr>
                <w:rFonts w:hint="eastAsia" w:ascii="宋体" w:hAnsi="宋体" w:eastAsia="宋体" w:cs="宋体"/>
                <w:color w:val="000000"/>
                <w:sz w:val="21"/>
                <w:szCs w:val="21"/>
              </w:rPr>
              <w:t>贫攻坚推</w:t>
            </w:r>
            <w:r>
              <w:rPr>
                <w:rFonts w:hint="eastAsia" w:ascii="宋体" w:hAnsi="宋体" w:eastAsia="宋体" w:cs="宋体"/>
                <w:color w:val="3E4042"/>
                <w:sz w:val="21"/>
                <w:szCs w:val="21"/>
              </w:rPr>
              <w:t>进会议，</w:t>
            </w:r>
            <w:r>
              <w:rPr>
                <w:rFonts w:hint="eastAsia" w:ascii="宋体" w:hAnsi="宋体" w:eastAsia="宋体" w:cs="宋体"/>
                <w:color w:val="000000"/>
                <w:sz w:val="21"/>
                <w:szCs w:val="21"/>
              </w:rPr>
              <w:t>现场为12名2018年度韶关市</w:t>
            </w:r>
            <w:r>
              <w:rPr>
                <w:rFonts w:hint="eastAsia" w:ascii="宋体" w:hAnsi="宋体" w:eastAsia="宋体" w:cs="宋体"/>
                <w:color w:val="3E4042"/>
                <w:sz w:val="21"/>
                <w:szCs w:val="21"/>
              </w:rPr>
              <w:t>“最可爱的</w:t>
            </w:r>
            <w:r>
              <w:rPr>
                <w:rFonts w:hint="eastAsia" w:ascii="宋体" w:hAnsi="宋体" w:eastAsia="宋体" w:cs="宋体"/>
                <w:color w:val="000000"/>
                <w:sz w:val="21"/>
                <w:szCs w:val="21"/>
              </w:rPr>
              <w:t>脱贫</w:t>
            </w:r>
            <w:r>
              <w:rPr>
                <w:rFonts w:hint="eastAsia" w:ascii="宋体" w:hAnsi="宋体" w:eastAsia="宋体" w:cs="宋体"/>
                <w:color w:val="3E4042"/>
                <w:sz w:val="21"/>
                <w:szCs w:val="21"/>
              </w:rPr>
              <w:t>攻坚人</w:t>
            </w:r>
            <w:r>
              <w:rPr>
                <w:rFonts w:hint="eastAsia" w:ascii="宋体" w:hAnsi="宋体" w:eastAsia="宋体" w:cs="宋体"/>
                <w:color w:val="000000"/>
                <w:sz w:val="21"/>
                <w:szCs w:val="21"/>
              </w:rPr>
              <w:t>”进</w:t>
            </w:r>
            <w:r>
              <w:rPr>
                <w:rFonts w:hint="eastAsia" w:ascii="宋体" w:hAnsi="宋体" w:eastAsia="宋体" w:cs="宋体"/>
                <w:color w:val="000000"/>
                <w:sz w:val="21"/>
                <w:szCs w:val="21"/>
                <w:lang w:val="en-US" w:eastAsia="zh-CN"/>
              </w:rPr>
              <w:t>行表彰</w:t>
            </w:r>
            <w:r>
              <w:rPr>
                <w:rFonts w:hint="eastAsia" w:ascii="宋体" w:hAnsi="宋体" w:eastAsia="宋体" w:cs="宋体"/>
                <w:color w:val="3E4042"/>
                <w:sz w:val="21"/>
                <w:szCs w:val="21"/>
              </w:rPr>
              <w:t>（</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774B03E4">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8109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16DFA80">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995" cy="4063365"/>
                  <wp:effectExtent l="0" t="0" r="8255" b="13335"/>
                  <wp:docPr id="18" name="图片 18" descr="南雄年鉴2019_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南雄年鉴2019_0017"/>
                          <pic:cNvPicPr>
                            <a:picLocks noChangeAspect="1"/>
                          </pic:cNvPicPr>
                        </pic:nvPicPr>
                        <pic:blipFill>
                          <a:blip r:embed="rId29"/>
                          <a:stretch>
                            <a:fillRect/>
                          </a:stretch>
                        </pic:blipFill>
                        <pic:spPr>
                          <a:xfrm>
                            <a:off x="0" y="0"/>
                            <a:ext cx="6182995" cy="4063365"/>
                          </a:xfrm>
                          <a:prstGeom prst="rect">
                            <a:avLst/>
                          </a:prstGeom>
                        </pic:spPr>
                      </pic:pic>
                    </a:graphicData>
                  </a:graphic>
                </wp:inline>
              </w:drawing>
            </w:r>
          </w:p>
        </w:tc>
      </w:tr>
      <w:tr w14:paraId="1D745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60601890">
            <w:pPr>
              <w:spacing w:beforeLines="0" w:afterLines="0"/>
              <w:ind w:firstLine="420" w:firstLineChars="200"/>
              <w:jc w:val="left"/>
              <w:rPr>
                <w:rFonts w:hint="default" w:ascii="宋体" w:hAnsi="宋体" w:eastAsia="宋体" w:cs="宋体"/>
                <w:kern w:val="2"/>
                <w:sz w:val="21"/>
                <w:szCs w:val="21"/>
                <w:lang w:val="en-US" w:eastAsia="zh-CN" w:bidi="ar-SA"/>
              </w:rPr>
            </w:pPr>
            <w:r>
              <w:rPr>
                <w:rFonts w:hint="eastAsia" w:ascii="宋体" w:hAnsi="宋体" w:eastAsia="宋体" w:cs="宋体"/>
                <w:color w:val="373839"/>
                <w:sz w:val="21"/>
                <w:szCs w:val="21"/>
              </w:rPr>
              <w:t>2018年9</w:t>
            </w:r>
            <w:r>
              <w:rPr>
                <w:rFonts w:hint="eastAsia" w:ascii="宋体" w:hAnsi="宋体" w:eastAsia="宋体" w:cs="宋体"/>
                <w:color w:val="373839"/>
                <w:sz w:val="21"/>
                <w:szCs w:val="21"/>
                <w:lang w:val="en-US" w:eastAsia="zh-CN"/>
              </w:rPr>
              <w:t>月</w:t>
            </w:r>
            <w:r>
              <w:rPr>
                <w:rFonts w:hint="eastAsia" w:ascii="宋体" w:hAnsi="宋体" w:eastAsia="宋体" w:cs="宋体"/>
                <w:color w:val="373839"/>
                <w:sz w:val="21"/>
                <w:szCs w:val="21"/>
              </w:rPr>
              <w:t>13日，南雄市召开珠</w:t>
            </w:r>
            <w:r>
              <w:rPr>
                <w:rFonts w:hint="eastAsia" w:cs="宋体"/>
                <w:color w:val="373839"/>
                <w:sz w:val="21"/>
                <w:szCs w:val="21"/>
                <w:lang w:val="en-US" w:eastAsia="zh-CN"/>
              </w:rPr>
              <w:t>玑</w:t>
            </w:r>
            <w:r>
              <w:rPr>
                <w:rFonts w:hint="eastAsia" w:ascii="宋体" w:hAnsi="宋体" w:eastAsia="宋体" w:cs="宋体"/>
                <w:color w:val="000000"/>
                <w:sz w:val="21"/>
                <w:szCs w:val="21"/>
              </w:rPr>
              <w:t>古巷改造</w:t>
            </w:r>
            <w:r>
              <w:rPr>
                <w:rFonts w:hint="eastAsia" w:ascii="宋体" w:hAnsi="宋体" w:eastAsia="宋体" w:cs="宋体"/>
                <w:color w:val="000000"/>
                <w:sz w:val="21"/>
                <w:szCs w:val="21"/>
                <w:lang w:val="en-US" w:eastAsia="zh-CN"/>
              </w:rPr>
              <w:t>提</w:t>
            </w:r>
            <w:r>
              <w:rPr>
                <w:rFonts w:hint="eastAsia" w:ascii="宋体" w:hAnsi="宋体" w:eastAsia="宋体" w:cs="宋体"/>
                <w:color w:val="000000"/>
                <w:sz w:val="21"/>
                <w:szCs w:val="21"/>
              </w:rPr>
              <w:t>升</w:t>
            </w:r>
            <w:r>
              <w:rPr>
                <w:rFonts w:hint="eastAsia" w:ascii="宋体" w:hAnsi="宋体" w:eastAsia="宋体" w:cs="宋体"/>
                <w:color w:val="000000"/>
                <w:sz w:val="21"/>
                <w:szCs w:val="21"/>
                <w:lang w:val="en-US" w:eastAsia="zh-CN"/>
              </w:rPr>
              <w:t>、大珠玑旅游文化</w:t>
            </w:r>
            <w:r>
              <w:rPr>
                <w:rFonts w:hint="eastAsia" w:ascii="宋体" w:hAnsi="宋体" w:eastAsia="宋体" w:cs="宋体"/>
                <w:color w:val="373839"/>
                <w:sz w:val="21"/>
                <w:szCs w:val="21"/>
              </w:rPr>
              <w:t>策划方</w:t>
            </w:r>
            <w:r>
              <w:rPr>
                <w:rFonts w:hint="eastAsia" w:ascii="宋体" w:hAnsi="宋体" w:eastAsia="宋体" w:cs="宋体"/>
                <w:color w:val="000000"/>
                <w:sz w:val="21"/>
                <w:szCs w:val="21"/>
              </w:rPr>
              <w:t>案汇</w:t>
            </w:r>
            <w:r>
              <w:rPr>
                <w:rFonts w:hint="eastAsia" w:ascii="宋体" w:hAnsi="宋体" w:eastAsia="宋体" w:cs="宋体"/>
                <w:color w:val="000000"/>
                <w:sz w:val="21"/>
                <w:szCs w:val="21"/>
                <w:lang w:val="en-US" w:eastAsia="zh-CN"/>
              </w:rPr>
              <w:t>报</w:t>
            </w:r>
            <w:r>
              <w:rPr>
                <w:rFonts w:hint="eastAsia" w:ascii="宋体" w:hAnsi="宋体" w:eastAsia="宋体" w:cs="宋体"/>
                <w:color w:val="000000"/>
                <w:sz w:val="21"/>
                <w:szCs w:val="21"/>
              </w:rPr>
              <w:t>会，南雄市委书</w:t>
            </w:r>
            <w:r>
              <w:rPr>
                <w:rFonts w:hint="eastAsia" w:ascii="宋体" w:hAnsi="宋体" w:eastAsia="宋体" w:cs="宋体"/>
                <w:color w:val="000000"/>
                <w:sz w:val="21"/>
                <w:szCs w:val="21"/>
                <w:lang w:val="en-US" w:eastAsia="zh-CN"/>
              </w:rPr>
              <w:t>记</w:t>
            </w:r>
            <w:r>
              <w:rPr>
                <w:rFonts w:hint="eastAsia" w:ascii="宋体" w:hAnsi="宋体" w:eastAsia="宋体" w:cs="宋体"/>
                <w:color w:val="000000"/>
                <w:sz w:val="21"/>
                <w:szCs w:val="21"/>
              </w:rPr>
              <w:t>王碧安（主席</w:t>
            </w:r>
            <w:r>
              <w:rPr>
                <w:rFonts w:hint="eastAsia" w:ascii="宋体" w:hAnsi="宋体" w:eastAsia="宋体" w:cs="宋体"/>
                <w:color w:val="000000"/>
                <w:sz w:val="21"/>
                <w:szCs w:val="21"/>
                <w:lang w:val="en-US" w:eastAsia="zh-CN"/>
              </w:rPr>
              <w:t>台中)</w:t>
            </w:r>
            <w:r>
              <w:rPr>
                <w:rFonts w:hint="eastAsia" w:ascii="宋体" w:hAnsi="宋体" w:eastAsia="宋体" w:cs="宋体"/>
                <w:color w:val="373839"/>
                <w:sz w:val="21"/>
                <w:szCs w:val="21"/>
              </w:rPr>
              <w:t>，市委副</w:t>
            </w:r>
            <w:r>
              <w:rPr>
                <w:rFonts w:hint="eastAsia" w:cs="宋体"/>
                <w:color w:val="373839"/>
                <w:sz w:val="21"/>
                <w:szCs w:val="21"/>
                <w:lang w:val="en-US" w:eastAsia="zh-CN"/>
              </w:rPr>
              <w:t>书</w:t>
            </w:r>
            <w:r>
              <w:rPr>
                <w:rFonts w:hint="eastAsia" w:ascii="宋体" w:hAnsi="宋体" w:eastAsia="宋体" w:cs="宋体"/>
                <w:color w:val="373839"/>
                <w:sz w:val="21"/>
                <w:szCs w:val="21"/>
                <w:lang w:val="en-US" w:eastAsia="zh-CN"/>
              </w:rPr>
              <w:t>记</w:t>
            </w:r>
            <w:r>
              <w:rPr>
                <w:rFonts w:hint="eastAsia" w:ascii="宋体" w:hAnsi="宋体" w:eastAsia="宋体" w:cs="宋体"/>
                <w:color w:val="555555"/>
                <w:sz w:val="21"/>
                <w:szCs w:val="21"/>
              </w:rPr>
              <w:t>、</w:t>
            </w:r>
            <w:r>
              <w:rPr>
                <w:rFonts w:hint="eastAsia" w:ascii="宋体" w:hAnsi="宋体" w:eastAsia="宋体" w:cs="宋体"/>
                <w:color w:val="373839"/>
                <w:sz w:val="21"/>
                <w:szCs w:val="21"/>
              </w:rPr>
              <w:t>市长林</w:t>
            </w:r>
            <w:r>
              <w:rPr>
                <w:rFonts w:hint="eastAsia" w:ascii="宋体" w:hAnsi="宋体" w:eastAsia="宋体" w:cs="宋体"/>
                <w:color w:val="000000"/>
                <w:sz w:val="21"/>
                <w:szCs w:val="21"/>
              </w:rPr>
              <w:t>小龙</w:t>
            </w:r>
            <w:r>
              <w:rPr>
                <w:rFonts w:hint="eastAsia" w:ascii="宋体" w:hAnsi="宋体" w:eastAsia="宋体" w:cs="宋体"/>
                <w:color w:val="373839"/>
                <w:sz w:val="21"/>
                <w:szCs w:val="21"/>
              </w:rPr>
              <w:t>（主席台右二）参加会议</w:t>
            </w:r>
            <w:r>
              <w:rPr>
                <w:rFonts w:hint="eastAsia" w:ascii="宋体" w:hAnsi="宋体" w:eastAsia="宋体" w:cs="宋体"/>
                <w:color w:val="3E4042"/>
                <w:sz w:val="21"/>
                <w:szCs w:val="21"/>
              </w:rPr>
              <w:t>（</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03345D18">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6590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09596052">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4143375"/>
                  <wp:effectExtent l="0" t="0" r="10795" b="9525"/>
                  <wp:docPr id="19" name="图片 19" descr="南雄年鉴2019_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南雄年鉴2019_0018"/>
                          <pic:cNvPicPr>
                            <a:picLocks noChangeAspect="1"/>
                          </pic:cNvPicPr>
                        </pic:nvPicPr>
                        <pic:blipFill>
                          <a:blip r:embed="rId30"/>
                          <a:stretch>
                            <a:fillRect/>
                          </a:stretch>
                        </pic:blipFill>
                        <pic:spPr>
                          <a:xfrm>
                            <a:off x="0" y="0"/>
                            <a:ext cx="6180455" cy="4143375"/>
                          </a:xfrm>
                          <a:prstGeom prst="rect">
                            <a:avLst/>
                          </a:prstGeom>
                        </pic:spPr>
                      </pic:pic>
                    </a:graphicData>
                  </a:graphic>
                </wp:inline>
              </w:drawing>
            </w:r>
          </w:p>
        </w:tc>
      </w:tr>
      <w:tr w14:paraId="045C4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010BBA6B">
            <w:pPr>
              <w:bidi w:val="0"/>
              <w:ind w:firstLine="420" w:firstLineChars="200"/>
              <w:rPr>
                <w:rFonts w:hint="default" w:ascii="宋体" w:hAnsi="宋体" w:eastAsia="宋体" w:cs="宋体"/>
                <w:kern w:val="2"/>
                <w:sz w:val="21"/>
                <w:szCs w:val="21"/>
                <w:lang w:val="en-US" w:eastAsia="zh-CN" w:bidi="ar-SA"/>
              </w:rPr>
            </w:pPr>
            <w:r>
              <w:rPr>
                <w:rFonts w:hint="eastAsia" w:ascii="宋体" w:hAnsi="宋体" w:eastAsia="宋体" w:cs="宋体"/>
                <w:color w:val="373839"/>
                <w:sz w:val="21"/>
                <w:szCs w:val="21"/>
              </w:rPr>
              <w:t>2018年9月2</w:t>
            </w:r>
            <w:r>
              <w:rPr>
                <w:rFonts w:hint="eastAsia" w:ascii="宋体" w:hAnsi="宋体" w:eastAsia="宋体" w:cs="宋体"/>
                <w:color w:val="373839"/>
                <w:sz w:val="21"/>
                <w:szCs w:val="21"/>
                <w:lang w:val="en-US" w:eastAsia="zh-CN"/>
              </w:rPr>
              <w:t>1</w:t>
            </w:r>
            <w:r>
              <w:rPr>
                <w:rFonts w:hint="eastAsia" w:ascii="宋体" w:hAnsi="宋体" w:eastAsia="宋体" w:cs="宋体"/>
                <w:color w:val="373839"/>
                <w:sz w:val="21"/>
                <w:szCs w:val="21"/>
              </w:rPr>
              <w:t>日，南雄市委书</w:t>
            </w:r>
            <w:r>
              <w:rPr>
                <w:rFonts w:hint="eastAsia" w:ascii="宋体" w:hAnsi="宋体" w:eastAsia="宋体" w:cs="宋体"/>
                <w:color w:val="373839"/>
                <w:sz w:val="21"/>
                <w:szCs w:val="21"/>
                <w:lang w:val="en-US" w:eastAsia="zh-CN"/>
              </w:rPr>
              <w:t>记</w:t>
            </w:r>
            <w:r>
              <w:rPr>
                <w:rFonts w:hint="eastAsia" w:ascii="宋体" w:hAnsi="宋体" w:eastAsia="宋体" w:cs="宋体"/>
                <w:color w:val="373839"/>
                <w:sz w:val="21"/>
                <w:szCs w:val="21"/>
              </w:rPr>
              <w:t>王碧安（主席台中）主持召开全</w:t>
            </w:r>
            <w:r>
              <w:rPr>
                <w:rFonts w:hint="eastAsia" w:ascii="宋体" w:hAnsi="宋体" w:eastAsia="宋体" w:cs="宋体"/>
                <w:color w:val="000000"/>
                <w:sz w:val="21"/>
                <w:szCs w:val="21"/>
              </w:rPr>
              <w:t>市扫黑</w:t>
            </w:r>
            <w:r>
              <w:rPr>
                <w:rFonts w:hint="eastAsia" w:ascii="宋体" w:hAnsi="宋体" w:eastAsia="宋体" w:cs="宋体"/>
                <w:color w:val="373839"/>
                <w:sz w:val="21"/>
                <w:szCs w:val="21"/>
              </w:rPr>
              <w:t>除恶</w:t>
            </w:r>
            <w:r>
              <w:rPr>
                <w:rFonts w:hint="eastAsia" w:ascii="宋体" w:hAnsi="宋体" w:eastAsia="宋体" w:cs="宋体"/>
                <w:color w:val="373839"/>
                <w:sz w:val="21"/>
                <w:szCs w:val="21"/>
                <w:lang w:val="en-US" w:eastAsia="zh-CN"/>
              </w:rPr>
              <w:t>专</w:t>
            </w:r>
            <w:r>
              <w:rPr>
                <w:rFonts w:hint="eastAsia" w:ascii="宋体" w:hAnsi="宋体" w:eastAsia="宋体" w:cs="宋体"/>
                <w:color w:val="373839"/>
                <w:sz w:val="21"/>
                <w:szCs w:val="21"/>
              </w:rPr>
              <w:t>项斗</w:t>
            </w:r>
            <w:r>
              <w:rPr>
                <w:rFonts w:hint="eastAsia" w:ascii="宋体" w:hAnsi="宋体" w:eastAsia="宋体" w:cs="宋体"/>
                <w:color w:val="000000"/>
                <w:sz w:val="21"/>
                <w:szCs w:val="21"/>
              </w:rPr>
              <w:t>争领</w:t>
            </w:r>
            <w:r>
              <w:rPr>
                <w:rFonts w:hint="eastAsia" w:ascii="宋体" w:hAnsi="宋体" w:eastAsia="宋体" w:cs="宋体"/>
                <w:color w:val="000000"/>
                <w:sz w:val="21"/>
                <w:szCs w:val="21"/>
                <w:lang w:val="en-US" w:eastAsia="zh-CN"/>
              </w:rPr>
              <w:t>导</w:t>
            </w:r>
            <w:r>
              <w:rPr>
                <w:rFonts w:hint="eastAsia" w:ascii="宋体" w:hAnsi="宋体" w:eastAsia="宋体" w:cs="宋体"/>
                <w:color w:val="000000"/>
                <w:sz w:val="21"/>
                <w:szCs w:val="21"/>
              </w:rPr>
              <w:t>小组第</w:t>
            </w:r>
            <w:r>
              <w:rPr>
                <w:rFonts w:hint="eastAsia" w:ascii="宋体" w:hAnsi="宋体" w:eastAsia="宋体" w:cs="宋体"/>
                <w:color w:val="373839"/>
                <w:sz w:val="21"/>
                <w:szCs w:val="21"/>
              </w:rPr>
              <w:t>6次全体成员（扩大</w:t>
            </w:r>
            <w:r>
              <w:rPr>
                <w:rFonts w:hint="eastAsia" w:ascii="宋体" w:hAnsi="宋体" w:eastAsia="宋体" w:cs="宋体"/>
                <w:color w:val="000000"/>
                <w:sz w:val="21"/>
                <w:szCs w:val="21"/>
              </w:rPr>
              <w:t>）会议</w:t>
            </w:r>
            <w:r>
              <w:rPr>
                <w:rFonts w:hint="eastAsia" w:ascii="宋体" w:hAnsi="宋体" w:eastAsia="宋体" w:cs="宋体"/>
                <w:color w:val="3E4042"/>
                <w:sz w:val="21"/>
                <w:szCs w:val="21"/>
              </w:rPr>
              <w:t>（</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1BE365A3">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6D3F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4EE4C6B">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995" cy="3909060"/>
                  <wp:effectExtent l="0" t="0" r="8255" b="15240"/>
                  <wp:docPr id="20" name="图片 20" descr="南雄年鉴2019_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南雄年鉴2019_0019"/>
                          <pic:cNvPicPr>
                            <a:picLocks noChangeAspect="1"/>
                          </pic:cNvPicPr>
                        </pic:nvPicPr>
                        <pic:blipFill>
                          <a:blip r:embed="rId31"/>
                          <a:stretch>
                            <a:fillRect/>
                          </a:stretch>
                        </pic:blipFill>
                        <pic:spPr>
                          <a:xfrm>
                            <a:off x="0" y="0"/>
                            <a:ext cx="6182995" cy="3909060"/>
                          </a:xfrm>
                          <a:prstGeom prst="rect">
                            <a:avLst/>
                          </a:prstGeom>
                        </pic:spPr>
                      </pic:pic>
                    </a:graphicData>
                  </a:graphic>
                </wp:inline>
              </w:drawing>
            </w:r>
          </w:p>
        </w:tc>
      </w:tr>
      <w:tr w14:paraId="5A6C6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622C35F">
            <w:pPr>
              <w:rPr>
                <w:rFonts w:hint="default"/>
                <w:vertAlign w:val="baseline"/>
                <w:lang w:val="en-US" w:eastAsia="zh-CN"/>
              </w:rPr>
            </w:pPr>
            <w:r>
              <w:rPr>
                <w:rFonts w:hint="eastAsia" w:ascii="宋体" w:hAnsi="宋体" w:eastAsia="宋体" w:cs="宋体"/>
                <w:color w:val="373839"/>
                <w:sz w:val="21"/>
                <w:szCs w:val="21"/>
              </w:rPr>
              <w:t>2018年10月7日，中国共产党</w:t>
            </w:r>
            <w:r>
              <w:rPr>
                <w:rFonts w:hint="eastAsia" w:ascii="宋体" w:hAnsi="宋体" w:eastAsia="宋体" w:cs="宋体"/>
                <w:color w:val="000000"/>
                <w:sz w:val="21"/>
                <w:szCs w:val="21"/>
              </w:rPr>
              <w:t>南雄市第十三届委员会</w:t>
            </w:r>
            <w:r>
              <w:rPr>
                <w:rFonts w:hint="eastAsia" w:ascii="宋体" w:hAnsi="宋体" w:eastAsia="宋体" w:cs="宋体"/>
                <w:color w:val="373839"/>
                <w:sz w:val="21"/>
                <w:szCs w:val="21"/>
              </w:rPr>
              <w:t>第六次全体会议召</w:t>
            </w:r>
            <w:r>
              <w:rPr>
                <w:rFonts w:hint="eastAsia" w:ascii="宋体" w:hAnsi="宋体" w:eastAsia="宋体" w:cs="宋体"/>
                <w:color w:val="000000"/>
                <w:sz w:val="21"/>
                <w:szCs w:val="21"/>
              </w:rPr>
              <w:t>开（蔡仁银</w:t>
            </w:r>
            <w:r>
              <w:rPr>
                <w:rFonts w:hint="eastAsia" w:ascii="宋体" w:hAnsi="宋体" w:eastAsia="宋体" w:cs="宋体"/>
                <w:color w:val="000000"/>
                <w:sz w:val="21"/>
                <w:szCs w:val="21"/>
                <w:lang w:val="en-US" w:eastAsia="zh-CN"/>
              </w:rPr>
              <w:t xml:space="preserve">  </w:t>
            </w:r>
            <w:r>
              <w:rPr>
                <w:rFonts w:hint="eastAsia" w:cs="宋体"/>
                <w:color w:val="000000"/>
                <w:sz w:val="21"/>
                <w:szCs w:val="21"/>
                <w:lang w:val="en-US" w:eastAsia="zh-CN"/>
              </w:rPr>
              <w:t xml:space="preserve"> </w:t>
            </w:r>
            <w:r>
              <w:rPr>
                <w:rFonts w:hint="eastAsia" w:ascii="宋体" w:hAnsi="宋体" w:eastAsia="宋体" w:cs="宋体"/>
                <w:color w:val="000000"/>
                <w:sz w:val="21"/>
                <w:szCs w:val="21"/>
                <w:lang w:val="en-US" w:eastAsia="zh-CN"/>
              </w:rPr>
              <w:t>摄</w:t>
            </w:r>
            <w:r>
              <w:rPr>
                <w:rFonts w:hint="eastAsia" w:ascii="宋体" w:hAnsi="宋体" w:eastAsia="宋体" w:cs="宋体"/>
                <w:color w:val="000000"/>
                <w:sz w:val="21"/>
                <w:szCs w:val="21"/>
              </w:rPr>
              <w:t>）</w:t>
            </w:r>
          </w:p>
        </w:tc>
      </w:tr>
    </w:tbl>
    <w:p w14:paraId="760BDE18">
      <w:pPr>
        <w:pStyle w:val="3"/>
        <w:bidi w:val="0"/>
        <w:rPr>
          <w:rFonts w:hint="eastAsia"/>
          <w:lang w:val="en-US" w:eastAsia="zh-CN"/>
        </w:rPr>
      </w:pPr>
      <w:r>
        <w:rPr>
          <w:rFonts w:hint="eastAsia"/>
          <w:lang w:val="en-US" w:eastAsia="zh-CN"/>
        </w:rPr>
        <w:t>社会人文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8E39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9DD4F7F">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805" cy="3686175"/>
                  <wp:effectExtent l="0" t="0" r="4445" b="9525"/>
                  <wp:docPr id="21" name="图片 21" descr="南雄年鉴2019_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南雄年鉴2019_0020"/>
                          <pic:cNvPicPr>
                            <a:picLocks noChangeAspect="1"/>
                          </pic:cNvPicPr>
                        </pic:nvPicPr>
                        <pic:blipFill>
                          <a:blip r:embed="rId32"/>
                          <a:stretch>
                            <a:fillRect/>
                          </a:stretch>
                        </pic:blipFill>
                        <pic:spPr>
                          <a:xfrm>
                            <a:off x="0" y="0"/>
                            <a:ext cx="6186805" cy="3686175"/>
                          </a:xfrm>
                          <a:prstGeom prst="rect">
                            <a:avLst/>
                          </a:prstGeom>
                        </pic:spPr>
                      </pic:pic>
                    </a:graphicData>
                  </a:graphic>
                </wp:inline>
              </w:drawing>
            </w:r>
          </w:p>
        </w:tc>
      </w:tr>
      <w:tr w14:paraId="49C72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1A2938C">
            <w:pPr>
              <w:rPr>
                <w:rFonts w:hint="default"/>
                <w:vertAlign w:val="baseline"/>
                <w:lang w:val="en-US" w:eastAsia="zh-CN"/>
              </w:rPr>
            </w:pPr>
            <w:r>
              <w:rPr>
                <w:rFonts w:hint="eastAsia" w:ascii="宋体" w:hAnsi="宋体" w:eastAsia="宋体" w:cs="宋体"/>
                <w:color w:val="3C3D3E"/>
                <w:sz w:val="21"/>
                <w:szCs w:val="21"/>
              </w:rPr>
              <w:t>2018年3月24日，“重走长征</w:t>
            </w:r>
            <w:r>
              <w:rPr>
                <w:rFonts w:hint="eastAsia" w:ascii="宋体" w:hAnsi="宋体" w:eastAsia="宋体" w:cs="宋体"/>
                <w:color w:val="000000"/>
                <w:sz w:val="21"/>
                <w:szCs w:val="21"/>
              </w:rPr>
              <w:t>路再创新</w:t>
            </w:r>
            <w:r>
              <w:rPr>
                <w:rFonts w:hint="eastAsia" w:ascii="宋体" w:hAnsi="宋体" w:eastAsia="宋体" w:cs="宋体"/>
                <w:color w:val="3C3D3E"/>
                <w:sz w:val="21"/>
                <w:szCs w:val="21"/>
              </w:rPr>
              <w:t>辉煌”－2018广东省</w:t>
            </w:r>
            <w:r>
              <w:rPr>
                <w:rFonts w:hint="eastAsia" w:ascii="宋体" w:hAnsi="宋体" w:eastAsia="宋体" w:cs="宋体"/>
                <w:color w:val="000000"/>
                <w:sz w:val="21"/>
                <w:szCs w:val="21"/>
              </w:rPr>
              <w:t>红色旅游系列活动在</w:t>
            </w:r>
            <w:r>
              <w:rPr>
                <w:rFonts w:hint="eastAsia" w:ascii="宋体" w:hAnsi="宋体" w:eastAsia="宋体" w:cs="宋体"/>
                <w:color w:val="3C3D3E"/>
                <w:sz w:val="21"/>
                <w:szCs w:val="21"/>
              </w:rPr>
              <w:t>南雄市</w:t>
            </w:r>
            <w:r>
              <w:rPr>
                <w:rFonts w:hint="eastAsia" w:ascii="宋体" w:hAnsi="宋体" w:eastAsia="宋体" w:cs="宋体"/>
                <w:color w:val="3C3D3E"/>
                <w:sz w:val="21"/>
                <w:szCs w:val="21"/>
                <w:lang w:val="en-US" w:eastAsia="zh-CN"/>
              </w:rPr>
              <w:t>启动</w:t>
            </w:r>
            <w:r>
              <w:rPr>
                <w:rFonts w:hint="eastAsia" w:ascii="宋体" w:hAnsi="宋体" w:eastAsia="宋体" w:cs="宋体"/>
                <w:color w:val="3C3D3E"/>
                <w:sz w:val="21"/>
                <w:szCs w:val="21"/>
              </w:rPr>
              <w:t>（蔡仁银</w:t>
            </w:r>
            <w:r>
              <w:rPr>
                <w:rFonts w:hint="eastAsia" w:ascii="宋体" w:hAnsi="宋体" w:eastAsia="宋体" w:cs="宋体"/>
                <w:color w:val="3C3D3E"/>
                <w:sz w:val="21"/>
                <w:szCs w:val="21"/>
                <w:lang w:val="en-US" w:eastAsia="zh-CN"/>
              </w:rPr>
              <w:t xml:space="preserve">  摄</w:t>
            </w:r>
            <w:r>
              <w:rPr>
                <w:rFonts w:hint="eastAsia" w:ascii="宋体" w:hAnsi="宋体" w:eastAsia="宋体" w:cs="宋体"/>
                <w:color w:val="3C3D3E"/>
                <w:sz w:val="21"/>
                <w:szCs w:val="21"/>
              </w:rPr>
              <w:t>）</w:t>
            </w:r>
          </w:p>
        </w:tc>
      </w:tr>
    </w:tbl>
    <w:p w14:paraId="092656F8">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C4E1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8B55E99">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4091940"/>
                  <wp:effectExtent l="0" t="0" r="5715" b="3810"/>
                  <wp:docPr id="22" name="图片 22" descr="南雄年鉴2019_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南雄年鉴2019_0021"/>
                          <pic:cNvPicPr>
                            <a:picLocks noChangeAspect="1"/>
                          </pic:cNvPicPr>
                        </pic:nvPicPr>
                        <pic:blipFill>
                          <a:blip r:embed="rId33"/>
                          <a:stretch>
                            <a:fillRect/>
                          </a:stretch>
                        </pic:blipFill>
                        <pic:spPr>
                          <a:xfrm>
                            <a:off x="0" y="0"/>
                            <a:ext cx="6185535" cy="4091940"/>
                          </a:xfrm>
                          <a:prstGeom prst="rect">
                            <a:avLst/>
                          </a:prstGeom>
                        </pic:spPr>
                      </pic:pic>
                    </a:graphicData>
                  </a:graphic>
                </wp:inline>
              </w:drawing>
            </w:r>
          </w:p>
        </w:tc>
      </w:tr>
      <w:tr w14:paraId="4CFAB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0D9F36C">
            <w:pPr>
              <w:rPr>
                <w:rFonts w:hint="default"/>
                <w:vertAlign w:val="baseline"/>
                <w:lang w:val="en-US" w:eastAsia="zh-CN"/>
              </w:rPr>
            </w:pPr>
            <w:r>
              <w:rPr>
                <w:rFonts w:hint="eastAsia" w:ascii="宋体" w:hAnsi="宋体" w:eastAsia="宋体" w:cs="宋体"/>
                <w:color w:val="3C3D3E"/>
                <w:sz w:val="21"/>
                <w:szCs w:val="21"/>
              </w:rPr>
              <w:t>2018年4月2日，南雄市国税</w:t>
            </w:r>
            <w:r>
              <w:rPr>
                <w:rFonts w:hint="eastAsia" w:ascii="宋体" w:hAnsi="宋体" w:eastAsia="宋体" w:cs="宋体"/>
                <w:color w:val="525658"/>
                <w:sz w:val="21"/>
                <w:szCs w:val="21"/>
              </w:rPr>
              <w:t>、</w:t>
            </w:r>
            <w:r>
              <w:rPr>
                <w:rFonts w:hint="eastAsia" w:ascii="宋体" w:hAnsi="宋体" w:eastAsia="宋体" w:cs="宋体"/>
                <w:color w:val="3C3D3E"/>
                <w:sz w:val="21"/>
                <w:szCs w:val="21"/>
              </w:rPr>
              <w:t>地税局共同举行</w:t>
            </w:r>
            <w:r>
              <w:rPr>
                <w:rFonts w:hint="eastAsia" w:ascii="宋体" w:hAnsi="宋体" w:eastAsia="宋体" w:cs="宋体"/>
                <w:color w:val="000000"/>
                <w:sz w:val="21"/>
                <w:szCs w:val="21"/>
              </w:rPr>
              <w:t>“联合</w:t>
            </w:r>
            <w:r>
              <w:rPr>
                <w:rFonts w:hint="eastAsia" w:ascii="宋体" w:hAnsi="宋体" w:eastAsia="宋体" w:cs="宋体"/>
                <w:color w:val="3C3D3E"/>
                <w:sz w:val="21"/>
                <w:szCs w:val="21"/>
              </w:rPr>
              <w:t>办税服务</w:t>
            </w:r>
            <w:r>
              <w:rPr>
                <w:rFonts w:hint="eastAsia" w:ascii="宋体" w:hAnsi="宋体" w:eastAsia="宋体" w:cs="宋体"/>
                <w:color w:val="3C3D3E"/>
                <w:sz w:val="21"/>
                <w:szCs w:val="21"/>
                <w:lang w:val="en-US" w:eastAsia="zh-CN"/>
              </w:rPr>
              <w:t>厅进驻</w:t>
            </w:r>
            <w:r>
              <w:rPr>
                <w:rFonts w:hint="eastAsia" w:ascii="宋体" w:hAnsi="宋体" w:eastAsia="宋体" w:cs="宋体"/>
                <w:color w:val="3C3D3E"/>
                <w:sz w:val="21"/>
                <w:szCs w:val="21"/>
              </w:rPr>
              <w:t>公共服务中</w:t>
            </w:r>
            <w:r>
              <w:rPr>
                <w:rFonts w:hint="eastAsia" w:ascii="宋体" w:hAnsi="宋体" w:eastAsia="宋体" w:cs="宋体"/>
                <w:color w:val="000000"/>
                <w:sz w:val="21"/>
                <w:szCs w:val="21"/>
              </w:rPr>
              <w:t>心”</w:t>
            </w:r>
            <w:r>
              <w:rPr>
                <w:rFonts w:hint="eastAsia" w:ascii="宋体" w:hAnsi="宋体" w:eastAsia="宋体" w:cs="宋体"/>
                <w:color w:val="3C3D3E"/>
                <w:sz w:val="21"/>
                <w:szCs w:val="21"/>
              </w:rPr>
              <w:t>启用仪式</w:t>
            </w:r>
            <w:r>
              <w:rPr>
                <w:rFonts w:hint="eastAsia" w:ascii="宋体" w:hAnsi="宋体" w:eastAsia="宋体" w:cs="宋体"/>
                <w:color w:val="000000"/>
                <w:sz w:val="21"/>
                <w:szCs w:val="21"/>
              </w:rPr>
              <w:t>，南雄市委副书</w:t>
            </w:r>
            <w:r>
              <w:rPr>
                <w:rFonts w:hint="eastAsia" w:ascii="宋体" w:hAnsi="宋体" w:eastAsia="宋体" w:cs="宋体"/>
                <w:color w:val="3C3D3E"/>
                <w:sz w:val="21"/>
                <w:szCs w:val="21"/>
              </w:rPr>
              <w:t>记</w:t>
            </w:r>
            <w:r>
              <w:rPr>
                <w:rFonts w:hint="eastAsia" w:ascii="宋体" w:hAnsi="宋体" w:eastAsia="宋体" w:cs="宋体"/>
                <w:color w:val="707070"/>
                <w:sz w:val="21"/>
                <w:szCs w:val="21"/>
              </w:rPr>
              <w:t>、</w:t>
            </w:r>
            <w:r>
              <w:rPr>
                <w:rFonts w:hint="eastAsia" w:ascii="宋体" w:hAnsi="宋体" w:eastAsia="宋体" w:cs="宋体"/>
                <w:color w:val="3C3D3E"/>
                <w:sz w:val="21"/>
                <w:szCs w:val="21"/>
              </w:rPr>
              <w:t>市长林</w:t>
            </w:r>
            <w:r>
              <w:rPr>
                <w:rFonts w:hint="eastAsia" w:ascii="宋体" w:hAnsi="宋体" w:eastAsia="宋体" w:cs="宋体"/>
                <w:color w:val="000000"/>
                <w:sz w:val="21"/>
                <w:szCs w:val="21"/>
              </w:rPr>
              <w:t>小龙（</w:t>
            </w:r>
            <w:r>
              <w:rPr>
                <w:rFonts w:hint="eastAsia" w:ascii="宋体" w:hAnsi="宋体" w:eastAsia="宋体" w:cs="宋体"/>
                <w:color w:val="3C3D3E"/>
                <w:sz w:val="21"/>
                <w:szCs w:val="21"/>
              </w:rPr>
              <w:t>中）参加活动（</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2E527EE4">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6E55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2344B8B">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805" cy="4034790"/>
                  <wp:effectExtent l="0" t="0" r="4445" b="3810"/>
                  <wp:docPr id="23" name="图片 23" descr="南雄年鉴2019_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南雄年鉴2019_0022"/>
                          <pic:cNvPicPr>
                            <a:picLocks noChangeAspect="1"/>
                          </pic:cNvPicPr>
                        </pic:nvPicPr>
                        <pic:blipFill>
                          <a:blip r:embed="rId34"/>
                          <a:stretch>
                            <a:fillRect/>
                          </a:stretch>
                        </pic:blipFill>
                        <pic:spPr>
                          <a:xfrm>
                            <a:off x="0" y="0"/>
                            <a:ext cx="6186805" cy="4034790"/>
                          </a:xfrm>
                          <a:prstGeom prst="rect">
                            <a:avLst/>
                          </a:prstGeom>
                        </pic:spPr>
                      </pic:pic>
                    </a:graphicData>
                  </a:graphic>
                </wp:inline>
              </w:drawing>
            </w:r>
          </w:p>
        </w:tc>
      </w:tr>
      <w:tr w14:paraId="6EE1E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A2A7210">
            <w:pPr>
              <w:rPr>
                <w:rFonts w:hint="default"/>
                <w:vertAlign w:val="baseline"/>
                <w:lang w:val="en-US" w:eastAsia="zh-CN"/>
              </w:rPr>
            </w:pPr>
            <w:r>
              <w:rPr>
                <w:rFonts w:hint="eastAsia" w:ascii="宋体" w:hAnsi="宋体" w:eastAsia="宋体" w:cs="宋体"/>
                <w:color w:val="3C3D3E"/>
                <w:sz w:val="21"/>
                <w:szCs w:val="21"/>
              </w:rPr>
              <w:t>2018年4月18日，华南</w:t>
            </w:r>
            <w:r>
              <w:rPr>
                <w:rFonts w:hint="eastAsia" w:ascii="宋体" w:hAnsi="宋体" w:eastAsia="宋体" w:cs="宋体"/>
                <w:color w:val="000000"/>
                <w:sz w:val="21"/>
                <w:szCs w:val="21"/>
              </w:rPr>
              <w:t>师范大学美术学</w:t>
            </w:r>
            <w:r>
              <w:rPr>
                <w:rFonts w:hint="eastAsia" w:ascii="宋体" w:hAnsi="宋体" w:eastAsia="宋体" w:cs="宋体"/>
                <w:color w:val="3C3D3E"/>
                <w:sz w:val="21"/>
                <w:szCs w:val="21"/>
              </w:rPr>
              <w:t>院南雄教学实</w:t>
            </w:r>
            <w:r>
              <w:rPr>
                <w:rFonts w:hint="eastAsia" w:ascii="宋体" w:hAnsi="宋体" w:eastAsia="宋体" w:cs="宋体"/>
                <w:color w:val="3C3D3E"/>
                <w:sz w:val="21"/>
                <w:szCs w:val="21"/>
                <w:lang w:val="en-US" w:eastAsia="zh-CN"/>
              </w:rPr>
              <w:t>习</w:t>
            </w:r>
            <w:r>
              <w:rPr>
                <w:rFonts w:hint="eastAsia" w:ascii="宋体" w:hAnsi="宋体" w:eastAsia="宋体" w:cs="宋体"/>
                <w:color w:val="3C3D3E"/>
                <w:sz w:val="21"/>
                <w:szCs w:val="21"/>
              </w:rPr>
              <w:t>基地举行</w:t>
            </w:r>
            <w:r>
              <w:rPr>
                <w:rFonts w:hint="eastAsia" w:ascii="宋体" w:hAnsi="宋体" w:eastAsia="宋体" w:cs="宋体"/>
                <w:color w:val="000000"/>
                <w:sz w:val="21"/>
                <w:szCs w:val="21"/>
              </w:rPr>
              <w:t>揭牌仪式</w:t>
            </w:r>
            <w:r>
              <w:rPr>
                <w:rFonts w:hint="eastAsia" w:ascii="宋体" w:hAnsi="宋体" w:eastAsia="宋体" w:cs="宋体"/>
                <w:color w:val="3C3D3E"/>
                <w:sz w:val="21"/>
                <w:szCs w:val="21"/>
              </w:rPr>
              <w:t>，南雄市委副书</w:t>
            </w:r>
            <w:r>
              <w:rPr>
                <w:rFonts w:hint="eastAsia" w:ascii="宋体" w:hAnsi="宋体" w:eastAsia="宋体" w:cs="宋体"/>
                <w:color w:val="525658"/>
                <w:sz w:val="21"/>
                <w:szCs w:val="21"/>
              </w:rPr>
              <w:t>、</w:t>
            </w:r>
            <w:r>
              <w:rPr>
                <w:rFonts w:hint="eastAsia" w:ascii="宋体" w:hAnsi="宋体" w:eastAsia="宋体" w:cs="宋体"/>
                <w:color w:val="3C3D3E"/>
                <w:sz w:val="21"/>
                <w:szCs w:val="21"/>
              </w:rPr>
              <w:t>市长林</w:t>
            </w:r>
            <w:r>
              <w:rPr>
                <w:rFonts w:hint="eastAsia" w:ascii="宋体" w:hAnsi="宋体" w:eastAsia="宋体" w:cs="宋体"/>
                <w:color w:val="000000"/>
                <w:sz w:val="21"/>
                <w:szCs w:val="21"/>
              </w:rPr>
              <w:t>小龙（</w:t>
            </w:r>
            <w:r>
              <w:rPr>
                <w:rFonts w:hint="eastAsia" w:ascii="宋体" w:hAnsi="宋体" w:eastAsia="宋体" w:cs="宋体"/>
                <w:color w:val="000000"/>
                <w:sz w:val="21"/>
                <w:szCs w:val="21"/>
                <w:lang w:val="en-US" w:eastAsia="zh-CN"/>
              </w:rPr>
              <w:t>右四）</w:t>
            </w:r>
            <w:r>
              <w:rPr>
                <w:rFonts w:hint="eastAsia" w:ascii="宋体" w:hAnsi="宋体" w:eastAsia="宋体" w:cs="宋体"/>
                <w:color w:val="3C3D3E"/>
                <w:sz w:val="21"/>
                <w:szCs w:val="21"/>
              </w:rPr>
              <w:t>参加活动（</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499FD98A">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679D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E4B9496">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995" cy="3777615"/>
                  <wp:effectExtent l="0" t="0" r="8255" b="13335"/>
                  <wp:docPr id="24" name="图片 24" descr="南雄年鉴2019_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南雄年鉴2019_0023"/>
                          <pic:cNvPicPr>
                            <a:picLocks noChangeAspect="1"/>
                          </pic:cNvPicPr>
                        </pic:nvPicPr>
                        <pic:blipFill>
                          <a:blip r:embed="rId35"/>
                          <a:stretch>
                            <a:fillRect/>
                          </a:stretch>
                        </pic:blipFill>
                        <pic:spPr>
                          <a:xfrm>
                            <a:off x="0" y="0"/>
                            <a:ext cx="6182995" cy="3777615"/>
                          </a:xfrm>
                          <a:prstGeom prst="rect">
                            <a:avLst/>
                          </a:prstGeom>
                        </pic:spPr>
                      </pic:pic>
                    </a:graphicData>
                  </a:graphic>
                </wp:inline>
              </w:drawing>
            </w:r>
          </w:p>
        </w:tc>
      </w:tr>
      <w:tr w14:paraId="63713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19DF797">
            <w:pPr>
              <w:rPr>
                <w:rFonts w:hint="default"/>
                <w:vertAlign w:val="baseline"/>
                <w:lang w:val="en-US" w:eastAsia="zh-CN"/>
              </w:rPr>
            </w:pPr>
            <w:r>
              <w:rPr>
                <w:rFonts w:hint="eastAsia" w:ascii="宋体" w:hAnsi="宋体" w:eastAsia="宋体" w:cs="宋体"/>
                <w:color w:val="242629"/>
                <w:sz w:val="21"/>
                <w:szCs w:val="21"/>
              </w:rPr>
              <w:t>2018年6月1日，南雄市举行</w:t>
            </w:r>
            <w:r>
              <w:rPr>
                <w:rFonts w:hint="eastAsia" w:ascii="宋体" w:hAnsi="宋体" w:eastAsia="宋体" w:cs="宋体"/>
                <w:color w:val="000000"/>
                <w:sz w:val="21"/>
                <w:szCs w:val="21"/>
              </w:rPr>
              <w:t>市第三小学和古市镇中</w:t>
            </w:r>
            <w:r>
              <w:rPr>
                <w:rFonts w:hint="eastAsia" w:ascii="宋体" w:hAnsi="宋体" w:eastAsia="宋体" w:cs="宋体"/>
                <w:color w:val="242629"/>
                <w:sz w:val="21"/>
                <w:szCs w:val="21"/>
              </w:rPr>
              <w:t>心幼儿园启用</w:t>
            </w:r>
            <w:r>
              <w:rPr>
                <w:rFonts w:hint="eastAsia" w:ascii="宋体" w:hAnsi="宋体" w:eastAsia="宋体" w:cs="宋体"/>
                <w:color w:val="000000"/>
                <w:sz w:val="21"/>
                <w:szCs w:val="21"/>
              </w:rPr>
              <w:t>仪式（蔡仁银</w:t>
            </w:r>
            <w:r>
              <w:rPr>
                <w:rFonts w:hint="eastAsia"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51E30FD0">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7DA1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1572019">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79820" cy="3846195"/>
                  <wp:effectExtent l="0" t="0" r="11430" b="1905"/>
                  <wp:docPr id="25" name="图片 25" descr="南雄年鉴2019_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南雄年鉴2019_0024"/>
                          <pic:cNvPicPr>
                            <a:picLocks noChangeAspect="1"/>
                          </pic:cNvPicPr>
                        </pic:nvPicPr>
                        <pic:blipFill>
                          <a:blip r:embed="rId36"/>
                          <a:stretch>
                            <a:fillRect/>
                          </a:stretch>
                        </pic:blipFill>
                        <pic:spPr>
                          <a:xfrm>
                            <a:off x="0" y="0"/>
                            <a:ext cx="6179820" cy="3846195"/>
                          </a:xfrm>
                          <a:prstGeom prst="rect">
                            <a:avLst/>
                          </a:prstGeom>
                        </pic:spPr>
                      </pic:pic>
                    </a:graphicData>
                  </a:graphic>
                </wp:inline>
              </w:drawing>
            </w:r>
          </w:p>
        </w:tc>
      </w:tr>
      <w:tr w14:paraId="2CCB9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95A71F9">
            <w:pPr>
              <w:rPr>
                <w:rFonts w:hint="default"/>
                <w:vertAlign w:val="baseline"/>
                <w:lang w:val="en-US" w:eastAsia="zh-CN"/>
              </w:rPr>
            </w:pPr>
            <w:r>
              <w:rPr>
                <w:rFonts w:hint="eastAsia" w:ascii="宋体" w:hAnsi="宋体" w:eastAsia="宋体" w:cs="宋体"/>
                <w:color w:val="242629"/>
                <w:sz w:val="21"/>
                <w:szCs w:val="21"/>
              </w:rPr>
              <w:t>2018年6月4日，南雄市</w:t>
            </w:r>
            <w:r>
              <w:rPr>
                <w:rFonts w:hint="eastAsia" w:ascii="宋体" w:hAnsi="宋体" w:eastAsia="宋体" w:cs="宋体"/>
                <w:color w:val="242629"/>
                <w:sz w:val="21"/>
                <w:szCs w:val="21"/>
                <w:lang w:val="en-US" w:eastAsia="zh-CN"/>
              </w:rPr>
              <w:t>与</w:t>
            </w:r>
            <w:r>
              <w:rPr>
                <w:rFonts w:hint="eastAsia" w:ascii="宋体" w:hAnsi="宋体" w:eastAsia="宋体" w:cs="宋体"/>
                <w:color w:val="242629"/>
                <w:sz w:val="21"/>
                <w:szCs w:val="21"/>
              </w:rPr>
              <w:t>广东中</w:t>
            </w:r>
            <w:r>
              <w:rPr>
                <w:rFonts w:hint="eastAsia" w:ascii="宋体" w:hAnsi="宋体" w:eastAsia="宋体" w:cs="宋体"/>
                <w:color w:val="000000"/>
                <w:sz w:val="21"/>
                <w:szCs w:val="21"/>
              </w:rPr>
              <w:t>烟工业</w:t>
            </w:r>
            <w:r>
              <w:rPr>
                <w:rFonts w:hint="eastAsia" w:ascii="宋体" w:hAnsi="宋体" w:eastAsia="宋体" w:cs="宋体"/>
                <w:color w:val="242629"/>
                <w:sz w:val="21"/>
                <w:szCs w:val="21"/>
              </w:rPr>
              <w:t>有限责任</w:t>
            </w:r>
            <w:r>
              <w:rPr>
                <w:rFonts w:hint="eastAsia" w:ascii="宋体" w:hAnsi="宋体" w:eastAsia="宋体" w:cs="宋体"/>
                <w:color w:val="000000"/>
                <w:sz w:val="21"/>
                <w:szCs w:val="21"/>
              </w:rPr>
              <w:t>公司韶关</w:t>
            </w:r>
            <w:r>
              <w:rPr>
                <w:rFonts w:hint="eastAsia" w:ascii="宋体" w:hAnsi="宋体" w:eastAsia="宋体" w:cs="宋体"/>
                <w:color w:val="000000"/>
                <w:sz w:val="21"/>
                <w:szCs w:val="21"/>
                <w:lang w:val="en-US" w:eastAsia="zh-CN"/>
              </w:rPr>
              <w:t>卷</w:t>
            </w:r>
            <w:r>
              <w:rPr>
                <w:rFonts w:hint="eastAsia" w:ascii="宋体" w:hAnsi="宋体" w:eastAsia="宋体" w:cs="宋体"/>
                <w:color w:val="000000"/>
                <w:sz w:val="21"/>
                <w:szCs w:val="21"/>
              </w:rPr>
              <w:t>烟厂签</w:t>
            </w:r>
            <w:r>
              <w:rPr>
                <w:rFonts w:hint="eastAsia" w:ascii="宋体" w:hAnsi="宋体" w:eastAsia="宋体" w:cs="宋体"/>
                <w:color w:val="000000"/>
                <w:sz w:val="21"/>
                <w:szCs w:val="21"/>
                <w:lang w:val="en-US" w:eastAsia="zh-CN"/>
              </w:rPr>
              <w:t>约</w:t>
            </w:r>
            <w:r>
              <w:rPr>
                <w:rFonts w:hint="eastAsia" w:ascii="宋体" w:hAnsi="宋体" w:eastAsia="宋体" w:cs="宋体"/>
                <w:color w:val="000000"/>
                <w:sz w:val="21"/>
                <w:szCs w:val="21"/>
              </w:rPr>
              <w:t>，原南雄</w:t>
            </w:r>
            <w:r>
              <w:rPr>
                <w:rFonts w:hint="eastAsia" w:ascii="宋体" w:hAnsi="宋体" w:eastAsia="宋体" w:cs="宋体"/>
                <w:color w:val="000000"/>
                <w:sz w:val="21"/>
                <w:szCs w:val="21"/>
                <w:lang w:val="en-US" w:eastAsia="zh-CN"/>
              </w:rPr>
              <w:t>卷</w:t>
            </w:r>
            <w:r>
              <w:rPr>
                <w:rFonts w:hint="eastAsia" w:ascii="宋体" w:hAnsi="宋体" w:eastAsia="宋体" w:cs="宋体"/>
                <w:color w:val="000000"/>
                <w:sz w:val="21"/>
                <w:szCs w:val="21"/>
              </w:rPr>
              <w:t>烟厂资</w:t>
            </w:r>
            <w:r>
              <w:rPr>
                <w:rFonts w:hint="eastAsia" w:ascii="宋体" w:hAnsi="宋体" w:eastAsia="宋体" w:cs="宋体"/>
                <w:color w:val="000000"/>
                <w:sz w:val="21"/>
                <w:szCs w:val="21"/>
                <w:lang w:val="en-US" w:eastAsia="zh-CN"/>
              </w:rPr>
              <w:t>产</w:t>
            </w:r>
            <w:r>
              <w:rPr>
                <w:rFonts w:hint="eastAsia" w:ascii="宋体" w:hAnsi="宋体" w:eastAsia="宋体" w:cs="宋体"/>
                <w:color w:val="000000"/>
                <w:sz w:val="21"/>
                <w:szCs w:val="21"/>
              </w:rPr>
              <w:t>全部转</w:t>
            </w:r>
            <w:r>
              <w:rPr>
                <w:rFonts w:hint="eastAsia" w:ascii="宋体" w:hAnsi="宋体" w:eastAsia="宋体" w:cs="宋体"/>
                <w:color w:val="000000"/>
                <w:sz w:val="21"/>
                <w:szCs w:val="21"/>
                <w:lang w:val="en-US" w:eastAsia="zh-CN"/>
              </w:rPr>
              <w:t>让</w:t>
            </w:r>
            <w:r>
              <w:rPr>
                <w:rFonts w:hint="eastAsia" w:ascii="宋体" w:hAnsi="宋体" w:eastAsia="宋体" w:cs="宋体"/>
                <w:color w:val="000000"/>
                <w:sz w:val="21"/>
                <w:szCs w:val="21"/>
              </w:rPr>
              <w:t>为南</w:t>
            </w:r>
            <w:r>
              <w:rPr>
                <w:rFonts w:hint="eastAsia" w:ascii="宋体" w:hAnsi="宋体" w:eastAsia="宋体" w:cs="宋体"/>
                <w:color w:val="242629"/>
                <w:sz w:val="21"/>
                <w:szCs w:val="21"/>
              </w:rPr>
              <w:t>雄市人民政府所</w:t>
            </w:r>
            <w:r>
              <w:rPr>
                <w:rFonts w:hint="eastAsia" w:cs="宋体"/>
                <w:color w:val="242629"/>
                <w:sz w:val="21"/>
                <w:szCs w:val="21"/>
                <w:lang w:val="en-US" w:eastAsia="zh-CN"/>
              </w:rPr>
              <w:t>有</w:t>
            </w:r>
            <w:r>
              <w:rPr>
                <w:rFonts w:hint="eastAsia" w:ascii="宋体" w:hAnsi="宋体" w:eastAsia="宋体" w:cs="宋体"/>
                <w:color w:val="3C3D3E"/>
                <w:sz w:val="21"/>
                <w:szCs w:val="21"/>
              </w:rPr>
              <w:t>（</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24034F01">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C20D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61B89D1E">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77915" cy="2486025"/>
                  <wp:effectExtent l="0" t="0" r="13335" b="9525"/>
                  <wp:docPr id="26" name="图片 26" descr="南雄年鉴2019_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南雄年鉴2019_0025"/>
                          <pic:cNvPicPr>
                            <a:picLocks noChangeAspect="1"/>
                          </pic:cNvPicPr>
                        </pic:nvPicPr>
                        <pic:blipFill>
                          <a:blip r:embed="rId37"/>
                          <a:stretch>
                            <a:fillRect/>
                          </a:stretch>
                        </pic:blipFill>
                        <pic:spPr>
                          <a:xfrm>
                            <a:off x="0" y="0"/>
                            <a:ext cx="6177915" cy="2486025"/>
                          </a:xfrm>
                          <a:prstGeom prst="rect">
                            <a:avLst/>
                          </a:prstGeom>
                        </pic:spPr>
                      </pic:pic>
                    </a:graphicData>
                  </a:graphic>
                </wp:inline>
              </w:drawing>
            </w:r>
          </w:p>
        </w:tc>
      </w:tr>
      <w:tr w14:paraId="1EDB8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FD36FF5">
            <w:pPr>
              <w:rPr>
                <w:rFonts w:hint="default"/>
                <w:vertAlign w:val="baseline"/>
                <w:lang w:val="en-US" w:eastAsia="zh-CN"/>
              </w:rPr>
            </w:pPr>
            <w:r>
              <w:rPr>
                <w:rFonts w:hint="eastAsia" w:ascii="宋体" w:hAnsi="宋体" w:eastAsia="宋体" w:cs="宋体"/>
                <w:color w:val="242629"/>
                <w:sz w:val="21"/>
                <w:szCs w:val="21"/>
              </w:rPr>
              <w:t>2018年6月15日，南雄市举行</w:t>
            </w:r>
            <w:r>
              <w:rPr>
                <w:rFonts w:hint="eastAsia" w:ascii="宋体" w:hAnsi="宋体" w:eastAsia="宋体" w:cs="宋体"/>
                <w:color w:val="000000"/>
                <w:sz w:val="21"/>
                <w:szCs w:val="21"/>
              </w:rPr>
              <w:t>北城大道</w:t>
            </w:r>
            <w:r>
              <w:rPr>
                <w:rFonts w:hint="eastAsia" w:ascii="宋体" w:hAnsi="宋体" w:eastAsia="宋体" w:cs="宋体"/>
                <w:color w:val="000000"/>
                <w:sz w:val="21"/>
                <w:szCs w:val="21"/>
                <w:lang w:val="en-US" w:eastAsia="zh-CN"/>
              </w:rPr>
              <w:t>竣</w:t>
            </w:r>
            <w:r>
              <w:rPr>
                <w:rFonts w:hint="eastAsia" w:ascii="宋体" w:hAnsi="宋体" w:eastAsia="宋体" w:cs="宋体"/>
                <w:color w:val="000000"/>
                <w:sz w:val="21"/>
                <w:szCs w:val="21"/>
              </w:rPr>
              <w:t>工通车</w:t>
            </w:r>
            <w:r>
              <w:rPr>
                <w:rFonts w:hint="eastAsia" w:ascii="宋体" w:hAnsi="宋体" w:eastAsia="宋体" w:cs="宋体"/>
                <w:color w:val="000000"/>
                <w:sz w:val="21"/>
                <w:szCs w:val="21"/>
                <w:lang w:val="en-US" w:eastAsia="zh-CN"/>
              </w:rPr>
              <w:t>仪</w:t>
            </w:r>
            <w:r>
              <w:rPr>
                <w:rFonts w:hint="eastAsia" w:ascii="宋体" w:hAnsi="宋体" w:eastAsia="宋体" w:cs="宋体"/>
                <w:color w:val="000000"/>
                <w:sz w:val="21"/>
                <w:szCs w:val="21"/>
              </w:rPr>
              <w:t>式（</w:t>
            </w:r>
            <w:r>
              <w:rPr>
                <w:rFonts w:hint="eastAsia" w:ascii="宋体" w:hAnsi="宋体" w:eastAsia="宋体" w:cs="宋体"/>
                <w:color w:val="000000"/>
                <w:sz w:val="21"/>
                <w:szCs w:val="21"/>
                <w:lang w:val="en-US" w:eastAsia="zh-CN"/>
              </w:rPr>
              <w:t>蔡</w:t>
            </w:r>
            <w:r>
              <w:rPr>
                <w:rFonts w:hint="eastAsia" w:ascii="宋体" w:hAnsi="宋体" w:eastAsia="宋体" w:cs="宋体"/>
                <w:color w:val="000000"/>
                <w:sz w:val="21"/>
                <w:szCs w:val="21"/>
              </w:rPr>
              <w:t>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107C50DF">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F61C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7AA8F959">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900" cy="3960495"/>
                  <wp:effectExtent l="0" t="0" r="6350" b="1905"/>
                  <wp:docPr id="27" name="图片 27" descr="南雄年鉴2019_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南雄年鉴2019_0026"/>
                          <pic:cNvPicPr>
                            <a:picLocks noChangeAspect="1"/>
                          </pic:cNvPicPr>
                        </pic:nvPicPr>
                        <pic:blipFill>
                          <a:blip r:embed="rId38"/>
                          <a:stretch>
                            <a:fillRect/>
                          </a:stretch>
                        </pic:blipFill>
                        <pic:spPr>
                          <a:xfrm>
                            <a:off x="0" y="0"/>
                            <a:ext cx="6184900" cy="3960495"/>
                          </a:xfrm>
                          <a:prstGeom prst="rect">
                            <a:avLst/>
                          </a:prstGeom>
                        </pic:spPr>
                      </pic:pic>
                    </a:graphicData>
                  </a:graphic>
                </wp:inline>
              </w:drawing>
            </w:r>
          </w:p>
        </w:tc>
      </w:tr>
      <w:tr w14:paraId="2A347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0E15D86">
            <w:pPr>
              <w:rPr>
                <w:rFonts w:hint="default"/>
                <w:vertAlign w:val="baseline"/>
                <w:lang w:val="en-US" w:eastAsia="zh-CN"/>
              </w:rPr>
            </w:pPr>
            <w:r>
              <w:rPr>
                <w:rFonts w:hint="eastAsia" w:ascii="宋体" w:hAnsi="宋体" w:eastAsia="宋体" w:cs="宋体"/>
                <w:color w:val="414443"/>
                <w:sz w:val="21"/>
                <w:szCs w:val="21"/>
              </w:rPr>
              <w:t>2018年6月27日，南雄市委书</w:t>
            </w:r>
            <w:r>
              <w:rPr>
                <w:rFonts w:hint="eastAsia" w:ascii="宋体" w:hAnsi="宋体" w:eastAsia="宋体" w:cs="宋体"/>
                <w:color w:val="414443"/>
                <w:sz w:val="21"/>
                <w:szCs w:val="21"/>
                <w:lang w:val="en-US" w:eastAsia="zh-CN"/>
              </w:rPr>
              <w:t>记</w:t>
            </w:r>
            <w:r>
              <w:rPr>
                <w:rFonts w:hint="eastAsia" w:ascii="宋体" w:hAnsi="宋体" w:eastAsia="宋体" w:cs="宋体"/>
                <w:color w:val="414443"/>
                <w:sz w:val="21"/>
                <w:szCs w:val="21"/>
              </w:rPr>
              <w:t>王碧安探望慰问</w:t>
            </w:r>
            <w:r>
              <w:rPr>
                <w:rFonts w:hint="eastAsia" w:ascii="宋体" w:hAnsi="宋体" w:eastAsia="宋体" w:cs="宋体"/>
                <w:color w:val="414443"/>
                <w:sz w:val="21"/>
                <w:szCs w:val="21"/>
                <w:lang w:val="en-US" w:eastAsia="zh-CN"/>
              </w:rPr>
              <w:t>贫</w:t>
            </w:r>
            <w:r>
              <w:rPr>
                <w:rFonts w:hint="eastAsia" w:ascii="宋体" w:hAnsi="宋体" w:eastAsia="宋体" w:cs="宋体"/>
                <w:color w:val="414443"/>
                <w:sz w:val="21"/>
                <w:szCs w:val="21"/>
              </w:rPr>
              <w:t>困户，并现</w:t>
            </w:r>
            <w:r>
              <w:rPr>
                <w:rFonts w:hint="eastAsia" w:ascii="宋体" w:hAnsi="宋体" w:eastAsia="宋体" w:cs="宋体"/>
                <w:color w:val="414443"/>
                <w:sz w:val="21"/>
                <w:szCs w:val="21"/>
                <w:lang w:val="en-US" w:eastAsia="zh-CN"/>
              </w:rPr>
              <w:t>场</w:t>
            </w:r>
            <w:r>
              <w:rPr>
                <w:rFonts w:hint="eastAsia" w:ascii="宋体" w:hAnsi="宋体" w:eastAsia="宋体" w:cs="宋体"/>
                <w:color w:val="414443"/>
                <w:sz w:val="21"/>
                <w:szCs w:val="21"/>
              </w:rPr>
              <w:t>为</w:t>
            </w:r>
            <w:r>
              <w:rPr>
                <w:rFonts w:hint="eastAsia" w:ascii="宋体" w:hAnsi="宋体" w:eastAsia="宋体" w:cs="宋体"/>
                <w:color w:val="414443"/>
                <w:sz w:val="21"/>
                <w:szCs w:val="21"/>
                <w:lang w:val="en-US" w:eastAsia="zh-CN"/>
              </w:rPr>
              <w:t>贫</w:t>
            </w:r>
            <w:r>
              <w:rPr>
                <w:rFonts w:hint="eastAsia" w:ascii="宋体" w:hAnsi="宋体" w:eastAsia="宋体" w:cs="宋体"/>
                <w:color w:val="414443"/>
                <w:sz w:val="21"/>
                <w:szCs w:val="21"/>
              </w:rPr>
              <w:t>困户自</w:t>
            </w:r>
            <w:r>
              <w:rPr>
                <w:rFonts w:hint="eastAsia" w:ascii="宋体" w:hAnsi="宋体" w:eastAsia="宋体" w:cs="宋体"/>
                <w:color w:val="000000"/>
                <w:sz w:val="21"/>
                <w:szCs w:val="21"/>
              </w:rPr>
              <w:t>产的蜂蜜做宣传</w:t>
            </w:r>
          </w:p>
        </w:tc>
      </w:tr>
    </w:tbl>
    <w:p w14:paraId="1E7CD025">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124A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4B3E07F6">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4000500"/>
                  <wp:effectExtent l="0" t="0" r="10160" b="0"/>
                  <wp:docPr id="28" name="图片 28" descr="南雄年鉴2019_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南雄年鉴2019_0027"/>
                          <pic:cNvPicPr>
                            <a:picLocks noChangeAspect="1"/>
                          </pic:cNvPicPr>
                        </pic:nvPicPr>
                        <pic:blipFill>
                          <a:blip r:embed="rId39"/>
                          <a:stretch>
                            <a:fillRect/>
                          </a:stretch>
                        </pic:blipFill>
                        <pic:spPr>
                          <a:xfrm>
                            <a:off x="0" y="0"/>
                            <a:ext cx="6181090" cy="4000500"/>
                          </a:xfrm>
                          <a:prstGeom prst="rect">
                            <a:avLst/>
                          </a:prstGeom>
                        </pic:spPr>
                      </pic:pic>
                    </a:graphicData>
                  </a:graphic>
                </wp:inline>
              </w:drawing>
            </w:r>
          </w:p>
        </w:tc>
      </w:tr>
      <w:tr w14:paraId="0A614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9337D7E">
            <w:pPr>
              <w:rPr>
                <w:rFonts w:hint="default"/>
                <w:vertAlign w:val="baseline"/>
                <w:lang w:val="en-US" w:eastAsia="zh-CN"/>
              </w:rPr>
            </w:pPr>
            <w:r>
              <w:rPr>
                <w:rFonts w:hint="eastAsia" w:ascii="宋体" w:hAnsi="宋体" w:eastAsia="宋体" w:cs="宋体"/>
                <w:color w:val="414443"/>
                <w:sz w:val="21"/>
                <w:szCs w:val="21"/>
              </w:rPr>
              <w:t>2018年7月11日，南雄市举行</w:t>
            </w:r>
            <w:r>
              <w:rPr>
                <w:rFonts w:hint="eastAsia" w:ascii="宋体" w:hAnsi="宋体" w:eastAsia="宋体" w:cs="宋体"/>
                <w:color w:val="000000"/>
                <w:sz w:val="21"/>
                <w:szCs w:val="21"/>
              </w:rPr>
              <w:t>广东衡</w:t>
            </w:r>
            <w:r>
              <w:rPr>
                <w:rFonts w:hint="eastAsia" w:ascii="宋体" w:hAnsi="宋体" w:eastAsia="宋体" w:cs="宋体"/>
                <w:color w:val="414443"/>
                <w:sz w:val="21"/>
                <w:szCs w:val="21"/>
              </w:rPr>
              <w:t>光公司·中科院</w:t>
            </w:r>
            <w:r>
              <w:rPr>
                <w:rFonts w:hint="eastAsia" w:ascii="宋体" w:hAnsi="宋体" w:eastAsia="宋体" w:cs="宋体"/>
                <w:color w:val="414443"/>
                <w:sz w:val="21"/>
                <w:szCs w:val="21"/>
                <w:lang w:val="en-US" w:eastAsia="zh-CN"/>
              </w:rPr>
              <w:t>韩</w:t>
            </w:r>
            <w:r>
              <w:rPr>
                <w:rFonts w:hint="eastAsia" w:ascii="宋体" w:hAnsi="宋体" w:eastAsia="宋体" w:cs="宋体"/>
                <w:color w:val="414443"/>
                <w:sz w:val="21"/>
                <w:szCs w:val="21"/>
              </w:rPr>
              <w:t>布</w:t>
            </w:r>
            <w:r>
              <w:rPr>
                <w:rFonts w:hint="eastAsia" w:ascii="宋体" w:hAnsi="宋体" w:eastAsia="宋体" w:cs="宋体"/>
                <w:color w:val="525D54"/>
                <w:sz w:val="21"/>
                <w:szCs w:val="21"/>
              </w:rPr>
              <w:t>兴院</w:t>
            </w:r>
            <w:r>
              <w:rPr>
                <w:rFonts w:hint="eastAsia" w:ascii="宋体" w:hAnsi="宋体" w:eastAsia="宋体" w:cs="宋体"/>
                <w:color w:val="414443"/>
                <w:sz w:val="21"/>
                <w:szCs w:val="21"/>
              </w:rPr>
              <w:t>士南雄工作站签</w:t>
            </w:r>
            <w:r>
              <w:rPr>
                <w:rFonts w:hint="eastAsia" w:ascii="宋体" w:hAnsi="宋体" w:eastAsia="宋体" w:cs="宋体"/>
                <w:color w:val="414443"/>
                <w:sz w:val="21"/>
                <w:szCs w:val="21"/>
                <w:lang w:val="en-US" w:eastAsia="zh-CN"/>
              </w:rPr>
              <w:t>约</w:t>
            </w:r>
            <w:r>
              <w:rPr>
                <w:rFonts w:hint="eastAsia" w:ascii="宋体" w:hAnsi="宋体" w:eastAsia="宋体" w:cs="宋体"/>
                <w:color w:val="414443"/>
                <w:sz w:val="21"/>
                <w:szCs w:val="21"/>
              </w:rPr>
              <w:t>仪式</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6E6231D6">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7A17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0C62D0C">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995" cy="4063365"/>
                  <wp:effectExtent l="0" t="0" r="8255" b="13335"/>
                  <wp:docPr id="29" name="图片 29" descr="南雄年鉴2019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南雄年鉴2019_0028"/>
                          <pic:cNvPicPr>
                            <a:picLocks noChangeAspect="1"/>
                          </pic:cNvPicPr>
                        </pic:nvPicPr>
                        <pic:blipFill>
                          <a:blip r:embed="rId40"/>
                          <a:stretch>
                            <a:fillRect/>
                          </a:stretch>
                        </pic:blipFill>
                        <pic:spPr>
                          <a:xfrm>
                            <a:off x="0" y="0"/>
                            <a:ext cx="6182995" cy="4063365"/>
                          </a:xfrm>
                          <a:prstGeom prst="rect">
                            <a:avLst/>
                          </a:prstGeom>
                        </pic:spPr>
                      </pic:pic>
                    </a:graphicData>
                  </a:graphic>
                </wp:inline>
              </w:drawing>
            </w:r>
          </w:p>
        </w:tc>
      </w:tr>
      <w:tr w14:paraId="13DE7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5467C68">
            <w:pPr>
              <w:rPr>
                <w:rFonts w:hint="default"/>
                <w:vertAlign w:val="baseline"/>
                <w:lang w:val="en-US" w:eastAsia="zh-CN"/>
              </w:rPr>
            </w:pPr>
            <w:r>
              <w:rPr>
                <w:rFonts w:hint="eastAsia" w:ascii="宋体" w:hAnsi="宋体" w:eastAsia="宋体" w:cs="宋体"/>
                <w:color w:val="414443"/>
                <w:sz w:val="21"/>
                <w:szCs w:val="21"/>
              </w:rPr>
              <w:t>2018年8月28日，南雄市与暨南</w:t>
            </w:r>
            <w:r>
              <w:rPr>
                <w:rFonts w:hint="eastAsia" w:ascii="宋体" w:hAnsi="宋体" w:eastAsia="宋体" w:cs="宋体"/>
                <w:color w:val="000000"/>
                <w:sz w:val="21"/>
                <w:szCs w:val="21"/>
              </w:rPr>
              <w:t>大学举行</w:t>
            </w:r>
            <w:r>
              <w:rPr>
                <w:rFonts w:hint="eastAsia" w:ascii="宋体" w:hAnsi="宋体" w:eastAsia="宋体" w:cs="宋体"/>
                <w:color w:val="414443"/>
                <w:sz w:val="21"/>
                <w:szCs w:val="21"/>
              </w:rPr>
              <w:t>校地共建签</w:t>
            </w:r>
            <w:r>
              <w:rPr>
                <w:rFonts w:hint="eastAsia" w:ascii="宋体" w:hAnsi="宋体" w:eastAsia="宋体" w:cs="宋体"/>
                <w:color w:val="414443"/>
                <w:sz w:val="21"/>
                <w:szCs w:val="21"/>
                <w:lang w:val="en-US" w:eastAsia="zh-CN"/>
              </w:rPr>
              <w:t>约</w:t>
            </w:r>
            <w:r>
              <w:rPr>
                <w:rFonts w:hint="eastAsia" w:ascii="宋体" w:hAnsi="宋体" w:eastAsia="宋体" w:cs="宋体"/>
                <w:color w:val="414443"/>
                <w:sz w:val="21"/>
                <w:szCs w:val="21"/>
              </w:rPr>
              <w:t>仪式（蔡仁银</w:t>
            </w:r>
            <w:r>
              <w:rPr>
                <w:rFonts w:hint="eastAsia" w:ascii="宋体" w:hAnsi="宋体" w:eastAsia="宋体" w:cs="宋体"/>
                <w:color w:val="414443"/>
                <w:sz w:val="21"/>
                <w:szCs w:val="21"/>
                <w:lang w:val="en-US" w:eastAsia="zh-CN"/>
              </w:rPr>
              <w:t xml:space="preserve">  摄</w:t>
            </w:r>
            <w:r>
              <w:rPr>
                <w:rFonts w:hint="eastAsia" w:ascii="宋体" w:hAnsi="宋体" w:eastAsia="宋体" w:cs="宋体"/>
                <w:color w:val="414443"/>
                <w:sz w:val="21"/>
                <w:szCs w:val="21"/>
              </w:rPr>
              <w:t>）</w:t>
            </w:r>
          </w:p>
        </w:tc>
      </w:tr>
    </w:tbl>
    <w:p w14:paraId="7B55A2AD">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EA40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D95FC2F">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170" cy="3846195"/>
                  <wp:effectExtent l="0" t="0" r="5080" b="1905"/>
                  <wp:docPr id="30" name="图片 30" descr="南雄年鉴2019_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南雄年鉴2019_0029"/>
                          <pic:cNvPicPr>
                            <a:picLocks noChangeAspect="1"/>
                          </pic:cNvPicPr>
                        </pic:nvPicPr>
                        <pic:blipFill>
                          <a:blip r:embed="rId41"/>
                          <a:stretch>
                            <a:fillRect/>
                          </a:stretch>
                        </pic:blipFill>
                        <pic:spPr>
                          <a:xfrm>
                            <a:off x="0" y="0"/>
                            <a:ext cx="6186170" cy="3846195"/>
                          </a:xfrm>
                          <a:prstGeom prst="rect">
                            <a:avLst/>
                          </a:prstGeom>
                        </pic:spPr>
                      </pic:pic>
                    </a:graphicData>
                  </a:graphic>
                </wp:inline>
              </w:drawing>
            </w:r>
          </w:p>
        </w:tc>
      </w:tr>
      <w:tr w14:paraId="64CC2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D11CC51">
            <w:pPr>
              <w:rPr>
                <w:rFonts w:hint="default"/>
                <w:vertAlign w:val="baseline"/>
                <w:lang w:val="en-US" w:eastAsia="zh-CN"/>
              </w:rPr>
            </w:pPr>
            <w:r>
              <w:rPr>
                <w:rFonts w:hint="eastAsia" w:ascii="宋体" w:hAnsi="宋体" w:eastAsia="宋体" w:cs="宋体"/>
                <w:color w:val="37393B"/>
                <w:sz w:val="21"/>
                <w:szCs w:val="21"/>
              </w:rPr>
              <w:t>2018军9月10日，南雄市举行市机关幼</w:t>
            </w:r>
            <w:r>
              <w:rPr>
                <w:rFonts w:hint="eastAsia" w:ascii="宋体" w:hAnsi="宋体" w:eastAsia="宋体" w:cs="宋体"/>
                <w:color w:val="000000"/>
                <w:sz w:val="21"/>
                <w:szCs w:val="21"/>
              </w:rPr>
              <w:t>儿园雄</w:t>
            </w:r>
            <w:r>
              <w:rPr>
                <w:rFonts w:hint="eastAsia" w:ascii="宋体" w:hAnsi="宋体" w:eastAsia="宋体" w:cs="宋体"/>
                <w:color w:val="37393B"/>
                <w:sz w:val="21"/>
                <w:szCs w:val="21"/>
              </w:rPr>
              <w:t>中路、财</w:t>
            </w:r>
            <w:r>
              <w:rPr>
                <w:rFonts w:hint="eastAsia" w:ascii="宋体" w:hAnsi="宋体" w:eastAsia="宋体" w:cs="宋体"/>
                <w:color w:val="37393B"/>
                <w:sz w:val="21"/>
                <w:szCs w:val="21"/>
                <w:lang w:val="en-US" w:eastAsia="zh-CN"/>
              </w:rPr>
              <w:t>贸</w:t>
            </w:r>
            <w:r>
              <w:rPr>
                <w:rFonts w:hint="eastAsia" w:ascii="宋体" w:hAnsi="宋体" w:eastAsia="宋体" w:cs="宋体"/>
                <w:color w:val="37393B"/>
                <w:sz w:val="21"/>
                <w:szCs w:val="21"/>
              </w:rPr>
              <w:t>幼儿园八一路两个</w:t>
            </w:r>
            <w:r>
              <w:rPr>
                <w:rFonts w:hint="eastAsia" w:ascii="宋体" w:hAnsi="宋体" w:eastAsia="宋体" w:cs="宋体"/>
                <w:color w:val="000000"/>
                <w:sz w:val="21"/>
                <w:szCs w:val="21"/>
              </w:rPr>
              <w:t>新校区启用</w:t>
            </w:r>
            <w:r>
              <w:rPr>
                <w:rFonts w:hint="eastAsia" w:ascii="宋体" w:hAnsi="宋体" w:eastAsia="宋体" w:cs="宋体"/>
                <w:color w:val="000000"/>
                <w:sz w:val="21"/>
                <w:szCs w:val="21"/>
                <w:lang w:val="en-US" w:eastAsia="zh-CN"/>
              </w:rPr>
              <w:t>揭幕仪式</w:t>
            </w:r>
            <w:r>
              <w:rPr>
                <w:rFonts w:hint="eastAsia" w:ascii="宋体" w:hAnsi="宋体" w:eastAsia="宋体" w:cs="宋体"/>
                <w:color w:val="414443"/>
                <w:sz w:val="21"/>
                <w:szCs w:val="21"/>
              </w:rPr>
              <w:t>（蔡仁银</w:t>
            </w:r>
            <w:r>
              <w:rPr>
                <w:rFonts w:hint="eastAsia" w:ascii="宋体" w:hAnsi="宋体" w:eastAsia="宋体" w:cs="宋体"/>
                <w:color w:val="414443"/>
                <w:sz w:val="21"/>
                <w:szCs w:val="21"/>
                <w:lang w:val="en-US" w:eastAsia="zh-CN"/>
              </w:rPr>
              <w:t xml:space="preserve">  摄</w:t>
            </w:r>
            <w:r>
              <w:rPr>
                <w:rFonts w:hint="eastAsia" w:ascii="宋体" w:hAnsi="宋体" w:eastAsia="宋体" w:cs="宋体"/>
                <w:color w:val="414443"/>
                <w:sz w:val="21"/>
                <w:szCs w:val="21"/>
              </w:rPr>
              <w:t>）</w:t>
            </w:r>
          </w:p>
        </w:tc>
      </w:tr>
    </w:tbl>
    <w:p w14:paraId="495235C7">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33CD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3C7643D2">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265" cy="3817620"/>
                  <wp:effectExtent l="0" t="0" r="6985" b="11430"/>
                  <wp:docPr id="31" name="图片 31" descr="南雄年鉴2019_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南雄年鉴2019_0030"/>
                          <pic:cNvPicPr>
                            <a:picLocks noChangeAspect="1"/>
                          </pic:cNvPicPr>
                        </pic:nvPicPr>
                        <pic:blipFill>
                          <a:blip r:embed="rId42"/>
                          <a:stretch>
                            <a:fillRect/>
                          </a:stretch>
                        </pic:blipFill>
                        <pic:spPr>
                          <a:xfrm>
                            <a:off x="0" y="0"/>
                            <a:ext cx="6184265" cy="3817620"/>
                          </a:xfrm>
                          <a:prstGeom prst="rect">
                            <a:avLst/>
                          </a:prstGeom>
                        </pic:spPr>
                      </pic:pic>
                    </a:graphicData>
                  </a:graphic>
                </wp:inline>
              </w:drawing>
            </w:r>
          </w:p>
        </w:tc>
      </w:tr>
      <w:tr w14:paraId="5EC54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6CF770D">
            <w:pPr>
              <w:rPr>
                <w:rFonts w:hint="default"/>
                <w:vertAlign w:val="baseline"/>
                <w:lang w:val="en-US" w:eastAsia="zh-CN"/>
              </w:rPr>
            </w:pPr>
            <w:r>
              <w:rPr>
                <w:rFonts w:hint="eastAsia" w:ascii="宋体" w:hAnsi="宋体" w:eastAsia="宋体" w:cs="宋体"/>
                <w:color w:val="37393B"/>
                <w:sz w:val="21"/>
                <w:szCs w:val="21"/>
              </w:rPr>
              <w:t>2018年9月21日，湖口镇</w:t>
            </w:r>
            <w:r>
              <w:rPr>
                <w:rFonts w:hint="eastAsia" w:ascii="宋体" w:hAnsi="宋体" w:eastAsia="宋体" w:cs="宋体"/>
                <w:color w:val="37393B"/>
                <w:sz w:val="21"/>
                <w:szCs w:val="21"/>
                <w:lang w:val="en-US" w:eastAsia="zh-CN"/>
              </w:rPr>
              <w:t>张</w:t>
            </w:r>
            <w:r>
              <w:rPr>
                <w:rFonts w:hint="eastAsia" w:ascii="宋体" w:hAnsi="宋体" w:eastAsia="宋体" w:cs="宋体"/>
                <w:color w:val="37393B"/>
                <w:sz w:val="21"/>
                <w:szCs w:val="21"/>
              </w:rPr>
              <w:t>屋村“三变改</w:t>
            </w:r>
            <w:r>
              <w:rPr>
                <w:rFonts w:hint="eastAsia" w:ascii="宋体" w:hAnsi="宋体" w:eastAsia="宋体" w:cs="宋体"/>
                <w:color w:val="000000"/>
                <w:sz w:val="21"/>
                <w:szCs w:val="21"/>
              </w:rPr>
              <w:t>革”股份合</w:t>
            </w:r>
            <w:r>
              <w:rPr>
                <w:rFonts w:hint="eastAsia" w:ascii="宋体" w:hAnsi="宋体" w:eastAsia="宋体" w:cs="宋体"/>
                <w:color w:val="000000"/>
                <w:sz w:val="21"/>
                <w:szCs w:val="21"/>
                <w:lang w:val="en-US" w:eastAsia="zh-CN"/>
              </w:rPr>
              <w:t>作社揭牌</w:t>
            </w:r>
            <w:r>
              <w:rPr>
                <w:rFonts w:hint="eastAsia" w:ascii="宋体" w:hAnsi="宋体" w:eastAsia="宋体" w:cs="宋体"/>
                <w:color w:val="414443"/>
                <w:sz w:val="21"/>
                <w:szCs w:val="21"/>
              </w:rPr>
              <w:t>（蔡仁银</w:t>
            </w:r>
            <w:r>
              <w:rPr>
                <w:rFonts w:hint="eastAsia" w:ascii="宋体" w:hAnsi="宋体" w:eastAsia="宋体" w:cs="宋体"/>
                <w:color w:val="414443"/>
                <w:sz w:val="21"/>
                <w:szCs w:val="21"/>
                <w:lang w:val="en-US" w:eastAsia="zh-CN"/>
              </w:rPr>
              <w:t xml:space="preserve">  摄</w:t>
            </w:r>
            <w:r>
              <w:rPr>
                <w:rFonts w:hint="eastAsia" w:ascii="宋体" w:hAnsi="宋体" w:eastAsia="宋体" w:cs="宋体"/>
                <w:color w:val="414443"/>
                <w:sz w:val="21"/>
                <w:szCs w:val="21"/>
              </w:rPr>
              <w:t>）</w:t>
            </w:r>
          </w:p>
        </w:tc>
      </w:tr>
    </w:tbl>
    <w:p w14:paraId="5830EEA2">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6ECE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305FCC9">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805" cy="3531870"/>
                  <wp:effectExtent l="0" t="0" r="4445" b="11430"/>
                  <wp:docPr id="32" name="图片 32" descr="南雄年鉴2019_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南雄年鉴2019_0031"/>
                          <pic:cNvPicPr>
                            <a:picLocks noChangeAspect="1"/>
                          </pic:cNvPicPr>
                        </pic:nvPicPr>
                        <pic:blipFill>
                          <a:blip r:embed="rId43"/>
                          <a:stretch>
                            <a:fillRect/>
                          </a:stretch>
                        </pic:blipFill>
                        <pic:spPr>
                          <a:xfrm>
                            <a:off x="0" y="0"/>
                            <a:ext cx="6186805" cy="3531870"/>
                          </a:xfrm>
                          <a:prstGeom prst="rect">
                            <a:avLst/>
                          </a:prstGeom>
                        </pic:spPr>
                      </pic:pic>
                    </a:graphicData>
                  </a:graphic>
                </wp:inline>
              </w:drawing>
            </w:r>
          </w:p>
        </w:tc>
      </w:tr>
      <w:tr w14:paraId="349F7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5D67D0A">
            <w:pPr>
              <w:rPr>
                <w:rFonts w:hint="default"/>
                <w:vertAlign w:val="baseline"/>
                <w:lang w:val="en-US" w:eastAsia="zh-CN"/>
              </w:rPr>
            </w:pPr>
            <w:r>
              <w:rPr>
                <w:rFonts w:hint="eastAsia" w:ascii="宋体" w:hAnsi="宋体" w:eastAsia="宋体" w:cs="宋体"/>
                <w:color w:val="37393B"/>
                <w:sz w:val="21"/>
                <w:szCs w:val="21"/>
              </w:rPr>
              <w:t>2018年9月23日，南雄市以“苏区</w:t>
            </w:r>
            <w:r>
              <w:rPr>
                <w:rFonts w:hint="eastAsia" w:ascii="宋体" w:hAnsi="宋体" w:eastAsia="宋体" w:cs="宋体"/>
                <w:color w:val="000000"/>
                <w:sz w:val="21"/>
                <w:szCs w:val="21"/>
              </w:rPr>
              <w:t>南雄庆</w:t>
            </w:r>
            <w:r>
              <w:rPr>
                <w:rFonts w:hint="eastAsia" w:ascii="宋体" w:hAnsi="宋体" w:eastAsia="宋体" w:cs="宋体"/>
                <w:color w:val="000000"/>
                <w:sz w:val="21"/>
                <w:szCs w:val="21"/>
                <w:lang w:val="en-US" w:eastAsia="zh-CN"/>
              </w:rPr>
              <w:t>丰</w:t>
            </w:r>
            <w:r>
              <w:rPr>
                <w:rFonts w:hint="eastAsia" w:ascii="宋体" w:hAnsi="宋体" w:eastAsia="宋体" w:cs="宋体"/>
                <w:color w:val="000000"/>
                <w:sz w:val="21"/>
                <w:szCs w:val="21"/>
              </w:rPr>
              <w:t>收，乡村</w:t>
            </w:r>
            <w:r>
              <w:rPr>
                <w:rFonts w:hint="eastAsia" w:ascii="宋体" w:hAnsi="宋体" w:eastAsia="宋体" w:cs="宋体"/>
                <w:color w:val="000000"/>
                <w:sz w:val="21"/>
                <w:szCs w:val="21"/>
                <w:lang w:val="en-US" w:eastAsia="zh-CN"/>
              </w:rPr>
              <w:t>振兴促发</w:t>
            </w:r>
            <w:r>
              <w:rPr>
                <w:rFonts w:hint="eastAsia" w:ascii="宋体" w:hAnsi="宋体" w:eastAsia="宋体" w:cs="宋体"/>
                <w:color w:val="37393B"/>
                <w:sz w:val="21"/>
                <w:szCs w:val="21"/>
              </w:rPr>
              <w:t>展”为主</w:t>
            </w:r>
            <w:r>
              <w:rPr>
                <w:rFonts w:hint="eastAsia" w:ascii="宋体" w:hAnsi="宋体" w:eastAsia="宋体" w:cs="宋体"/>
                <w:color w:val="000000"/>
                <w:sz w:val="21"/>
                <w:szCs w:val="21"/>
              </w:rPr>
              <w:t>题举办首届“中国农民</w:t>
            </w:r>
            <w:r>
              <w:rPr>
                <w:rFonts w:hint="eastAsia" w:ascii="宋体" w:hAnsi="宋体" w:eastAsia="宋体" w:cs="宋体"/>
                <w:color w:val="000000"/>
                <w:sz w:val="21"/>
                <w:szCs w:val="21"/>
                <w:lang w:val="en-US" w:eastAsia="zh-CN"/>
              </w:rPr>
              <w:t>丰</w:t>
            </w:r>
            <w:r>
              <w:rPr>
                <w:rFonts w:hint="eastAsia" w:ascii="宋体" w:hAnsi="宋体" w:eastAsia="宋体" w:cs="宋体"/>
                <w:color w:val="252729"/>
                <w:sz w:val="21"/>
                <w:szCs w:val="21"/>
              </w:rPr>
              <w:t>收节”</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196FFB3E">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E28C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2FEEBAB">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995" cy="3560445"/>
                  <wp:effectExtent l="0" t="0" r="8255" b="1905"/>
                  <wp:docPr id="33" name="图片 33" descr="南雄年鉴2019_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南雄年鉴2019_0032"/>
                          <pic:cNvPicPr>
                            <a:picLocks noChangeAspect="1"/>
                          </pic:cNvPicPr>
                        </pic:nvPicPr>
                        <pic:blipFill>
                          <a:blip r:embed="rId44"/>
                          <a:stretch>
                            <a:fillRect/>
                          </a:stretch>
                        </pic:blipFill>
                        <pic:spPr>
                          <a:xfrm>
                            <a:off x="0" y="0"/>
                            <a:ext cx="6182995" cy="3560445"/>
                          </a:xfrm>
                          <a:prstGeom prst="rect">
                            <a:avLst/>
                          </a:prstGeom>
                        </pic:spPr>
                      </pic:pic>
                    </a:graphicData>
                  </a:graphic>
                </wp:inline>
              </w:drawing>
            </w:r>
          </w:p>
        </w:tc>
      </w:tr>
      <w:tr w14:paraId="26351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7A4BBE6D">
            <w:pPr>
              <w:spacing w:beforeLines="0" w:afterLines="0"/>
              <w:ind w:firstLine="420" w:firstLineChars="200"/>
              <w:jc w:val="left"/>
              <w:rPr>
                <w:rFonts w:hint="default" w:ascii="宋体" w:hAnsi="宋体" w:eastAsia="宋体" w:cs="宋体"/>
                <w:kern w:val="2"/>
                <w:sz w:val="21"/>
                <w:szCs w:val="21"/>
                <w:lang w:val="en-US" w:eastAsia="zh-CN" w:bidi="ar-SA"/>
              </w:rPr>
            </w:pPr>
            <w:r>
              <w:rPr>
                <w:rFonts w:hint="eastAsia" w:ascii="宋体" w:hAnsi="宋体" w:eastAsia="宋体" w:cs="宋体"/>
                <w:color w:val="323435"/>
                <w:sz w:val="21"/>
                <w:szCs w:val="21"/>
              </w:rPr>
              <w:t>2018年10月9日，位于南雄市珠</w:t>
            </w:r>
            <w:r>
              <w:rPr>
                <w:rFonts w:hint="eastAsia" w:ascii="宋体" w:hAnsi="宋体" w:eastAsia="宋体" w:cs="宋体"/>
                <w:color w:val="323435"/>
                <w:sz w:val="21"/>
                <w:szCs w:val="21"/>
                <w:lang w:val="en-US" w:eastAsia="zh-CN"/>
              </w:rPr>
              <w:t>玑</w:t>
            </w:r>
            <w:r>
              <w:rPr>
                <w:rFonts w:hint="eastAsia" w:ascii="宋体" w:hAnsi="宋体" w:eastAsia="宋体" w:cs="宋体"/>
                <w:color w:val="323435"/>
                <w:sz w:val="21"/>
                <w:szCs w:val="21"/>
              </w:rPr>
              <w:t>古</w:t>
            </w:r>
            <w:r>
              <w:rPr>
                <w:rFonts w:hint="eastAsia" w:ascii="宋体" w:hAnsi="宋体" w:eastAsia="宋体" w:cs="宋体"/>
                <w:color w:val="000000"/>
                <w:sz w:val="21"/>
                <w:szCs w:val="21"/>
              </w:rPr>
              <w:t>巷旅游景区内的广府人家训</w:t>
            </w:r>
            <w:r>
              <w:rPr>
                <w:rFonts w:hint="eastAsia" w:ascii="宋体" w:hAnsi="宋体" w:eastAsia="宋体" w:cs="宋体"/>
                <w:color w:val="000000"/>
                <w:sz w:val="21"/>
                <w:szCs w:val="21"/>
                <w:lang w:val="en-US" w:eastAsia="zh-CN"/>
              </w:rPr>
              <w:t>馆</w:t>
            </w:r>
            <w:r>
              <w:rPr>
                <w:rFonts w:hint="eastAsia" w:ascii="宋体" w:hAnsi="宋体" w:eastAsia="宋体" w:cs="宋体"/>
                <w:color w:val="000000"/>
                <w:sz w:val="21"/>
                <w:szCs w:val="21"/>
              </w:rPr>
              <w:t>正式开</w:t>
            </w:r>
            <w:r>
              <w:rPr>
                <w:rFonts w:hint="eastAsia" w:ascii="宋体" w:hAnsi="宋体" w:eastAsia="宋体" w:cs="宋体"/>
                <w:color w:val="000000"/>
                <w:sz w:val="21"/>
                <w:szCs w:val="21"/>
                <w:lang w:val="en-US" w:eastAsia="zh-CN"/>
              </w:rPr>
              <w:t>馆</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06DCEA57">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3BE7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A4D6610">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170" cy="3646170"/>
                  <wp:effectExtent l="0" t="0" r="5080" b="11430"/>
                  <wp:docPr id="34" name="图片 34" descr="南雄年鉴2019_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南雄年鉴2019_0033"/>
                          <pic:cNvPicPr>
                            <a:picLocks noChangeAspect="1"/>
                          </pic:cNvPicPr>
                        </pic:nvPicPr>
                        <pic:blipFill>
                          <a:blip r:embed="rId45"/>
                          <a:stretch>
                            <a:fillRect/>
                          </a:stretch>
                        </pic:blipFill>
                        <pic:spPr>
                          <a:xfrm>
                            <a:off x="0" y="0"/>
                            <a:ext cx="6186170" cy="3646170"/>
                          </a:xfrm>
                          <a:prstGeom prst="rect">
                            <a:avLst/>
                          </a:prstGeom>
                        </pic:spPr>
                      </pic:pic>
                    </a:graphicData>
                  </a:graphic>
                </wp:inline>
              </w:drawing>
            </w:r>
          </w:p>
        </w:tc>
      </w:tr>
      <w:tr w14:paraId="4937F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D4AE19D">
            <w:pPr>
              <w:rPr>
                <w:rFonts w:hint="default"/>
                <w:vertAlign w:val="baseline"/>
                <w:lang w:val="en-US" w:eastAsia="zh-CN"/>
              </w:rPr>
            </w:pPr>
            <w:r>
              <w:rPr>
                <w:rFonts w:hint="eastAsia" w:ascii="宋体" w:hAnsi="宋体" w:eastAsia="宋体" w:cs="宋体"/>
                <w:color w:val="323435"/>
                <w:sz w:val="21"/>
                <w:szCs w:val="21"/>
              </w:rPr>
              <w:t>2018年10月17日，广东省</w:t>
            </w:r>
            <w:r>
              <w:rPr>
                <w:rFonts w:hint="eastAsia" w:ascii="宋体" w:hAnsi="宋体" w:eastAsia="宋体" w:cs="宋体"/>
                <w:color w:val="000000"/>
                <w:sz w:val="21"/>
                <w:szCs w:val="21"/>
              </w:rPr>
              <w:t>第九届老年人体育健身大会在南雄市召</w:t>
            </w:r>
            <w:r>
              <w:rPr>
                <w:rFonts w:hint="eastAsia" w:ascii="宋体" w:hAnsi="宋体" w:eastAsia="宋体" w:cs="宋体"/>
                <w:color w:val="323435"/>
                <w:sz w:val="21"/>
                <w:szCs w:val="21"/>
              </w:rPr>
              <w:t>开（蔡仁银</w:t>
            </w:r>
            <w:r>
              <w:rPr>
                <w:rFonts w:hint="eastAsia" w:ascii="宋体" w:hAnsi="宋体" w:eastAsia="宋体" w:cs="宋体"/>
                <w:color w:val="323435"/>
                <w:sz w:val="21"/>
                <w:szCs w:val="21"/>
                <w:lang w:val="en-US" w:eastAsia="zh-CN"/>
              </w:rPr>
              <w:t xml:space="preserve">  摄</w:t>
            </w:r>
            <w:r>
              <w:rPr>
                <w:rFonts w:hint="eastAsia" w:ascii="宋体" w:hAnsi="宋体" w:eastAsia="宋体" w:cs="宋体"/>
                <w:color w:val="323435"/>
                <w:sz w:val="21"/>
                <w:szCs w:val="21"/>
              </w:rPr>
              <w:t>）</w:t>
            </w:r>
          </w:p>
        </w:tc>
      </w:tr>
    </w:tbl>
    <w:p w14:paraId="065F67F2">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3965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84272D8">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79820" cy="3051810"/>
                  <wp:effectExtent l="0" t="0" r="11430" b="15240"/>
                  <wp:docPr id="35" name="图片 35" descr="南雄年鉴2019_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南雄年鉴2019_0034"/>
                          <pic:cNvPicPr>
                            <a:picLocks noChangeAspect="1"/>
                          </pic:cNvPicPr>
                        </pic:nvPicPr>
                        <pic:blipFill>
                          <a:blip r:embed="rId46"/>
                          <a:stretch>
                            <a:fillRect/>
                          </a:stretch>
                        </pic:blipFill>
                        <pic:spPr>
                          <a:xfrm>
                            <a:off x="0" y="0"/>
                            <a:ext cx="6179820" cy="3051810"/>
                          </a:xfrm>
                          <a:prstGeom prst="rect">
                            <a:avLst/>
                          </a:prstGeom>
                        </pic:spPr>
                      </pic:pic>
                    </a:graphicData>
                  </a:graphic>
                </wp:inline>
              </w:drawing>
            </w:r>
          </w:p>
        </w:tc>
      </w:tr>
      <w:tr w14:paraId="1AD87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29E13663">
            <w:pPr>
              <w:spacing w:beforeLines="0" w:afterLines="0"/>
              <w:ind w:firstLine="420" w:firstLineChars="200"/>
              <w:jc w:val="left"/>
              <w:rPr>
                <w:rFonts w:hint="default" w:ascii="宋体" w:hAnsi="宋体" w:eastAsia="宋体" w:cs="宋体"/>
                <w:kern w:val="2"/>
                <w:sz w:val="21"/>
                <w:szCs w:val="21"/>
                <w:lang w:val="en-US" w:eastAsia="zh-CN" w:bidi="ar-SA"/>
              </w:rPr>
            </w:pPr>
            <w:r>
              <w:rPr>
                <w:rFonts w:hint="eastAsia" w:ascii="宋体" w:hAnsi="宋体" w:eastAsia="宋体" w:cs="宋体"/>
                <w:color w:val="434445"/>
                <w:sz w:val="21"/>
                <w:szCs w:val="21"/>
              </w:rPr>
              <w:t>2018年11月7日，南雄市举</w:t>
            </w:r>
            <w:r>
              <w:rPr>
                <w:rFonts w:hint="eastAsia" w:ascii="宋体" w:hAnsi="宋体" w:eastAsia="宋体" w:cs="宋体"/>
                <w:color w:val="434445"/>
                <w:sz w:val="21"/>
                <w:szCs w:val="21"/>
                <w:lang w:val="en-US" w:eastAsia="zh-CN"/>
              </w:rPr>
              <w:t>办</w:t>
            </w:r>
            <w:r>
              <w:rPr>
                <w:rFonts w:hint="eastAsia" w:ascii="宋体" w:hAnsi="宋体" w:eastAsia="宋体" w:cs="宋体"/>
                <w:color w:val="434445"/>
                <w:sz w:val="21"/>
                <w:szCs w:val="21"/>
              </w:rPr>
              <w:t>主题</w:t>
            </w:r>
            <w:r>
              <w:rPr>
                <w:rFonts w:hint="eastAsia" w:ascii="宋体" w:hAnsi="宋体" w:eastAsia="宋体" w:cs="宋体"/>
                <w:color w:val="434445"/>
                <w:sz w:val="21"/>
                <w:szCs w:val="21"/>
                <w:lang w:val="en-US" w:eastAsia="zh-CN"/>
              </w:rPr>
              <w:t>为</w:t>
            </w:r>
            <w:r>
              <w:rPr>
                <w:rFonts w:hint="eastAsia" w:ascii="宋体" w:hAnsi="宋体" w:eastAsia="宋体" w:cs="宋体"/>
                <w:color w:val="434445"/>
                <w:sz w:val="21"/>
                <w:szCs w:val="21"/>
              </w:rPr>
              <w:t>“同根·同源·同梦，爱家</w:t>
            </w:r>
            <w:r>
              <w:rPr>
                <w:rFonts w:hint="eastAsia" w:ascii="宋体" w:hAnsi="宋体" w:eastAsia="宋体" w:cs="宋体"/>
                <w:color w:val="000000"/>
                <w:sz w:val="21"/>
                <w:szCs w:val="21"/>
              </w:rPr>
              <w:t>·爱</w:t>
            </w:r>
            <w:r>
              <w:rPr>
                <w:rFonts w:hint="eastAsia" w:ascii="宋体" w:hAnsi="宋体" w:eastAsia="宋体" w:cs="宋体"/>
                <w:color w:val="000000"/>
                <w:sz w:val="21"/>
                <w:szCs w:val="21"/>
                <w:lang w:val="en-US" w:eastAsia="zh-CN"/>
              </w:rPr>
              <w:t>乡</w:t>
            </w:r>
            <w:r>
              <w:rPr>
                <w:rFonts w:hint="eastAsia" w:ascii="宋体" w:hAnsi="宋体" w:eastAsia="宋体" w:cs="宋体"/>
                <w:color w:val="000000"/>
                <w:sz w:val="21"/>
                <w:szCs w:val="21"/>
              </w:rPr>
              <w:t>·爱国</w:t>
            </w:r>
            <w:r>
              <w:rPr>
                <w:rFonts w:hint="eastAsia" w:ascii="宋体" w:hAnsi="宋体" w:eastAsia="宋体" w:cs="宋体"/>
                <w:color w:val="000000"/>
                <w:sz w:val="21"/>
                <w:szCs w:val="21"/>
                <w:lang w:eastAsia="zh-CN"/>
              </w:rPr>
              <w:t>”</w:t>
            </w:r>
            <w:r>
              <w:rPr>
                <w:rFonts w:hint="eastAsia" w:ascii="宋体" w:hAnsi="宋体" w:eastAsia="宋体" w:cs="宋体"/>
                <w:color w:val="434445"/>
                <w:sz w:val="21"/>
                <w:szCs w:val="21"/>
              </w:rPr>
              <w:t>第五届姓氏文化旅游节</w:t>
            </w:r>
            <w:r>
              <w:rPr>
                <w:rFonts w:hint="eastAsia" w:ascii="宋体" w:hAnsi="宋体" w:eastAsia="宋体" w:cs="宋体"/>
                <w:color w:val="434445"/>
                <w:sz w:val="21"/>
                <w:szCs w:val="21"/>
                <w:lang w:val="en-US" w:eastAsia="zh-CN"/>
              </w:rPr>
              <w:t>暨</w:t>
            </w:r>
            <w:r>
              <w:rPr>
                <w:rFonts w:hint="eastAsia" w:ascii="宋体" w:hAnsi="宋体" w:eastAsia="宋体" w:cs="宋体"/>
                <w:color w:val="434445"/>
                <w:sz w:val="21"/>
                <w:szCs w:val="21"/>
              </w:rPr>
              <w:t>201</w:t>
            </w:r>
            <w:r>
              <w:rPr>
                <w:rFonts w:hint="eastAsia" w:ascii="宋体" w:hAnsi="宋体" w:eastAsia="宋体" w:cs="宋体"/>
                <w:color w:val="434445"/>
                <w:sz w:val="21"/>
                <w:szCs w:val="21"/>
                <w:lang w:val="en-US" w:eastAsia="zh-CN"/>
              </w:rPr>
              <w:t>8</w:t>
            </w:r>
            <w:r>
              <w:rPr>
                <w:rFonts w:hint="eastAsia" w:ascii="宋体" w:hAnsi="宋体" w:eastAsia="宋体" w:cs="宋体"/>
                <w:color w:val="434445"/>
                <w:sz w:val="21"/>
                <w:szCs w:val="21"/>
              </w:rPr>
              <w:t>年世</w:t>
            </w:r>
            <w:r>
              <w:rPr>
                <w:rFonts w:hint="eastAsia" w:ascii="宋体" w:hAnsi="宋体" w:eastAsia="宋体" w:cs="宋体"/>
                <w:color w:val="323435"/>
                <w:sz w:val="21"/>
                <w:szCs w:val="21"/>
              </w:rPr>
              <w:t>界黎氏恳</w:t>
            </w:r>
            <w:r>
              <w:rPr>
                <w:rFonts w:hint="eastAsia" w:ascii="宋体" w:hAnsi="宋体" w:eastAsia="宋体" w:cs="宋体"/>
                <w:color w:val="323435"/>
                <w:sz w:val="21"/>
                <w:szCs w:val="21"/>
                <w:lang w:val="en-US" w:eastAsia="zh-CN"/>
              </w:rPr>
              <w:t>亲</w:t>
            </w:r>
            <w:r>
              <w:rPr>
                <w:rFonts w:hint="eastAsia" w:ascii="宋体" w:hAnsi="宋体" w:eastAsia="宋体" w:cs="宋体"/>
                <w:color w:val="323435"/>
                <w:sz w:val="21"/>
                <w:szCs w:val="21"/>
              </w:rPr>
              <w:t>大会（蔡仁银</w:t>
            </w:r>
            <w:r>
              <w:rPr>
                <w:rFonts w:hint="eastAsia" w:ascii="宋体" w:hAnsi="宋体" w:eastAsia="宋体" w:cs="宋体"/>
                <w:color w:val="323435"/>
                <w:sz w:val="21"/>
                <w:szCs w:val="21"/>
                <w:lang w:val="en-US" w:eastAsia="zh-CN"/>
              </w:rPr>
              <w:t xml:space="preserve">  摄</w:t>
            </w:r>
            <w:r>
              <w:rPr>
                <w:rFonts w:hint="eastAsia" w:ascii="宋体" w:hAnsi="宋体" w:eastAsia="宋体" w:cs="宋体"/>
                <w:color w:val="323435"/>
                <w:sz w:val="21"/>
                <w:szCs w:val="21"/>
              </w:rPr>
              <w:t>）</w:t>
            </w:r>
          </w:p>
        </w:tc>
      </w:tr>
    </w:tbl>
    <w:p w14:paraId="12FD9773">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E83B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7F36773">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8075" cy="3709035"/>
                  <wp:effectExtent l="0" t="0" r="3175" b="5715"/>
                  <wp:docPr id="36" name="图片 36" descr="南雄年鉴2019_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南雄年鉴2019_0035"/>
                          <pic:cNvPicPr>
                            <a:picLocks noChangeAspect="1"/>
                          </pic:cNvPicPr>
                        </pic:nvPicPr>
                        <pic:blipFill>
                          <a:blip r:embed="rId47"/>
                          <a:stretch>
                            <a:fillRect/>
                          </a:stretch>
                        </pic:blipFill>
                        <pic:spPr>
                          <a:xfrm>
                            <a:off x="0" y="0"/>
                            <a:ext cx="6188075" cy="3709035"/>
                          </a:xfrm>
                          <a:prstGeom prst="rect">
                            <a:avLst/>
                          </a:prstGeom>
                        </pic:spPr>
                      </pic:pic>
                    </a:graphicData>
                  </a:graphic>
                </wp:inline>
              </w:drawing>
            </w:r>
          </w:p>
        </w:tc>
      </w:tr>
      <w:tr w14:paraId="2A23E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3157C4C">
            <w:pPr>
              <w:rPr>
                <w:rFonts w:hint="default"/>
                <w:vertAlign w:val="baseline"/>
                <w:lang w:val="en-US" w:eastAsia="zh-CN"/>
              </w:rPr>
            </w:pPr>
            <w:r>
              <w:rPr>
                <w:rFonts w:hint="eastAsia" w:ascii="宋体" w:hAnsi="宋体" w:eastAsia="宋体" w:cs="宋体"/>
                <w:color w:val="313231"/>
                <w:sz w:val="21"/>
                <w:szCs w:val="21"/>
              </w:rPr>
              <w:t>2018年11月22日，南雄中学杰出校友</w:t>
            </w:r>
            <w:r>
              <w:rPr>
                <w:rFonts w:hint="eastAsia" w:ascii="宋体" w:hAnsi="宋体" w:eastAsia="宋体" w:cs="宋体"/>
                <w:color w:val="484C4B"/>
                <w:sz w:val="21"/>
                <w:szCs w:val="21"/>
              </w:rPr>
              <w:t>、</w:t>
            </w:r>
            <w:r>
              <w:rPr>
                <w:rFonts w:hint="eastAsia" w:ascii="宋体" w:hAnsi="宋体" w:eastAsia="宋体" w:cs="宋体"/>
                <w:color w:val="313231"/>
                <w:sz w:val="21"/>
                <w:szCs w:val="21"/>
              </w:rPr>
              <w:t>港珠澳大桥“</w:t>
            </w:r>
            <w:r>
              <w:rPr>
                <w:rFonts w:hint="eastAsia" w:ascii="宋体" w:hAnsi="宋体" w:eastAsia="宋体" w:cs="宋体"/>
                <w:color w:val="000000"/>
                <w:sz w:val="21"/>
                <w:szCs w:val="21"/>
              </w:rPr>
              <w:t>建设功</w:t>
            </w:r>
            <w:r>
              <w:rPr>
                <w:rFonts w:hint="eastAsia" w:ascii="宋体" w:hAnsi="宋体" w:eastAsia="宋体" w:cs="宋体"/>
                <w:color w:val="313231"/>
                <w:sz w:val="21"/>
                <w:szCs w:val="21"/>
              </w:rPr>
              <w:t>臣”</w:t>
            </w:r>
            <w:r>
              <w:rPr>
                <w:rFonts w:hint="eastAsia" w:ascii="宋体" w:hAnsi="宋体" w:eastAsia="宋体" w:cs="宋体"/>
                <w:color w:val="556766"/>
                <w:sz w:val="21"/>
                <w:szCs w:val="21"/>
              </w:rPr>
              <w:t>、</w:t>
            </w:r>
            <w:r>
              <w:rPr>
                <w:rFonts w:hint="eastAsia" w:ascii="宋体" w:hAnsi="宋体" w:eastAsia="宋体" w:cs="宋体"/>
                <w:color w:val="313231"/>
                <w:sz w:val="21"/>
                <w:szCs w:val="21"/>
              </w:rPr>
              <w:t>“南粤楷模”张宝</w:t>
            </w:r>
            <w:r>
              <w:rPr>
                <w:rFonts w:hint="eastAsia" w:ascii="宋体" w:hAnsi="宋体" w:eastAsia="宋体" w:cs="宋体"/>
                <w:color w:val="000000"/>
                <w:sz w:val="21"/>
                <w:szCs w:val="21"/>
              </w:rPr>
              <w:t>兰（左</w:t>
            </w:r>
            <w:r>
              <w:rPr>
                <w:rFonts w:hint="eastAsia" w:ascii="宋体" w:hAnsi="宋体" w:eastAsia="宋体" w:cs="宋体"/>
                <w:color w:val="313231"/>
                <w:sz w:val="21"/>
                <w:szCs w:val="21"/>
              </w:rPr>
              <w:t>三）回母校看望师友</w:t>
            </w:r>
            <w:r>
              <w:rPr>
                <w:rFonts w:hint="eastAsia" w:ascii="宋体" w:hAnsi="宋体" w:eastAsia="宋体" w:cs="宋体"/>
                <w:color w:val="000000"/>
                <w:sz w:val="21"/>
                <w:szCs w:val="21"/>
              </w:rPr>
              <w:t>，并与南雄市领</w:t>
            </w:r>
            <w:r>
              <w:rPr>
                <w:rFonts w:hint="eastAsia" w:ascii="宋体" w:hAnsi="宋体" w:eastAsia="宋体" w:cs="宋体"/>
                <w:color w:val="000000"/>
                <w:sz w:val="21"/>
                <w:szCs w:val="21"/>
                <w:lang w:val="en-US" w:eastAsia="zh-CN"/>
              </w:rPr>
              <w:t>导</w:t>
            </w:r>
            <w:r>
              <w:rPr>
                <w:rFonts w:hint="eastAsia" w:ascii="宋体" w:hAnsi="宋体" w:eastAsia="宋体" w:cs="宋体"/>
                <w:color w:val="000000"/>
                <w:sz w:val="21"/>
                <w:szCs w:val="21"/>
              </w:rPr>
              <w:t>合影</w:t>
            </w:r>
          </w:p>
        </w:tc>
      </w:tr>
    </w:tbl>
    <w:p w14:paraId="5064804D">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B91D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410CBE1">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170" cy="3760470"/>
                  <wp:effectExtent l="0" t="0" r="5080" b="11430"/>
                  <wp:docPr id="37" name="图片 37" descr="南雄年鉴2019_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南雄年鉴2019_0036"/>
                          <pic:cNvPicPr>
                            <a:picLocks noChangeAspect="1"/>
                          </pic:cNvPicPr>
                        </pic:nvPicPr>
                        <pic:blipFill>
                          <a:blip r:embed="rId48"/>
                          <a:stretch>
                            <a:fillRect/>
                          </a:stretch>
                        </pic:blipFill>
                        <pic:spPr>
                          <a:xfrm>
                            <a:off x="0" y="0"/>
                            <a:ext cx="6186170" cy="3760470"/>
                          </a:xfrm>
                          <a:prstGeom prst="rect">
                            <a:avLst/>
                          </a:prstGeom>
                        </pic:spPr>
                      </pic:pic>
                    </a:graphicData>
                  </a:graphic>
                </wp:inline>
              </w:drawing>
            </w:r>
          </w:p>
        </w:tc>
      </w:tr>
      <w:tr w14:paraId="72527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436D4961">
            <w:pPr>
              <w:spacing w:beforeLines="0" w:afterLines="0"/>
              <w:ind w:firstLine="420" w:firstLineChars="200"/>
              <w:jc w:val="left"/>
              <w:rPr>
                <w:rFonts w:hint="default" w:ascii="宋体" w:hAnsi="宋体" w:eastAsia="宋体" w:cs="宋体"/>
                <w:kern w:val="2"/>
                <w:sz w:val="21"/>
                <w:szCs w:val="21"/>
                <w:lang w:val="en-US" w:eastAsia="zh-CN" w:bidi="ar-SA"/>
              </w:rPr>
            </w:pPr>
            <w:r>
              <w:rPr>
                <w:rFonts w:hint="eastAsia" w:ascii="宋体" w:hAnsi="宋体" w:eastAsia="宋体" w:cs="宋体"/>
                <w:color w:val="313231"/>
                <w:sz w:val="21"/>
                <w:szCs w:val="21"/>
              </w:rPr>
              <w:t>2018</w:t>
            </w:r>
            <w:r>
              <w:rPr>
                <w:rFonts w:hint="eastAsia" w:ascii="宋体" w:hAnsi="宋体" w:eastAsia="宋体" w:cs="宋体"/>
                <w:color w:val="313231"/>
                <w:sz w:val="21"/>
                <w:szCs w:val="21"/>
                <w:lang w:val="en-US" w:eastAsia="zh-CN"/>
              </w:rPr>
              <w:t>年</w:t>
            </w:r>
            <w:r>
              <w:rPr>
                <w:rFonts w:hint="eastAsia" w:ascii="宋体" w:hAnsi="宋体" w:eastAsia="宋体" w:cs="宋体"/>
                <w:color w:val="313231"/>
                <w:sz w:val="21"/>
                <w:szCs w:val="21"/>
              </w:rPr>
              <w:t>12月7日，南雄市融媒体中心在市广播电</w:t>
            </w:r>
            <w:r>
              <w:rPr>
                <w:rFonts w:hint="eastAsia" w:ascii="宋体" w:hAnsi="宋体" w:eastAsia="宋体" w:cs="宋体"/>
                <w:color w:val="313231"/>
                <w:sz w:val="21"/>
                <w:szCs w:val="21"/>
                <w:lang w:val="en-US" w:eastAsia="zh-CN"/>
              </w:rPr>
              <w:t>视</w:t>
            </w:r>
            <w:r>
              <w:rPr>
                <w:rFonts w:hint="eastAsia" w:ascii="宋体" w:hAnsi="宋体" w:eastAsia="宋体" w:cs="宋体"/>
                <w:color w:val="313231"/>
                <w:sz w:val="21"/>
                <w:szCs w:val="21"/>
              </w:rPr>
              <w:t>台揭牌</w:t>
            </w:r>
            <w:r>
              <w:rPr>
                <w:rFonts w:hint="eastAsia" w:ascii="宋体" w:hAnsi="宋体" w:eastAsia="宋体" w:cs="宋体"/>
                <w:color w:val="000000"/>
                <w:sz w:val="21"/>
                <w:szCs w:val="21"/>
              </w:rPr>
              <w:t>成</w:t>
            </w:r>
            <w:r>
              <w:rPr>
                <w:rFonts w:hint="eastAsia" w:ascii="宋体" w:hAnsi="宋体" w:eastAsia="宋体" w:cs="宋体"/>
                <w:color w:val="000000"/>
                <w:sz w:val="21"/>
                <w:szCs w:val="21"/>
                <w:lang w:val="en-US" w:eastAsia="zh-CN"/>
              </w:rPr>
              <w:t>立</w:t>
            </w:r>
            <w:r>
              <w:rPr>
                <w:rFonts w:hint="eastAsia" w:ascii="宋体" w:hAnsi="宋体" w:eastAsia="宋体" w:cs="宋体"/>
                <w:color w:val="000000"/>
                <w:sz w:val="21"/>
                <w:szCs w:val="21"/>
              </w:rPr>
              <w:t>，南雄市委书</w:t>
            </w:r>
            <w:r>
              <w:rPr>
                <w:rFonts w:hint="eastAsia" w:ascii="宋体" w:hAnsi="宋体" w:eastAsia="宋体" w:cs="宋体"/>
                <w:color w:val="000000"/>
                <w:sz w:val="21"/>
                <w:szCs w:val="21"/>
                <w:lang w:val="en-US" w:eastAsia="zh-CN"/>
              </w:rPr>
              <w:t>记</w:t>
            </w:r>
            <w:r>
              <w:rPr>
                <w:rFonts w:hint="eastAsia" w:ascii="宋体" w:hAnsi="宋体" w:eastAsia="宋体" w:cs="宋体"/>
                <w:color w:val="000000"/>
                <w:sz w:val="21"/>
                <w:szCs w:val="21"/>
              </w:rPr>
              <w:t>王碧安（右）</w:t>
            </w:r>
            <w:r>
              <w:rPr>
                <w:rFonts w:hint="eastAsia" w:ascii="宋体" w:hAnsi="宋体" w:eastAsia="宋体" w:cs="宋体"/>
                <w:color w:val="313231"/>
                <w:sz w:val="21"/>
                <w:szCs w:val="21"/>
              </w:rPr>
              <w:t>参加活动（</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32628C02">
      <w:pPr>
        <w:rPr>
          <w:rFonts w:hint="default"/>
          <w:lang w:val="en-US" w:eastAsia="zh-CN"/>
        </w:rPr>
      </w:pPr>
    </w:p>
    <w:tbl>
      <w:tblPr>
        <w:tblStyle w:val="8"/>
        <w:tblW w:w="1448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6"/>
        <w:gridCol w:w="4517"/>
      </w:tblGrid>
      <w:tr w14:paraId="6B04C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521" w:type="dxa"/>
        </w:trPr>
        <w:tc>
          <w:tcPr>
            <w:tcW w:w="9962" w:type="dxa"/>
            <w:tcBorders>
              <w:top w:val="nil"/>
              <w:left w:val="nil"/>
              <w:bottom w:val="nil"/>
              <w:right w:val="nil"/>
            </w:tcBorders>
          </w:tcPr>
          <w:p w14:paraId="3D235F36">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3630" cy="3691890"/>
                  <wp:effectExtent l="0" t="0" r="7620" b="3810"/>
                  <wp:docPr id="38" name="图片 38" descr="南雄年鉴2019_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南雄年鉴2019_0037"/>
                          <pic:cNvPicPr>
                            <a:picLocks noChangeAspect="1"/>
                          </pic:cNvPicPr>
                        </pic:nvPicPr>
                        <pic:blipFill>
                          <a:blip r:embed="rId49"/>
                          <a:stretch>
                            <a:fillRect/>
                          </a:stretch>
                        </pic:blipFill>
                        <pic:spPr>
                          <a:xfrm>
                            <a:off x="0" y="0"/>
                            <a:ext cx="6183630" cy="3691890"/>
                          </a:xfrm>
                          <a:prstGeom prst="rect">
                            <a:avLst/>
                          </a:prstGeom>
                        </pic:spPr>
                      </pic:pic>
                    </a:graphicData>
                  </a:graphic>
                </wp:inline>
              </w:drawing>
            </w:r>
          </w:p>
        </w:tc>
      </w:tr>
      <w:tr w14:paraId="67FD4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79D6CE05">
            <w:pPr>
              <w:ind w:firstLine="420" w:firstLineChars="200"/>
              <w:jc w:val="left"/>
              <w:rPr>
                <w:rFonts w:hint="default" w:ascii="宋体" w:hAnsi="宋体" w:eastAsia="宋体" w:cs="宋体"/>
                <w:kern w:val="2"/>
                <w:sz w:val="21"/>
                <w:szCs w:val="21"/>
                <w:lang w:val="en-US" w:eastAsia="zh-CN" w:bidi="ar-SA"/>
              </w:rPr>
            </w:pPr>
            <w:r>
              <w:rPr>
                <w:rFonts w:hint="eastAsia" w:ascii="宋体" w:hAnsi="宋体" w:eastAsia="宋体" w:cs="宋体"/>
                <w:color w:val="313231"/>
                <w:sz w:val="21"/>
                <w:szCs w:val="21"/>
              </w:rPr>
              <w:t>2018年12月21日，南雄市人才驿站</w:t>
            </w:r>
            <w:r>
              <w:rPr>
                <w:rFonts w:hint="eastAsia" w:ascii="宋体" w:hAnsi="宋体" w:eastAsia="宋体" w:cs="宋体"/>
                <w:color w:val="000000"/>
                <w:sz w:val="21"/>
                <w:szCs w:val="21"/>
              </w:rPr>
              <w:t>揭牌成</w:t>
            </w:r>
            <w:r>
              <w:rPr>
                <w:rFonts w:hint="eastAsia" w:ascii="宋体" w:hAnsi="宋体" w:eastAsia="宋体" w:cs="宋体"/>
                <w:color w:val="000000"/>
                <w:sz w:val="21"/>
                <w:szCs w:val="21"/>
                <w:lang w:val="en-US" w:eastAsia="zh-CN"/>
              </w:rPr>
              <w:t>立</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c>
          <w:tcPr>
            <w:tcW w:w="4521" w:type="dxa"/>
            <w:tcBorders>
              <w:top w:val="nil"/>
              <w:left w:val="nil"/>
              <w:bottom w:val="nil"/>
              <w:right w:val="nil"/>
            </w:tcBorders>
            <w:vAlign w:val="center"/>
          </w:tcPr>
          <w:p w14:paraId="2B5B4921">
            <w:pPr>
              <w:spacing w:beforeLines="0" w:afterLines="0"/>
              <w:ind w:firstLine="420" w:firstLineChars="200"/>
              <w:jc w:val="left"/>
              <w:rPr>
                <w:rFonts w:hint="default" w:ascii="宋体" w:hAnsi="宋体" w:eastAsia="宋体" w:cs="宋体"/>
                <w:kern w:val="2"/>
                <w:sz w:val="21"/>
                <w:szCs w:val="21"/>
                <w:lang w:val="en-US" w:eastAsia="zh-CN" w:bidi="ar-SA"/>
              </w:rPr>
            </w:pPr>
          </w:p>
        </w:tc>
      </w:tr>
    </w:tbl>
    <w:p w14:paraId="5B539C7C">
      <w:pPr>
        <w:pStyle w:val="3"/>
        <w:bidi w:val="0"/>
        <w:rPr>
          <w:rFonts w:hint="default"/>
          <w:lang w:val="en-US" w:eastAsia="zh-CN"/>
        </w:rPr>
      </w:pPr>
      <w:r>
        <w:rPr>
          <w:rFonts w:hint="eastAsia"/>
          <w:lang w:val="en-US" w:eastAsia="zh-CN"/>
        </w:rPr>
        <w:t>产业升级</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72A2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6A67303">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995" cy="3754755"/>
                  <wp:effectExtent l="0" t="0" r="8255" b="17145"/>
                  <wp:docPr id="55" name="图片 55" descr="南雄年鉴2019_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南雄年鉴2019_0038"/>
                          <pic:cNvPicPr>
                            <a:picLocks noChangeAspect="1"/>
                          </pic:cNvPicPr>
                        </pic:nvPicPr>
                        <pic:blipFill>
                          <a:blip r:embed="rId50"/>
                          <a:stretch>
                            <a:fillRect/>
                          </a:stretch>
                        </pic:blipFill>
                        <pic:spPr>
                          <a:xfrm>
                            <a:off x="0" y="0"/>
                            <a:ext cx="6182995" cy="3754755"/>
                          </a:xfrm>
                          <a:prstGeom prst="rect">
                            <a:avLst/>
                          </a:prstGeom>
                        </pic:spPr>
                      </pic:pic>
                    </a:graphicData>
                  </a:graphic>
                </wp:inline>
              </w:drawing>
            </w:r>
          </w:p>
        </w:tc>
      </w:tr>
      <w:tr w14:paraId="3E001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56DC08B">
            <w:pPr>
              <w:rPr>
                <w:rFonts w:hint="default"/>
                <w:vertAlign w:val="baseline"/>
                <w:lang w:val="en-US" w:eastAsia="zh-CN"/>
              </w:rPr>
            </w:pPr>
            <w:r>
              <w:rPr>
                <w:rFonts w:hint="eastAsia" w:ascii="宋体" w:hAnsi="宋体" w:eastAsia="宋体" w:cs="宋体"/>
                <w:color w:val="3F4040"/>
                <w:sz w:val="21"/>
                <w:szCs w:val="21"/>
              </w:rPr>
              <w:t>2018年4月11日，南雄市与广东省</w:t>
            </w:r>
            <w:r>
              <w:rPr>
                <w:rFonts w:hint="eastAsia" w:ascii="宋体" w:hAnsi="宋体" w:eastAsia="宋体" w:cs="宋体"/>
                <w:color w:val="000000"/>
                <w:sz w:val="21"/>
                <w:szCs w:val="21"/>
              </w:rPr>
              <w:t>风力发</w:t>
            </w:r>
            <w:r>
              <w:rPr>
                <w:rFonts w:hint="eastAsia" w:ascii="宋体" w:hAnsi="宋体" w:eastAsia="宋体" w:cs="宋体"/>
                <w:color w:val="000000"/>
                <w:sz w:val="21"/>
                <w:szCs w:val="21"/>
                <w:lang w:val="en-US" w:eastAsia="zh-CN"/>
              </w:rPr>
              <w:t>电</w:t>
            </w:r>
            <w:r>
              <w:rPr>
                <w:rFonts w:hint="eastAsia" w:ascii="宋体" w:hAnsi="宋体" w:eastAsia="宋体" w:cs="宋体"/>
                <w:color w:val="000000"/>
                <w:sz w:val="21"/>
                <w:szCs w:val="21"/>
              </w:rPr>
              <w:t>有限公司</w:t>
            </w:r>
            <w:r>
              <w:rPr>
                <w:rFonts w:hint="eastAsia" w:ascii="宋体" w:hAnsi="宋体" w:eastAsia="宋体" w:cs="宋体"/>
                <w:color w:val="3F4040"/>
                <w:sz w:val="21"/>
                <w:szCs w:val="21"/>
              </w:rPr>
              <w:t>正式签</w:t>
            </w:r>
            <w:r>
              <w:rPr>
                <w:rFonts w:hint="eastAsia" w:ascii="宋体" w:hAnsi="宋体" w:eastAsia="宋体" w:cs="宋体"/>
                <w:color w:val="3F4040"/>
                <w:sz w:val="21"/>
                <w:szCs w:val="21"/>
                <w:lang w:val="en-US" w:eastAsia="zh-CN"/>
              </w:rPr>
              <w:t>订</w:t>
            </w:r>
            <w:r>
              <w:rPr>
                <w:rFonts w:hint="eastAsia" w:ascii="宋体" w:hAnsi="宋体" w:eastAsia="宋体" w:cs="宋体"/>
                <w:color w:val="3F4040"/>
                <w:sz w:val="21"/>
                <w:szCs w:val="21"/>
              </w:rPr>
              <w:t>朱安村</w:t>
            </w:r>
            <w:r>
              <w:rPr>
                <w:rFonts w:hint="eastAsia" w:ascii="宋体" w:hAnsi="宋体" w:eastAsia="宋体" w:cs="宋体"/>
                <w:color w:val="3F4040"/>
                <w:sz w:val="21"/>
                <w:szCs w:val="21"/>
                <w:lang w:val="en-US" w:eastAsia="zh-CN"/>
              </w:rPr>
              <w:t>风电</w:t>
            </w:r>
            <w:r>
              <w:rPr>
                <w:rFonts w:hint="eastAsia" w:ascii="宋体" w:hAnsi="宋体" w:eastAsia="宋体" w:cs="宋体"/>
                <w:color w:val="3F4040"/>
                <w:sz w:val="21"/>
                <w:szCs w:val="21"/>
              </w:rPr>
              <w:t>场</w:t>
            </w:r>
            <w:r>
              <w:rPr>
                <w:rFonts w:hint="eastAsia" w:ascii="宋体" w:hAnsi="宋体" w:eastAsia="宋体" w:cs="宋体"/>
                <w:color w:val="3F4040"/>
                <w:sz w:val="21"/>
                <w:szCs w:val="21"/>
                <w:lang w:val="en-US" w:eastAsia="zh-CN"/>
              </w:rPr>
              <w:t>项</w:t>
            </w:r>
            <w:r>
              <w:rPr>
                <w:rFonts w:hint="eastAsia" w:ascii="宋体" w:hAnsi="宋体" w:eastAsia="宋体" w:cs="宋体"/>
                <w:color w:val="3F4040"/>
                <w:sz w:val="21"/>
                <w:szCs w:val="21"/>
              </w:rPr>
              <w:t>目，项目</w:t>
            </w:r>
            <w:r>
              <w:rPr>
                <w:rFonts w:hint="eastAsia" w:ascii="宋体" w:hAnsi="宋体" w:eastAsia="宋体" w:cs="宋体"/>
                <w:color w:val="000000"/>
                <w:sz w:val="21"/>
                <w:szCs w:val="21"/>
              </w:rPr>
              <w:t>总投资</w:t>
            </w:r>
            <w:r>
              <w:rPr>
                <w:rFonts w:hint="eastAsia" w:ascii="宋体" w:hAnsi="宋体" w:eastAsia="宋体" w:cs="宋体"/>
                <w:color w:val="000000"/>
                <w:sz w:val="21"/>
                <w:szCs w:val="21"/>
                <w:lang w:val="en-US" w:eastAsia="zh-CN"/>
              </w:rPr>
              <w:t>额</w:t>
            </w:r>
            <w:r>
              <w:rPr>
                <w:rFonts w:hint="eastAsia" w:ascii="宋体" w:hAnsi="宋体" w:eastAsia="宋体" w:cs="宋体"/>
                <w:color w:val="000000"/>
                <w:sz w:val="21"/>
                <w:szCs w:val="21"/>
              </w:rPr>
              <w:t>约</w:t>
            </w:r>
            <w:r>
              <w:rPr>
                <w:rFonts w:hint="eastAsia" w:ascii="宋体" w:hAnsi="宋体" w:eastAsia="宋体" w:cs="宋体"/>
                <w:color w:val="000000"/>
                <w:sz w:val="21"/>
                <w:szCs w:val="21"/>
                <w:lang w:val="en-US" w:eastAsia="zh-CN"/>
              </w:rPr>
              <w:t>为</w:t>
            </w:r>
            <w:r>
              <w:rPr>
                <w:rFonts w:hint="eastAsia" w:ascii="宋体" w:hAnsi="宋体" w:eastAsia="宋体" w:cs="宋体"/>
                <w:color w:val="000000"/>
                <w:sz w:val="21"/>
                <w:szCs w:val="21"/>
              </w:rPr>
              <w:t>10亿元</w:t>
            </w:r>
            <w:r>
              <w:rPr>
                <w:rFonts w:hint="eastAsia" w:ascii="宋体" w:hAnsi="宋体" w:eastAsia="宋体" w:cs="宋体"/>
                <w:color w:val="313231"/>
                <w:sz w:val="21"/>
                <w:szCs w:val="21"/>
              </w:rPr>
              <w:t>（</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54D1A5EC">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F345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E20684D">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3726180"/>
                  <wp:effectExtent l="0" t="0" r="5715" b="7620"/>
                  <wp:docPr id="56" name="图片 56" descr="南雄年鉴2019_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南雄年鉴2019_0039"/>
                          <pic:cNvPicPr>
                            <a:picLocks noChangeAspect="1"/>
                          </pic:cNvPicPr>
                        </pic:nvPicPr>
                        <pic:blipFill>
                          <a:blip r:embed="rId51"/>
                          <a:stretch>
                            <a:fillRect/>
                          </a:stretch>
                        </pic:blipFill>
                        <pic:spPr>
                          <a:xfrm>
                            <a:off x="0" y="0"/>
                            <a:ext cx="6185535" cy="3726180"/>
                          </a:xfrm>
                          <a:prstGeom prst="rect">
                            <a:avLst/>
                          </a:prstGeom>
                        </pic:spPr>
                      </pic:pic>
                    </a:graphicData>
                  </a:graphic>
                </wp:inline>
              </w:drawing>
            </w:r>
          </w:p>
        </w:tc>
      </w:tr>
      <w:tr w14:paraId="7920E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4618F5BF">
            <w:pPr>
              <w:spacing w:beforeLines="0" w:afterLines="0"/>
              <w:ind w:firstLine="420" w:firstLineChars="200"/>
              <w:jc w:val="left"/>
              <w:rPr>
                <w:rFonts w:hint="default" w:ascii="宋体" w:hAnsi="宋体" w:eastAsia="宋体" w:cs="宋体"/>
                <w:kern w:val="2"/>
                <w:sz w:val="21"/>
                <w:szCs w:val="21"/>
                <w:lang w:val="en-US" w:eastAsia="zh-CN" w:bidi="ar-SA"/>
              </w:rPr>
            </w:pPr>
            <w:r>
              <w:rPr>
                <w:rFonts w:hint="eastAsia" w:ascii="宋体" w:hAnsi="宋体" w:eastAsia="宋体" w:cs="宋体"/>
                <w:color w:val="3F4040"/>
                <w:sz w:val="21"/>
                <w:szCs w:val="21"/>
              </w:rPr>
              <w:t>2018年10月7日，总投</w:t>
            </w:r>
            <w:r>
              <w:rPr>
                <w:rFonts w:hint="eastAsia" w:ascii="宋体" w:hAnsi="宋体" w:eastAsia="宋体" w:cs="宋体"/>
                <w:color w:val="000000"/>
                <w:sz w:val="21"/>
                <w:szCs w:val="21"/>
              </w:rPr>
              <w:t>资达10亿元的指挥官</w:t>
            </w:r>
            <w:r>
              <w:rPr>
                <w:rFonts w:hint="eastAsia" w:ascii="宋体" w:hAnsi="宋体" w:eastAsia="宋体" w:cs="宋体"/>
                <w:color w:val="3F4040"/>
                <w:sz w:val="21"/>
                <w:szCs w:val="21"/>
              </w:rPr>
              <w:t>现代农</w:t>
            </w:r>
            <w:r>
              <w:rPr>
                <w:rFonts w:hint="eastAsia" w:ascii="宋体" w:hAnsi="宋体" w:eastAsia="宋体" w:cs="宋体"/>
                <w:color w:val="3F4040"/>
                <w:sz w:val="21"/>
                <w:szCs w:val="21"/>
                <w:lang w:val="en-US" w:eastAsia="zh-CN"/>
              </w:rPr>
              <w:t>业</w:t>
            </w:r>
            <w:r>
              <w:rPr>
                <w:rFonts w:hint="eastAsia" w:ascii="宋体" w:hAnsi="宋体" w:eastAsia="宋体" w:cs="宋体"/>
                <w:color w:val="3F4040"/>
                <w:sz w:val="21"/>
                <w:szCs w:val="21"/>
              </w:rPr>
              <w:t>田园</w:t>
            </w:r>
            <w:r>
              <w:rPr>
                <w:rFonts w:hint="eastAsia" w:ascii="宋体" w:hAnsi="宋体" w:eastAsia="宋体" w:cs="宋体"/>
                <w:color w:val="3F4040"/>
                <w:sz w:val="21"/>
                <w:szCs w:val="21"/>
                <w:lang w:val="en-US" w:eastAsia="zh-CN"/>
              </w:rPr>
              <w:t>综</w:t>
            </w:r>
            <w:r>
              <w:rPr>
                <w:rFonts w:hint="eastAsia" w:ascii="宋体" w:hAnsi="宋体" w:eastAsia="宋体" w:cs="宋体"/>
                <w:color w:val="3F4040"/>
                <w:sz w:val="21"/>
                <w:szCs w:val="21"/>
              </w:rPr>
              <w:t>合体产</w:t>
            </w:r>
            <w:r>
              <w:rPr>
                <w:rFonts w:hint="eastAsia" w:ascii="宋体" w:hAnsi="宋体" w:eastAsia="宋体" w:cs="宋体"/>
                <w:color w:val="3F4040"/>
                <w:sz w:val="21"/>
                <w:szCs w:val="21"/>
                <w:lang w:val="en-US" w:eastAsia="zh-CN"/>
              </w:rPr>
              <w:t>业</w:t>
            </w:r>
            <w:r>
              <w:rPr>
                <w:rFonts w:hint="eastAsia" w:ascii="宋体" w:hAnsi="宋体" w:eastAsia="宋体" w:cs="宋体"/>
                <w:color w:val="3F4040"/>
                <w:sz w:val="21"/>
                <w:szCs w:val="21"/>
              </w:rPr>
              <w:t>园</w:t>
            </w:r>
            <w:r>
              <w:rPr>
                <w:rFonts w:hint="eastAsia" w:cs="宋体"/>
                <w:color w:val="3F4040"/>
                <w:sz w:val="21"/>
                <w:szCs w:val="21"/>
                <w:lang w:eastAsia="zh-CN"/>
              </w:rPr>
              <w:t>—</w:t>
            </w:r>
            <w:r>
              <w:rPr>
                <w:rFonts w:hint="eastAsia" w:ascii="宋体" w:hAnsi="宋体" w:eastAsia="宋体" w:cs="宋体"/>
                <w:color w:val="000000"/>
                <w:sz w:val="21"/>
                <w:szCs w:val="21"/>
              </w:rPr>
              <w:t>南雄示范基地奠基开工（蔡仁银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69952D1A">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9526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14B9984">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3823335"/>
                  <wp:effectExtent l="0" t="0" r="3810" b="5715"/>
                  <wp:docPr id="57" name="图片 57" descr="南雄年鉴2019_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南雄年鉴2019_0040"/>
                          <pic:cNvPicPr>
                            <a:picLocks noChangeAspect="1"/>
                          </pic:cNvPicPr>
                        </pic:nvPicPr>
                        <pic:blipFill>
                          <a:blip r:embed="rId52"/>
                          <a:stretch>
                            <a:fillRect/>
                          </a:stretch>
                        </pic:blipFill>
                        <pic:spPr>
                          <a:xfrm>
                            <a:off x="0" y="0"/>
                            <a:ext cx="6187440" cy="3823335"/>
                          </a:xfrm>
                          <a:prstGeom prst="rect">
                            <a:avLst/>
                          </a:prstGeom>
                        </pic:spPr>
                      </pic:pic>
                    </a:graphicData>
                  </a:graphic>
                </wp:inline>
              </w:drawing>
            </w:r>
          </w:p>
        </w:tc>
      </w:tr>
      <w:tr w14:paraId="78E12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2DDDDF90">
            <w:pPr>
              <w:spacing w:beforeLines="0" w:afterLines="0"/>
              <w:ind w:firstLine="420" w:firstLineChars="200"/>
              <w:jc w:val="left"/>
              <w:rPr>
                <w:rFonts w:hint="default" w:ascii="宋体" w:hAnsi="宋体" w:eastAsia="宋体" w:cs="宋体"/>
                <w:kern w:val="2"/>
                <w:sz w:val="21"/>
                <w:szCs w:val="21"/>
                <w:lang w:val="en-US" w:eastAsia="zh-CN" w:bidi="ar-SA"/>
              </w:rPr>
            </w:pPr>
            <w:r>
              <w:rPr>
                <w:rFonts w:hint="eastAsia" w:ascii="宋体" w:hAnsi="宋体" w:eastAsia="宋体" w:cs="宋体"/>
                <w:color w:val="3F4040"/>
                <w:sz w:val="21"/>
                <w:szCs w:val="21"/>
              </w:rPr>
              <w:t>2018年11月30日南雄市举行</w:t>
            </w:r>
            <w:r>
              <w:rPr>
                <w:rFonts w:hint="eastAsia" w:ascii="宋体" w:hAnsi="宋体" w:eastAsia="宋体" w:cs="宋体"/>
                <w:color w:val="000000"/>
                <w:sz w:val="21"/>
                <w:szCs w:val="21"/>
              </w:rPr>
              <w:t>2018年韶关市</w:t>
            </w:r>
            <w:r>
              <w:rPr>
                <w:rFonts w:hint="eastAsia" w:ascii="宋体" w:hAnsi="宋体" w:eastAsia="宋体" w:cs="宋体"/>
                <w:color w:val="000000"/>
                <w:sz w:val="21"/>
                <w:szCs w:val="21"/>
                <w:lang w:val="en-US" w:eastAsia="zh-CN"/>
              </w:rPr>
              <w:t>产业</w:t>
            </w:r>
            <w:r>
              <w:rPr>
                <w:rFonts w:hint="eastAsia" w:ascii="宋体" w:hAnsi="宋体" w:eastAsia="宋体" w:cs="宋体"/>
                <w:color w:val="3F4040"/>
                <w:sz w:val="21"/>
                <w:szCs w:val="21"/>
              </w:rPr>
              <w:t>项目集中动工</w:t>
            </w:r>
            <w:r>
              <w:rPr>
                <w:rFonts w:hint="eastAsia" w:ascii="宋体" w:hAnsi="宋体" w:eastAsia="宋体" w:cs="宋体"/>
                <w:color w:val="000000"/>
                <w:sz w:val="21"/>
                <w:szCs w:val="21"/>
              </w:rPr>
              <w:t>暨招商引资</w:t>
            </w:r>
            <w:r>
              <w:rPr>
                <w:rFonts w:hint="eastAsia" w:ascii="宋体" w:hAnsi="宋体" w:eastAsia="宋体" w:cs="宋体"/>
                <w:color w:val="000000"/>
                <w:sz w:val="21"/>
                <w:szCs w:val="21"/>
                <w:lang w:val="en-US" w:eastAsia="zh-CN"/>
              </w:rPr>
              <w:t>项</w:t>
            </w:r>
            <w:r>
              <w:rPr>
                <w:rFonts w:hint="eastAsia" w:ascii="宋体" w:hAnsi="宋体" w:eastAsia="宋体" w:cs="宋体"/>
                <w:color w:val="000000"/>
                <w:sz w:val="21"/>
                <w:szCs w:val="21"/>
              </w:rPr>
              <w:t>目集中签</w:t>
            </w:r>
            <w:r>
              <w:rPr>
                <w:rFonts w:hint="eastAsia" w:ascii="宋体" w:hAnsi="宋体" w:eastAsia="宋体" w:cs="宋体"/>
                <w:color w:val="000000"/>
                <w:sz w:val="21"/>
                <w:szCs w:val="21"/>
                <w:lang w:val="en-US" w:eastAsia="zh-CN"/>
              </w:rPr>
              <w:t>约</w:t>
            </w:r>
            <w:r>
              <w:rPr>
                <w:rFonts w:hint="eastAsia" w:ascii="宋体" w:hAnsi="宋体" w:eastAsia="宋体" w:cs="宋体"/>
                <w:color w:val="000000"/>
                <w:sz w:val="21"/>
                <w:szCs w:val="21"/>
              </w:rPr>
              <w:t>仪式</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南雄分会场</w:t>
            </w:r>
            <w:r>
              <w:rPr>
                <w:rFonts w:hint="eastAsia" w:ascii="宋体" w:hAnsi="宋体" w:eastAsia="宋体" w:cs="宋体"/>
                <w:color w:val="000000"/>
                <w:sz w:val="21"/>
                <w:szCs w:val="21"/>
                <w:lang w:eastAsia="zh-CN"/>
              </w:rPr>
              <w:t>）</w:t>
            </w:r>
            <w:r>
              <w:rPr>
                <w:rFonts w:hint="eastAsia" w:cs="宋体"/>
                <w:color w:val="000000"/>
                <w:sz w:val="21"/>
                <w:szCs w:val="21"/>
                <w:lang w:eastAsia="zh-CN"/>
              </w:rPr>
              <w:t>，</w:t>
            </w:r>
            <w:r>
              <w:rPr>
                <w:rFonts w:hint="eastAsia" w:ascii="宋体" w:hAnsi="宋体" w:eastAsia="宋体" w:cs="宋体"/>
                <w:color w:val="3F4040"/>
                <w:sz w:val="21"/>
                <w:szCs w:val="21"/>
              </w:rPr>
              <w:t>7个项目</w:t>
            </w:r>
            <w:r>
              <w:rPr>
                <w:rFonts w:hint="eastAsia" w:ascii="宋体" w:hAnsi="宋体" w:eastAsia="宋体" w:cs="宋体"/>
                <w:color w:val="000000"/>
                <w:sz w:val="21"/>
                <w:szCs w:val="21"/>
              </w:rPr>
              <w:t>总投资</w:t>
            </w:r>
            <w:r>
              <w:rPr>
                <w:rFonts w:hint="eastAsia" w:ascii="宋体" w:hAnsi="宋体" w:eastAsia="宋体" w:cs="宋体"/>
                <w:color w:val="000000"/>
                <w:sz w:val="21"/>
                <w:szCs w:val="21"/>
                <w:lang w:val="en-US" w:eastAsia="zh-CN"/>
              </w:rPr>
              <w:t>达</w:t>
            </w:r>
            <w:r>
              <w:rPr>
                <w:rFonts w:hint="eastAsia" w:ascii="宋体" w:hAnsi="宋体" w:eastAsia="宋体" w:cs="宋体"/>
                <w:color w:val="000000"/>
                <w:sz w:val="21"/>
                <w:szCs w:val="21"/>
              </w:rPr>
              <w:t>8亿元（蔡仁银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29C8267D">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BFA5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1B9C5EC">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2428875"/>
                  <wp:effectExtent l="0" t="0" r="5715" b="9525"/>
                  <wp:docPr id="58" name="图片 58" descr="南雄年鉴2019_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南雄年鉴2019_0041"/>
                          <pic:cNvPicPr>
                            <a:picLocks noChangeAspect="1"/>
                          </pic:cNvPicPr>
                        </pic:nvPicPr>
                        <pic:blipFill>
                          <a:blip r:embed="rId53"/>
                          <a:stretch>
                            <a:fillRect/>
                          </a:stretch>
                        </pic:blipFill>
                        <pic:spPr>
                          <a:xfrm>
                            <a:off x="0" y="0"/>
                            <a:ext cx="6185535" cy="2428875"/>
                          </a:xfrm>
                          <a:prstGeom prst="rect">
                            <a:avLst/>
                          </a:prstGeom>
                        </pic:spPr>
                      </pic:pic>
                    </a:graphicData>
                  </a:graphic>
                </wp:inline>
              </w:drawing>
            </w:r>
          </w:p>
        </w:tc>
      </w:tr>
      <w:tr w14:paraId="41CF1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A36CEB7">
            <w:pPr>
              <w:rPr>
                <w:rFonts w:hint="default"/>
                <w:vertAlign w:val="baseline"/>
                <w:lang w:val="en-US" w:eastAsia="zh-CN"/>
              </w:rPr>
            </w:pPr>
            <w:r>
              <w:rPr>
                <w:rFonts w:hint="eastAsia" w:ascii="宋体" w:hAnsi="宋体" w:eastAsia="宋体" w:cs="宋体"/>
                <w:color w:val="3F4040"/>
                <w:sz w:val="21"/>
                <w:szCs w:val="21"/>
              </w:rPr>
              <w:t>南雄犁牛坪风</w:t>
            </w:r>
            <w:r>
              <w:rPr>
                <w:rFonts w:hint="eastAsia" w:ascii="宋体" w:hAnsi="宋体" w:eastAsia="宋体" w:cs="宋体"/>
                <w:color w:val="3F4040"/>
                <w:sz w:val="21"/>
                <w:szCs w:val="21"/>
                <w:lang w:val="en-US" w:eastAsia="zh-CN"/>
              </w:rPr>
              <w:t>电</w:t>
            </w:r>
            <w:r>
              <w:rPr>
                <w:rFonts w:hint="eastAsia" w:ascii="宋体" w:hAnsi="宋体" w:eastAsia="宋体" w:cs="宋体"/>
                <w:color w:val="3F4040"/>
                <w:sz w:val="21"/>
                <w:szCs w:val="21"/>
              </w:rPr>
              <w:t>场二</w:t>
            </w:r>
            <w:r>
              <w:rPr>
                <w:rFonts w:hint="eastAsia" w:ascii="宋体" w:hAnsi="宋体" w:eastAsia="宋体" w:cs="宋体"/>
                <w:color w:val="000000"/>
                <w:sz w:val="21"/>
                <w:szCs w:val="21"/>
              </w:rPr>
              <w:t>期项目</w:t>
            </w:r>
            <w:r>
              <w:rPr>
                <w:rFonts w:hint="eastAsia" w:ascii="宋体" w:hAnsi="宋体" w:eastAsia="宋体" w:cs="宋体"/>
                <w:color w:val="000000"/>
                <w:sz w:val="21"/>
                <w:szCs w:val="21"/>
                <w:lang w:val="en-US" w:eastAsia="zh-CN"/>
              </w:rPr>
              <w:t>并网投资</w:t>
            </w:r>
          </w:p>
        </w:tc>
      </w:tr>
    </w:tbl>
    <w:p w14:paraId="4DB74374">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8943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966F8B9">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8075" cy="3720465"/>
                  <wp:effectExtent l="0" t="0" r="3175" b="13335"/>
                  <wp:docPr id="59" name="图片 59" descr="南雄年鉴2019_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南雄年鉴2019_0042"/>
                          <pic:cNvPicPr>
                            <a:picLocks noChangeAspect="1"/>
                          </pic:cNvPicPr>
                        </pic:nvPicPr>
                        <pic:blipFill>
                          <a:blip r:embed="rId54"/>
                          <a:stretch>
                            <a:fillRect/>
                          </a:stretch>
                        </pic:blipFill>
                        <pic:spPr>
                          <a:xfrm>
                            <a:off x="0" y="0"/>
                            <a:ext cx="6188075" cy="3720465"/>
                          </a:xfrm>
                          <a:prstGeom prst="rect">
                            <a:avLst/>
                          </a:prstGeom>
                        </pic:spPr>
                      </pic:pic>
                    </a:graphicData>
                  </a:graphic>
                </wp:inline>
              </w:drawing>
            </w:r>
          </w:p>
        </w:tc>
      </w:tr>
      <w:tr w14:paraId="54BAD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7642C7D4">
            <w:pPr>
              <w:spacing w:beforeLines="0" w:afterLines="0"/>
              <w:ind w:firstLine="420" w:firstLineChars="200"/>
              <w:jc w:val="left"/>
              <w:rPr>
                <w:rFonts w:hint="default" w:ascii="宋体" w:hAnsi="宋体" w:eastAsia="宋体" w:cs="宋体"/>
                <w:kern w:val="2"/>
                <w:sz w:val="21"/>
                <w:szCs w:val="21"/>
                <w:lang w:val="en-US" w:eastAsia="zh-CN" w:bidi="ar-SA"/>
              </w:rPr>
            </w:pPr>
            <w:r>
              <w:rPr>
                <w:rFonts w:hint="eastAsia" w:ascii="宋体" w:hAnsi="宋体" w:eastAsia="宋体" w:cs="宋体"/>
                <w:color w:val="2F3030"/>
                <w:sz w:val="21"/>
                <w:szCs w:val="21"/>
              </w:rPr>
              <w:t>古市柴</w:t>
            </w:r>
            <w:r>
              <w:rPr>
                <w:rFonts w:hint="eastAsia" w:ascii="宋体" w:hAnsi="宋体" w:eastAsia="宋体" w:cs="宋体"/>
                <w:color w:val="2F3030"/>
                <w:sz w:val="21"/>
                <w:szCs w:val="21"/>
                <w:lang w:val="en-US" w:eastAsia="zh-CN"/>
              </w:rPr>
              <w:t>岭</w:t>
            </w:r>
            <w:r>
              <w:rPr>
                <w:rFonts w:hint="eastAsia" w:ascii="宋体" w:hAnsi="宋体" w:eastAsia="宋体" w:cs="宋体"/>
                <w:color w:val="2F3030"/>
                <w:sz w:val="21"/>
                <w:szCs w:val="21"/>
              </w:rPr>
              <w:t>支</w:t>
            </w:r>
            <w:r>
              <w:rPr>
                <w:rFonts w:hint="eastAsia" w:ascii="宋体" w:hAnsi="宋体" w:eastAsia="宋体" w:cs="宋体"/>
                <w:color w:val="000000"/>
                <w:sz w:val="21"/>
                <w:szCs w:val="21"/>
              </w:rPr>
              <w:t>书吴竹香带</w:t>
            </w:r>
            <w:r>
              <w:rPr>
                <w:rFonts w:hint="eastAsia" w:ascii="宋体" w:hAnsi="宋体" w:eastAsia="宋体" w:cs="宋体"/>
                <w:color w:val="000000"/>
                <w:sz w:val="21"/>
                <w:szCs w:val="21"/>
                <w:lang w:val="en-US" w:eastAsia="zh-CN"/>
              </w:rPr>
              <w:t>领</w:t>
            </w:r>
            <w:r>
              <w:rPr>
                <w:rFonts w:hint="eastAsia" w:ascii="宋体" w:hAnsi="宋体" w:eastAsia="宋体" w:cs="宋体"/>
                <w:color w:val="2F3030"/>
                <w:sz w:val="21"/>
                <w:szCs w:val="21"/>
              </w:rPr>
              <w:t>村民</w:t>
            </w:r>
            <w:r>
              <w:rPr>
                <w:rFonts w:hint="eastAsia" w:ascii="宋体" w:hAnsi="宋体" w:eastAsia="宋体" w:cs="宋体"/>
                <w:color w:val="2F3030"/>
                <w:sz w:val="21"/>
                <w:szCs w:val="21"/>
                <w:lang w:val="en-US" w:eastAsia="zh-CN"/>
              </w:rPr>
              <w:t>种植</w:t>
            </w:r>
            <w:r>
              <w:rPr>
                <w:rFonts w:hint="eastAsia" w:ascii="宋体" w:hAnsi="宋体" w:eastAsia="宋体" w:cs="宋体"/>
                <w:color w:val="000000"/>
                <w:sz w:val="21"/>
                <w:szCs w:val="21"/>
              </w:rPr>
              <w:t>三华李</w:t>
            </w:r>
            <w:r>
              <w:rPr>
                <w:rFonts w:hint="eastAsia" w:ascii="宋体" w:hAnsi="宋体" w:eastAsia="宋体" w:cs="宋体"/>
                <w:color w:val="000000"/>
                <w:sz w:val="21"/>
                <w:szCs w:val="21"/>
                <w:lang w:val="en-US" w:eastAsia="zh-CN"/>
              </w:rPr>
              <w:t>800亩，</w:t>
            </w:r>
            <w:r>
              <w:rPr>
                <w:rFonts w:hint="eastAsia" w:ascii="宋体" w:hAnsi="宋体" w:eastAsia="宋体" w:cs="宋体"/>
                <w:color w:val="2F3030"/>
                <w:sz w:val="21"/>
                <w:szCs w:val="21"/>
              </w:rPr>
              <w:t>有效带动村民致富</w:t>
            </w:r>
          </w:p>
        </w:tc>
      </w:tr>
    </w:tbl>
    <w:p w14:paraId="06F479BC">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EBAC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EED46EC">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900" cy="3714750"/>
                  <wp:effectExtent l="0" t="0" r="6350" b="0"/>
                  <wp:docPr id="44" name="图片 44" descr="南雄年鉴2019_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南雄年鉴2019_0043"/>
                          <pic:cNvPicPr>
                            <a:picLocks noChangeAspect="1"/>
                          </pic:cNvPicPr>
                        </pic:nvPicPr>
                        <pic:blipFill>
                          <a:blip r:embed="rId55"/>
                          <a:stretch>
                            <a:fillRect/>
                          </a:stretch>
                        </pic:blipFill>
                        <pic:spPr>
                          <a:xfrm>
                            <a:off x="0" y="0"/>
                            <a:ext cx="6184900" cy="3714750"/>
                          </a:xfrm>
                          <a:prstGeom prst="rect">
                            <a:avLst/>
                          </a:prstGeom>
                        </pic:spPr>
                      </pic:pic>
                    </a:graphicData>
                  </a:graphic>
                </wp:inline>
              </w:drawing>
            </w:r>
          </w:p>
        </w:tc>
      </w:tr>
      <w:tr w14:paraId="35C73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C933681">
            <w:pPr>
              <w:rPr>
                <w:rFonts w:hint="default"/>
                <w:vertAlign w:val="baseline"/>
                <w:lang w:val="en-US" w:eastAsia="zh-CN"/>
              </w:rPr>
            </w:pPr>
            <w:r>
              <w:rPr>
                <w:rFonts w:hint="eastAsia" w:ascii="宋体" w:hAnsi="宋体" w:eastAsia="宋体" w:cs="宋体"/>
                <w:color w:val="2F3030"/>
                <w:sz w:val="21"/>
                <w:szCs w:val="21"/>
              </w:rPr>
              <w:t>宽敞明亮舒适的</w:t>
            </w:r>
            <w:r>
              <w:rPr>
                <w:rFonts w:hint="eastAsia" w:ascii="宋体" w:hAnsi="宋体" w:eastAsia="宋体" w:cs="宋体"/>
                <w:color w:val="000000"/>
                <w:sz w:val="21"/>
                <w:szCs w:val="21"/>
              </w:rPr>
              <w:t>公共服务中心办公</w:t>
            </w:r>
            <w:r>
              <w:rPr>
                <w:rFonts w:hint="eastAsia" w:ascii="宋体" w:hAnsi="宋体" w:eastAsia="宋体" w:cs="宋体"/>
                <w:color w:val="000000"/>
                <w:sz w:val="21"/>
                <w:szCs w:val="21"/>
                <w:lang w:val="en-US" w:eastAsia="zh-CN"/>
              </w:rPr>
              <w:t>大厅</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cs="宋体"/>
                <w:color w:val="000000"/>
                <w:sz w:val="21"/>
                <w:szCs w:val="21"/>
                <w:lang w:val="en-US" w:eastAsia="zh-CN"/>
              </w:rPr>
              <w:t>）</w:t>
            </w:r>
          </w:p>
        </w:tc>
      </w:tr>
    </w:tbl>
    <w:p w14:paraId="0EDC0F5C">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43C3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CB84BCE">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3863340"/>
                  <wp:effectExtent l="0" t="0" r="10160" b="3810"/>
                  <wp:docPr id="45" name="图片 45" descr="南雄年鉴2019_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南雄年鉴2019_0044"/>
                          <pic:cNvPicPr>
                            <a:picLocks noChangeAspect="1"/>
                          </pic:cNvPicPr>
                        </pic:nvPicPr>
                        <pic:blipFill>
                          <a:blip r:embed="rId56"/>
                          <a:stretch>
                            <a:fillRect/>
                          </a:stretch>
                        </pic:blipFill>
                        <pic:spPr>
                          <a:xfrm>
                            <a:off x="0" y="0"/>
                            <a:ext cx="6181090" cy="3863340"/>
                          </a:xfrm>
                          <a:prstGeom prst="rect">
                            <a:avLst/>
                          </a:prstGeom>
                        </pic:spPr>
                      </pic:pic>
                    </a:graphicData>
                  </a:graphic>
                </wp:inline>
              </w:drawing>
            </w:r>
          </w:p>
        </w:tc>
      </w:tr>
      <w:tr w14:paraId="6C35C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CBB64FA">
            <w:pPr>
              <w:rPr>
                <w:rFonts w:hint="default"/>
                <w:vertAlign w:val="baseline"/>
                <w:lang w:val="en-US" w:eastAsia="zh-CN"/>
              </w:rPr>
            </w:pPr>
            <w:r>
              <w:rPr>
                <w:rFonts w:hint="eastAsia" w:ascii="宋体" w:hAnsi="宋体" w:eastAsia="宋体" w:cs="宋体"/>
                <w:color w:val="2F3030"/>
                <w:sz w:val="21"/>
                <w:szCs w:val="21"/>
              </w:rPr>
              <w:t>2018年11月4日，南雄市首届百香果采摘节在</w:t>
            </w:r>
            <w:r>
              <w:rPr>
                <w:rFonts w:hint="eastAsia" w:ascii="宋体" w:hAnsi="宋体" w:eastAsia="宋体" w:cs="宋体"/>
                <w:color w:val="000000"/>
                <w:sz w:val="21"/>
                <w:szCs w:val="21"/>
              </w:rPr>
              <w:t>主田镇</w:t>
            </w:r>
            <w:r>
              <w:rPr>
                <w:rFonts w:hint="eastAsia" w:ascii="宋体" w:hAnsi="宋体" w:eastAsia="宋体" w:cs="宋体"/>
                <w:color w:val="000000"/>
                <w:sz w:val="21"/>
                <w:szCs w:val="21"/>
                <w:lang w:val="en-US" w:eastAsia="zh-CN"/>
              </w:rPr>
              <w:t>举</w:t>
            </w:r>
            <w:r>
              <w:rPr>
                <w:rFonts w:hint="eastAsia" w:ascii="宋体" w:hAnsi="宋体" w:eastAsia="宋体" w:cs="宋体"/>
                <w:color w:val="000000"/>
                <w:sz w:val="21"/>
                <w:szCs w:val="21"/>
              </w:rPr>
              <w:t>办（蔡仁银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0157E568">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4F24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D6A9E46">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725" cy="4229100"/>
                  <wp:effectExtent l="0" t="0" r="9525" b="0"/>
                  <wp:docPr id="46" name="图片 46" descr="南雄年鉴2019_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南雄年鉴2019_0045"/>
                          <pic:cNvPicPr>
                            <a:picLocks noChangeAspect="1"/>
                          </pic:cNvPicPr>
                        </pic:nvPicPr>
                        <pic:blipFill>
                          <a:blip r:embed="rId57"/>
                          <a:stretch>
                            <a:fillRect/>
                          </a:stretch>
                        </pic:blipFill>
                        <pic:spPr>
                          <a:xfrm>
                            <a:off x="0" y="0"/>
                            <a:ext cx="6181725" cy="4229100"/>
                          </a:xfrm>
                          <a:prstGeom prst="rect">
                            <a:avLst/>
                          </a:prstGeom>
                        </pic:spPr>
                      </pic:pic>
                    </a:graphicData>
                  </a:graphic>
                </wp:inline>
              </w:drawing>
            </w:r>
          </w:p>
        </w:tc>
      </w:tr>
      <w:tr w14:paraId="3D772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049EBE0D">
            <w:pPr>
              <w:bidi w:val="0"/>
              <w:ind w:firstLine="420" w:firstLineChars="200"/>
              <w:rPr>
                <w:rFonts w:hint="default" w:ascii="宋体" w:hAnsi="宋体" w:eastAsia="宋体" w:cs="宋体"/>
                <w:color w:val="000000"/>
                <w:kern w:val="2"/>
                <w:sz w:val="21"/>
                <w:szCs w:val="21"/>
                <w:lang w:val="en-US" w:eastAsia="zh-CN" w:bidi="ar-SA"/>
              </w:rPr>
            </w:pPr>
            <w:r>
              <w:rPr>
                <w:rFonts w:hint="eastAsia" w:ascii="宋体" w:hAnsi="宋体" w:eastAsia="宋体" w:cs="宋体"/>
                <w:color w:val="2F3030"/>
                <w:sz w:val="21"/>
                <w:szCs w:val="21"/>
              </w:rPr>
              <w:t>南雄产</w:t>
            </w:r>
            <w:r>
              <w:rPr>
                <w:rFonts w:hint="eastAsia" w:ascii="宋体" w:hAnsi="宋体" w:eastAsia="宋体" w:cs="宋体"/>
                <w:color w:val="2F3030"/>
                <w:sz w:val="21"/>
                <w:szCs w:val="21"/>
                <w:lang w:val="en-US" w:eastAsia="zh-CN"/>
              </w:rPr>
              <w:t>业</w:t>
            </w:r>
            <w:r>
              <w:rPr>
                <w:rFonts w:hint="eastAsia" w:ascii="宋体" w:hAnsi="宋体" w:eastAsia="宋体" w:cs="宋体"/>
                <w:color w:val="2F3030"/>
                <w:sz w:val="21"/>
                <w:szCs w:val="21"/>
              </w:rPr>
              <w:t>转移</w:t>
            </w:r>
            <w:r>
              <w:rPr>
                <w:rFonts w:hint="eastAsia" w:ascii="宋体" w:hAnsi="宋体" w:eastAsia="宋体" w:cs="宋体"/>
                <w:color w:val="000000"/>
                <w:sz w:val="21"/>
                <w:szCs w:val="21"/>
              </w:rPr>
              <w:t>园</w:t>
            </w:r>
            <w:r>
              <w:rPr>
                <w:rFonts w:hint="eastAsia" w:cs="宋体"/>
                <w:color w:val="000000" w:themeColor="text1"/>
                <w:sz w:val="21"/>
                <w:szCs w:val="21"/>
                <w:lang w:eastAsia="zh-CN"/>
                <w14:textFill>
                  <w14:solidFill>
                    <w14:schemeClr w14:val="tx1"/>
                  </w14:solidFill>
                </w14:textFill>
              </w:rPr>
              <w:t>——</w:t>
            </w:r>
            <w:r>
              <w:rPr>
                <w:rFonts w:hint="eastAsia" w:ascii="宋体" w:hAnsi="宋体" w:eastAsia="宋体" w:cs="宋体"/>
                <w:color w:val="000000"/>
                <w:sz w:val="21"/>
                <w:szCs w:val="21"/>
              </w:rPr>
              <w:t>高新技术企</w:t>
            </w:r>
            <w:r>
              <w:rPr>
                <w:rFonts w:hint="eastAsia" w:ascii="宋体" w:hAnsi="宋体" w:eastAsia="宋体" w:cs="宋体"/>
                <w:color w:val="000000"/>
                <w:sz w:val="21"/>
                <w:szCs w:val="21"/>
                <w:lang w:val="en-US" w:eastAsia="zh-CN"/>
              </w:rPr>
              <w:t>业的研发中心</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71991929">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4D6C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FADDC16">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805" cy="4251960"/>
                  <wp:effectExtent l="0" t="0" r="4445" b="15240"/>
                  <wp:docPr id="47" name="图片 47" descr="南雄年鉴2019_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南雄年鉴2019_0046"/>
                          <pic:cNvPicPr>
                            <a:picLocks noChangeAspect="1"/>
                          </pic:cNvPicPr>
                        </pic:nvPicPr>
                        <pic:blipFill>
                          <a:blip r:embed="rId58"/>
                          <a:stretch>
                            <a:fillRect/>
                          </a:stretch>
                        </pic:blipFill>
                        <pic:spPr>
                          <a:xfrm>
                            <a:off x="0" y="0"/>
                            <a:ext cx="6186805" cy="4251960"/>
                          </a:xfrm>
                          <a:prstGeom prst="rect">
                            <a:avLst/>
                          </a:prstGeom>
                        </pic:spPr>
                      </pic:pic>
                    </a:graphicData>
                  </a:graphic>
                </wp:inline>
              </w:drawing>
            </w:r>
          </w:p>
        </w:tc>
      </w:tr>
      <w:tr w14:paraId="4A14E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767623FB">
            <w:pPr>
              <w:spacing w:beforeLines="0" w:afterLines="0"/>
              <w:ind w:firstLine="420" w:firstLineChars="200"/>
              <w:jc w:val="left"/>
              <w:rPr>
                <w:rFonts w:hint="default" w:ascii="宋体" w:hAnsi="宋体" w:eastAsia="宋体" w:cs="宋体"/>
                <w:kern w:val="2"/>
                <w:sz w:val="21"/>
                <w:szCs w:val="21"/>
                <w:lang w:val="en-US" w:eastAsia="zh-CN" w:bidi="ar-SA"/>
              </w:rPr>
            </w:pPr>
            <w:r>
              <w:rPr>
                <w:rFonts w:hint="eastAsia" w:ascii="宋体" w:hAnsi="宋体" w:eastAsia="宋体" w:cs="宋体"/>
                <w:color w:val="303032"/>
                <w:sz w:val="21"/>
                <w:szCs w:val="21"/>
              </w:rPr>
              <w:t>古市莲藕</w:t>
            </w:r>
            <w:r>
              <w:rPr>
                <w:rFonts w:hint="eastAsia" w:ascii="宋体" w:hAnsi="宋体" w:eastAsia="宋体" w:cs="宋体"/>
                <w:color w:val="000000"/>
                <w:sz w:val="21"/>
                <w:szCs w:val="21"/>
              </w:rPr>
              <w:t>基地（蔡仁银.</w:t>
            </w:r>
            <w:r>
              <w:rPr>
                <w:rFonts w:hint="eastAsia" w:ascii="宋体" w:hAnsi="宋体" w:eastAsia="宋体" w:cs="宋体"/>
                <w:color w:val="000000"/>
                <w:sz w:val="21"/>
                <w:szCs w:val="21"/>
                <w:lang w:val="en-US" w:eastAsia="zh-CN"/>
              </w:rPr>
              <w:t>摄</w:t>
            </w:r>
            <w:r>
              <w:rPr>
                <w:rFonts w:hint="eastAsia" w:ascii="宋体" w:hAnsi="宋体" w:eastAsia="宋体" w:cs="宋体"/>
                <w:color w:val="000000"/>
                <w:sz w:val="21"/>
                <w:szCs w:val="21"/>
              </w:rPr>
              <w:t>）</w:t>
            </w:r>
          </w:p>
        </w:tc>
      </w:tr>
    </w:tbl>
    <w:p w14:paraId="7DF404D7">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461F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E112147">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360" cy="4394835"/>
                  <wp:effectExtent l="0" t="0" r="8890" b="5715"/>
                  <wp:docPr id="48" name="图片 48" descr="南雄年鉴2019_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南雄年鉴2019_0047"/>
                          <pic:cNvPicPr>
                            <a:picLocks noChangeAspect="1"/>
                          </pic:cNvPicPr>
                        </pic:nvPicPr>
                        <pic:blipFill>
                          <a:blip r:embed="rId59"/>
                          <a:stretch>
                            <a:fillRect/>
                          </a:stretch>
                        </pic:blipFill>
                        <pic:spPr>
                          <a:xfrm>
                            <a:off x="0" y="0"/>
                            <a:ext cx="6182360" cy="4394835"/>
                          </a:xfrm>
                          <a:prstGeom prst="rect">
                            <a:avLst/>
                          </a:prstGeom>
                        </pic:spPr>
                      </pic:pic>
                    </a:graphicData>
                  </a:graphic>
                </wp:inline>
              </w:drawing>
            </w:r>
          </w:p>
        </w:tc>
      </w:tr>
      <w:tr w14:paraId="1F410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0BD2BCFF">
            <w:pPr>
              <w:bidi w:val="0"/>
              <w:ind w:left="1470" w:leftChars="0" w:hanging="1470" w:hangingChars="700"/>
              <w:rPr>
                <w:rFonts w:hint="default"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古市镇扶贫产业</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sz w:val="21"/>
                <w:szCs w:val="21"/>
                <w:lang w:val="en-US" w:eastAsia="zh-CN"/>
              </w:rPr>
              <w:t>柑橘种植（市委</w:t>
            </w:r>
            <w:r>
              <w:rPr>
                <w:rFonts w:hint="eastAsia" w:cs="宋体"/>
                <w:sz w:val="21"/>
                <w:szCs w:val="21"/>
                <w:lang w:val="en-US" w:eastAsia="zh-CN"/>
              </w:rPr>
              <w:t xml:space="preserve"> </w:t>
            </w:r>
            <w:r>
              <w:rPr>
                <w:rFonts w:hint="eastAsia" w:ascii="宋体" w:hAnsi="宋体" w:eastAsia="宋体" w:cs="宋体"/>
                <w:sz w:val="21"/>
                <w:szCs w:val="21"/>
                <w:lang w:val="en-US" w:eastAsia="zh-CN"/>
              </w:rPr>
              <w:t>供）</w:t>
            </w:r>
          </w:p>
        </w:tc>
      </w:tr>
    </w:tbl>
    <w:p w14:paraId="71396376">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4635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BDFA95C">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265" cy="4183380"/>
                  <wp:effectExtent l="0" t="0" r="6985" b="7620"/>
                  <wp:docPr id="49" name="图片 49" descr="南雄年鉴2019_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南雄年鉴2019_0048"/>
                          <pic:cNvPicPr>
                            <a:picLocks noChangeAspect="1"/>
                          </pic:cNvPicPr>
                        </pic:nvPicPr>
                        <pic:blipFill>
                          <a:blip r:embed="rId60"/>
                          <a:stretch>
                            <a:fillRect/>
                          </a:stretch>
                        </pic:blipFill>
                        <pic:spPr>
                          <a:xfrm>
                            <a:off x="0" y="0"/>
                            <a:ext cx="6184265" cy="4183380"/>
                          </a:xfrm>
                          <a:prstGeom prst="rect">
                            <a:avLst/>
                          </a:prstGeom>
                        </pic:spPr>
                      </pic:pic>
                    </a:graphicData>
                  </a:graphic>
                </wp:inline>
              </w:drawing>
            </w:r>
          </w:p>
        </w:tc>
      </w:tr>
      <w:tr w14:paraId="507C2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3628B2B4">
            <w:pPr>
              <w:bidi w:val="0"/>
              <w:ind w:firstLine="420" w:firstLineChars="200"/>
              <w:rPr>
                <w:rFonts w:hint="default" w:ascii="宋体" w:hAnsi="宋体" w:eastAsia="宋体" w:cs="宋体"/>
                <w:kern w:val="2"/>
                <w:sz w:val="21"/>
                <w:szCs w:val="21"/>
                <w:lang w:val="en-US" w:eastAsia="zh-CN" w:bidi="ar-SA"/>
              </w:rPr>
            </w:pPr>
            <w:r>
              <w:rPr>
                <w:rFonts w:hint="eastAsia" w:ascii="宋体" w:hAnsi="宋体" w:eastAsia="宋体" w:cs="宋体"/>
                <w:color w:val="303032"/>
                <w:sz w:val="21"/>
                <w:szCs w:val="21"/>
              </w:rPr>
              <w:t>乌逞镇基</w:t>
            </w:r>
            <w:r>
              <w:rPr>
                <w:rFonts w:hint="eastAsia" w:ascii="宋体" w:hAnsi="宋体" w:eastAsia="宋体" w:cs="宋体"/>
                <w:color w:val="000000"/>
                <w:sz w:val="21"/>
                <w:szCs w:val="21"/>
              </w:rPr>
              <w:t>地无籽西</w:t>
            </w:r>
            <w:r>
              <w:rPr>
                <w:rFonts w:hint="eastAsia" w:cs="宋体"/>
                <w:color w:val="000000"/>
                <w:sz w:val="21"/>
                <w:szCs w:val="21"/>
                <w:lang w:val="en-US" w:eastAsia="zh-CN"/>
              </w:rPr>
              <w:t>瓜</w:t>
            </w:r>
            <w:r>
              <w:rPr>
                <w:rFonts w:hint="eastAsia" w:ascii="宋体" w:hAnsi="宋体" w:eastAsia="宋体" w:cs="宋体"/>
                <w:sz w:val="21"/>
                <w:szCs w:val="21"/>
                <w:lang w:val="en-US" w:eastAsia="zh-CN"/>
              </w:rPr>
              <w:t>（市委办  供）</w:t>
            </w:r>
          </w:p>
        </w:tc>
      </w:tr>
    </w:tbl>
    <w:p w14:paraId="64F259D4">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BB43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A12CB23">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5058410"/>
                  <wp:effectExtent l="0" t="0" r="3810" b="8890"/>
                  <wp:docPr id="50" name="图片 50" descr="南雄年鉴2019_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南雄年鉴2019_0049"/>
                          <pic:cNvPicPr>
                            <a:picLocks noChangeAspect="1"/>
                          </pic:cNvPicPr>
                        </pic:nvPicPr>
                        <pic:blipFill>
                          <a:blip r:embed="rId61"/>
                          <a:stretch>
                            <a:fillRect/>
                          </a:stretch>
                        </pic:blipFill>
                        <pic:spPr>
                          <a:xfrm>
                            <a:off x="0" y="0"/>
                            <a:ext cx="6187440" cy="5058410"/>
                          </a:xfrm>
                          <a:prstGeom prst="rect">
                            <a:avLst/>
                          </a:prstGeom>
                        </pic:spPr>
                      </pic:pic>
                    </a:graphicData>
                  </a:graphic>
                </wp:inline>
              </w:drawing>
            </w:r>
          </w:p>
        </w:tc>
      </w:tr>
      <w:tr w14:paraId="0BFE1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1A25AB8C">
            <w:pPr>
              <w:spacing w:beforeLines="0" w:afterLines="0"/>
              <w:ind w:firstLine="420" w:firstLineChars="200"/>
              <w:jc w:val="left"/>
              <w:rPr>
                <w:rFonts w:hint="default" w:ascii="宋体" w:hAnsi="宋体" w:eastAsia="宋体" w:cs="宋体"/>
                <w:kern w:val="2"/>
                <w:sz w:val="21"/>
                <w:szCs w:val="21"/>
                <w:lang w:val="en-US" w:eastAsia="zh-CN" w:bidi="ar-SA"/>
              </w:rPr>
            </w:pPr>
            <w:r>
              <w:rPr>
                <w:rFonts w:hint="eastAsia" w:ascii="宋体" w:hAnsi="宋体" w:eastAsia="宋体" w:cs="宋体"/>
                <w:color w:val="303032"/>
                <w:sz w:val="21"/>
                <w:szCs w:val="21"/>
              </w:rPr>
              <w:t>珠</w:t>
            </w:r>
            <w:r>
              <w:rPr>
                <w:rFonts w:hint="eastAsia" w:ascii="宋体" w:hAnsi="宋体" w:eastAsia="宋体" w:cs="宋体"/>
                <w:color w:val="303032"/>
                <w:sz w:val="21"/>
                <w:szCs w:val="21"/>
                <w:lang w:val="en-US" w:eastAsia="zh-CN"/>
              </w:rPr>
              <w:t>玑镇</w:t>
            </w:r>
            <w:r>
              <w:rPr>
                <w:rFonts w:hint="eastAsia" w:ascii="宋体" w:hAnsi="宋体" w:eastAsia="宋体" w:cs="宋体"/>
                <w:color w:val="303032"/>
                <w:sz w:val="21"/>
                <w:szCs w:val="21"/>
              </w:rPr>
              <w:t>角湾村蜜蜂养殖</w:t>
            </w:r>
            <w:r>
              <w:rPr>
                <w:rFonts w:hint="eastAsia" w:cs="宋体"/>
                <w:color w:val="303032"/>
                <w:sz w:val="21"/>
                <w:szCs w:val="21"/>
                <w:lang w:eastAsia="zh-CN"/>
              </w:rPr>
              <w:t>——</w:t>
            </w:r>
            <w:r>
              <w:rPr>
                <w:rFonts w:hint="eastAsia" w:ascii="宋体" w:hAnsi="宋体" w:eastAsia="宋体" w:cs="宋体"/>
                <w:color w:val="303032"/>
                <w:sz w:val="21"/>
                <w:szCs w:val="21"/>
              </w:rPr>
              <w:t>全村的“甜蜜”事业（</w:t>
            </w:r>
            <w:r>
              <w:rPr>
                <w:rFonts w:hint="eastAsia" w:ascii="宋体" w:hAnsi="宋体" w:eastAsia="宋体" w:cs="宋体"/>
                <w:color w:val="000000"/>
                <w:sz w:val="21"/>
                <w:szCs w:val="21"/>
              </w:rPr>
              <w:t>市委办</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供</w:t>
            </w:r>
            <w:r>
              <w:rPr>
                <w:rFonts w:hint="eastAsia" w:cs="宋体"/>
                <w:color w:val="000000"/>
                <w:sz w:val="21"/>
                <w:szCs w:val="21"/>
                <w:lang w:eastAsia="zh-CN"/>
              </w:rPr>
              <w:t>）</w:t>
            </w:r>
          </w:p>
        </w:tc>
      </w:tr>
    </w:tbl>
    <w:p w14:paraId="06F9CECE">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17DF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F2FC108">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000500"/>
                  <wp:effectExtent l="0" t="0" r="3810" b="0"/>
                  <wp:docPr id="51" name="图片 51" descr="南雄年鉴2019_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南雄年鉴2019_0050"/>
                          <pic:cNvPicPr>
                            <a:picLocks noChangeAspect="1"/>
                          </pic:cNvPicPr>
                        </pic:nvPicPr>
                        <pic:blipFill>
                          <a:blip r:embed="rId62"/>
                          <a:stretch>
                            <a:fillRect/>
                          </a:stretch>
                        </pic:blipFill>
                        <pic:spPr>
                          <a:xfrm>
                            <a:off x="0" y="0"/>
                            <a:ext cx="6187440" cy="4000500"/>
                          </a:xfrm>
                          <a:prstGeom prst="rect">
                            <a:avLst/>
                          </a:prstGeom>
                        </pic:spPr>
                      </pic:pic>
                    </a:graphicData>
                  </a:graphic>
                </wp:inline>
              </w:drawing>
            </w:r>
          </w:p>
        </w:tc>
      </w:tr>
      <w:tr w14:paraId="27C6F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0E1F0CB4">
            <w:pPr>
              <w:spacing w:beforeLines="0" w:afterLines="0"/>
              <w:ind w:firstLine="420" w:firstLineChars="200"/>
              <w:jc w:val="left"/>
              <w:rPr>
                <w:rFonts w:hint="default" w:ascii="宋体" w:hAnsi="宋体" w:eastAsia="宋体" w:cs="宋体"/>
                <w:kern w:val="2"/>
                <w:sz w:val="21"/>
                <w:szCs w:val="21"/>
                <w:lang w:val="en-US" w:eastAsia="zh-CN" w:bidi="ar-SA"/>
              </w:rPr>
            </w:pPr>
            <w:r>
              <w:rPr>
                <w:rFonts w:hint="eastAsia" w:cs="宋体"/>
                <w:sz w:val="21"/>
                <w:szCs w:val="21"/>
                <w:lang w:val="en-US" w:eastAsia="zh-CN"/>
              </w:rPr>
              <w:t>珠玑镇灵潭村伏光电产业</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摄</w:t>
            </w:r>
            <w:r>
              <w:rPr>
                <w:rFonts w:hint="eastAsia" w:ascii="宋体" w:hAnsi="宋体" w:eastAsia="宋体" w:cs="宋体"/>
                <w:color w:val="000000"/>
                <w:sz w:val="21"/>
                <w:szCs w:val="21"/>
              </w:rPr>
              <w:t>）</w:t>
            </w:r>
          </w:p>
        </w:tc>
      </w:tr>
    </w:tbl>
    <w:p w14:paraId="237EDAA6">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B144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191FA47">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3920490"/>
                  <wp:effectExtent l="0" t="0" r="10160" b="3810"/>
                  <wp:docPr id="52" name="图片 52" descr="南雄年鉴2019_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南雄年鉴2019_0051"/>
                          <pic:cNvPicPr>
                            <a:picLocks noChangeAspect="1"/>
                          </pic:cNvPicPr>
                        </pic:nvPicPr>
                        <pic:blipFill>
                          <a:blip r:embed="rId63"/>
                          <a:stretch>
                            <a:fillRect/>
                          </a:stretch>
                        </pic:blipFill>
                        <pic:spPr>
                          <a:xfrm>
                            <a:off x="0" y="0"/>
                            <a:ext cx="6181090" cy="3920490"/>
                          </a:xfrm>
                          <a:prstGeom prst="rect">
                            <a:avLst/>
                          </a:prstGeom>
                        </pic:spPr>
                      </pic:pic>
                    </a:graphicData>
                  </a:graphic>
                </wp:inline>
              </w:drawing>
            </w:r>
          </w:p>
        </w:tc>
      </w:tr>
      <w:tr w14:paraId="75967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3DAC28C5">
            <w:pPr>
              <w:spacing w:beforeLines="0" w:afterLines="0"/>
              <w:ind w:firstLine="420" w:firstLineChars="200"/>
              <w:jc w:val="left"/>
              <w:rPr>
                <w:rFonts w:hint="default" w:ascii="宋体" w:hAnsi="宋体" w:eastAsia="宋体" w:cs="宋体"/>
                <w:kern w:val="2"/>
                <w:sz w:val="21"/>
                <w:szCs w:val="21"/>
                <w:lang w:val="en-US" w:eastAsia="zh-CN" w:bidi="ar-SA"/>
              </w:rPr>
            </w:pPr>
            <w:r>
              <w:rPr>
                <w:rFonts w:hint="eastAsia" w:cs="宋体"/>
                <w:sz w:val="21"/>
                <w:szCs w:val="21"/>
                <w:lang w:val="en-US" w:eastAsia="zh-CN"/>
              </w:rPr>
              <w:t>华电航拍图</w:t>
            </w:r>
            <w:r>
              <w:rPr>
                <w:rFonts w:hint="eastAsia" w:ascii="宋体" w:hAnsi="宋体" w:eastAsia="宋体" w:cs="宋体"/>
                <w:color w:val="000000"/>
                <w:sz w:val="21"/>
                <w:szCs w:val="21"/>
              </w:rPr>
              <w:t>（蔡仁银</w:t>
            </w:r>
            <w:r>
              <w:rPr>
                <w:rFonts w:hint="eastAsia" w:cs="宋体"/>
                <w:color w:val="000000"/>
                <w:sz w:val="21"/>
                <w:szCs w:val="21"/>
                <w:lang w:val="en-US" w:eastAsia="zh-CN"/>
              </w:rPr>
              <w:t xml:space="preserve">  </w:t>
            </w:r>
            <w:r>
              <w:rPr>
                <w:rFonts w:hint="eastAsia" w:ascii="宋体" w:hAnsi="宋体" w:eastAsia="宋体" w:cs="宋体"/>
                <w:color w:val="000000"/>
                <w:sz w:val="21"/>
                <w:szCs w:val="21"/>
                <w:lang w:val="en-US" w:eastAsia="zh-CN"/>
              </w:rPr>
              <w:t>摄</w:t>
            </w:r>
            <w:r>
              <w:rPr>
                <w:rFonts w:hint="eastAsia" w:ascii="宋体" w:hAnsi="宋体" w:eastAsia="宋体" w:cs="宋体"/>
                <w:color w:val="000000"/>
                <w:sz w:val="21"/>
                <w:szCs w:val="21"/>
              </w:rPr>
              <w:t>）</w:t>
            </w:r>
          </w:p>
        </w:tc>
      </w:tr>
    </w:tbl>
    <w:p w14:paraId="7C46182A">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EA5D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ADCBBED">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3977640"/>
                  <wp:effectExtent l="0" t="0" r="5715" b="3810"/>
                  <wp:docPr id="53" name="图片 53" descr="南雄年鉴2019_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南雄年鉴2019_0052"/>
                          <pic:cNvPicPr>
                            <a:picLocks noChangeAspect="1"/>
                          </pic:cNvPicPr>
                        </pic:nvPicPr>
                        <pic:blipFill>
                          <a:blip r:embed="rId64"/>
                          <a:stretch>
                            <a:fillRect/>
                          </a:stretch>
                        </pic:blipFill>
                        <pic:spPr>
                          <a:xfrm>
                            <a:off x="0" y="0"/>
                            <a:ext cx="6185535" cy="3977640"/>
                          </a:xfrm>
                          <a:prstGeom prst="rect">
                            <a:avLst/>
                          </a:prstGeom>
                        </pic:spPr>
                      </pic:pic>
                    </a:graphicData>
                  </a:graphic>
                </wp:inline>
              </w:drawing>
            </w:r>
          </w:p>
        </w:tc>
      </w:tr>
      <w:tr w14:paraId="6EABE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5DC6CD3B">
            <w:pPr>
              <w:bidi w:val="0"/>
              <w:ind w:firstLine="420" w:firstLineChars="200"/>
              <w:rPr>
                <w:rFonts w:hint="default" w:ascii="宋体" w:hAnsi="宋体" w:eastAsia="宋体" w:cs="宋体"/>
                <w:kern w:val="2"/>
                <w:sz w:val="21"/>
                <w:szCs w:val="21"/>
                <w:lang w:val="en-US" w:eastAsia="zh-CN" w:bidi="ar-SA"/>
              </w:rPr>
            </w:pPr>
            <w:r>
              <w:rPr>
                <w:rFonts w:hint="eastAsia" w:cs="宋体"/>
                <w:sz w:val="21"/>
                <w:szCs w:val="21"/>
                <w:lang w:val="en-US" w:eastAsia="zh-CN"/>
              </w:rPr>
              <w:t>犁牛坪风电图</w:t>
            </w:r>
          </w:p>
        </w:tc>
      </w:tr>
    </w:tbl>
    <w:p w14:paraId="4C1A4E71">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06BC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55C28BD">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995" cy="2806065"/>
                  <wp:effectExtent l="0" t="0" r="8255" b="13335"/>
                  <wp:docPr id="54" name="图片 54" descr="南雄年鉴2019_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南雄年鉴2019_0053"/>
                          <pic:cNvPicPr>
                            <a:picLocks noChangeAspect="1"/>
                          </pic:cNvPicPr>
                        </pic:nvPicPr>
                        <pic:blipFill>
                          <a:blip r:embed="rId65"/>
                          <a:stretch>
                            <a:fillRect/>
                          </a:stretch>
                        </pic:blipFill>
                        <pic:spPr>
                          <a:xfrm>
                            <a:off x="0" y="0"/>
                            <a:ext cx="6182995" cy="2806065"/>
                          </a:xfrm>
                          <a:prstGeom prst="rect">
                            <a:avLst/>
                          </a:prstGeom>
                        </pic:spPr>
                      </pic:pic>
                    </a:graphicData>
                  </a:graphic>
                </wp:inline>
              </w:drawing>
            </w:r>
          </w:p>
        </w:tc>
      </w:tr>
      <w:tr w14:paraId="58480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28280491">
            <w:pPr>
              <w:spacing w:beforeLines="0" w:afterLines="0"/>
              <w:ind w:firstLine="420" w:firstLineChars="200"/>
              <w:jc w:val="left"/>
              <w:rPr>
                <w:rFonts w:hint="default" w:ascii="宋体" w:hAnsi="宋体" w:eastAsia="宋体" w:cs="宋体"/>
                <w:kern w:val="2"/>
                <w:sz w:val="21"/>
                <w:szCs w:val="21"/>
                <w:lang w:val="en-US" w:eastAsia="zh-CN" w:bidi="ar-SA"/>
              </w:rPr>
            </w:pPr>
            <w:r>
              <w:rPr>
                <w:rFonts w:hint="eastAsia" w:cs="宋体"/>
                <w:sz w:val="21"/>
                <w:szCs w:val="21"/>
                <w:lang w:val="en-US" w:eastAsia="zh-CN"/>
              </w:rPr>
              <w:t>南雄产业转移园</w:t>
            </w:r>
            <w:r>
              <w:rPr>
                <w:rFonts w:hint="eastAsia" w:ascii="宋体" w:hAnsi="宋体" w:eastAsia="宋体" w:cs="宋体"/>
                <w:color w:val="000000"/>
                <w:sz w:val="21"/>
                <w:szCs w:val="21"/>
              </w:rPr>
              <w:t>（蔡仁银</w:t>
            </w:r>
            <w:r>
              <w:rPr>
                <w:rFonts w:hint="eastAsia" w:cs="宋体"/>
                <w:color w:val="000000"/>
                <w:sz w:val="21"/>
                <w:szCs w:val="21"/>
                <w:lang w:val="en-US" w:eastAsia="zh-CN"/>
              </w:rPr>
              <w:t xml:space="preserve">  </w:t>
            </w:r>
            <w:r>
              <w:rPr>
                <w:rFonts w:hint="eastAsia" w:ascii="宋体" w:hAnsi="宋体" w:eastAsia="宋体" w:cs="宋体"/>
                <w:color w:val="000000"/>
                <w:sz w:val="21"/>
                <w:szCs w:val="21"/>
                <w:lang w:val="en-US" w:eastAsia="zh-CN"/>
              </w:rPr>
              <w:t>摄</w:t>
            </w:r>
            <w:r>
              <w:rPr>
                <w:rFonts w:hint="eastAsia" w:ascii="宋体" w:hAnsi="宋体" w:eastAsia="宋体" w:cs="宋体"/>
                <w:color w:val="000000"/>
                <w:sz w:val="21"/>
                <w:szCs w:val="21"/>
              </w:rPr>
              <w:t>）</w:t>
            </w:r>
          </w:p>
        </w:tc>
      </w:tr>
    </w:tbl>
    <w:p w14:paraId="6F3F846F">
      <w:pPr>
        <w:pStyle w:val="3"/>
        <w:bidi w:val="0"/>
        <w:rPr>
          <w:rFonts w:hint="default"/>
          <w:lang w:val="en-US" w:eastAsia="zh-CN"/>
        </w:rPr>
      </w:pPr>
      <w:r>
        <w:rPr>
          <w:rFonts w:hint="eastAsia"/>
          <w:lang w:val="en-US" w:eastAsia="zh-CN"/>
        </w:rPr>
        <w:t>生态宜居</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652D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59B18506">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3646170"/>
                  <wp:effectExtent l="0" t="0" r="10795" b="11430"/>
                  <wp:docPr id="60" name="图片 60" descr="南雄年鉴2019_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南雄年鉴2019_0054"/>
                          <pic:cNvPicPr>
                            <a:picLocks noChangeAspect="1"/>
                          </pic:cNvPicPr>
                        </pic:nvPicPr>
                        <pic:blipFill>
                          <a:blip r:embed="rId66"/>
                          <a:stretch>
                            <a:fillRect/>
                          </a:stretch>
                        </pic:blipFill>
                        <pic:spPr>
                          <a:xfrm>
                            <a:off x="0" y="0"/>
                            <a:ext cx="6180455" cy="3646170"/>
                          </a:xfrm>
                          <a:prstGeom prst="rect">
                            <a:avLst/>
                          </a:prstGeom>
                        </pic:spPr>
                      </pic:pic>
                    </a:graphicData>
                  </a:graphic>
                </wp:inline>
              </w:drawing>
            </w:r>
          </w:p>
        </w:tc>
      </w:tr>
      <w:tr w14:paraId="1FB21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46168738">
            <w:pPr>
              <w:spacing w:beforeLines="0" w:afterLines="0"/>
              <w:ind w:firstLine="420" w:firstLineChars="200"/>
              <w:jc w:val="left"/>
              <w:rPr>
                <w:rFonts w:hint="default" w:ascii="宋体" w:hAnsi="宋体" w:eastAsia="宋体" w:cs="宋体"/>
                <w:kern w:val="2"/>
                <w:sz w:val="21"/>
                <w:szCs w:val="21"/>
                <w:lang w:val="en-US" w:eastAsia="zh-CN" w:bidi="ar-SA"/>
              </w:rPr>
            </w:pPr>
            <w:r>
              <w:rPr>
                <w:rFonts w:hint="eastAsia" w:ascii="宋体" w:hAnsi="宋体" w:eastAsia="宋体" w:cs="宋体"/>
                <w:color w:val="373939"/>
                <w:sz w:val="21"/>
                <w:szCs w:val="21"/>
              </w:rPr>
              <w:t>2018年11月2日，2018广东</w:t>
            </w:r>
            <w:r>
              <w:rPr>
                <w:rFonts w:hint="eastAsia" w:ascii="宋体" w:hAnsi="宋体" w:eastAsia="宋体" w:cs="宋体"/>
                <w:color w:val="373939"/>
                <w:sz w:val="21"/>
                <w:szCs w:val="21"/>
                <w:lang w:val="en-US" w:eastAsia="zh-CN"/>
              </w:rPr>
              <w:t>银</w:t>
            </w:r>
            <w:r>
              <w:rPr>
                <w:rFonts w:hint="eastAsia" w:ascii="宋体" w:hAnsi="宋体" w:eastAsia="宋体" w:cs="宋体"/>
                <w:color w:val="373939"/>
                <w:sz w:val="21"/>
                <w:szCs w:val="21"/>
              </w:rPr>
              <w:t>杏文化旅游节在</w:t>
            </w:r>
            <w:r>
              <w:rPr>
                <w:rFonts w:hint="eastAsia" w:ascii="宋体" w:hAnsi="宋体" w:eastAsia="宋体" w:cs="宋体"/>
                <w:color w:val="000000"/>
                <w:sz w:val="21"/>
                <w:szCs w:val="21"/>
              </w:rPr>
              <w:t>南雄开幕（蔡仁银</w:t>
            </w:r>
            <w:r>
              <w:rPr>
                <w:rFonts w:hint="eastAsia" w:cs="宋体"/>
                <w:color w:val="000000"/>
                <w:sz w:val="21"/>
                <w:szCs w:val="21"/>
                <w:lang w:val="en-US" w:eastAsia="zh-CN"/>
              </w:rPr>
              <w:t xml:space="preserve">  </w:t>
            </w:r>
            <w:r>
              <w:rPr>
                <w:rFonts w:hint="eastAsia" w:ascii="宋体" w:hAnsi="宋体" w:eastAsia="宋体" w:cs="宋体"/>
                <w:color w:val="000000"/>
                <w:sz w:val="21"/>
                <w:szCs w:val="21"/>
                <w:lang w:val="en-US" w:eastAsia="zh-CN"/>
              </w:rPr>
              <w:t>摄</w:t>
            </w:r>
            <w:r>
              <w:rPr>
                <w:rFonts w:hint="eastAsia" w:ascii="宋体" w:hAnsi="宋体" w:eastAsia="宋体" w:cs="宋体"/>
                <w:color w:val="000000"/>
                <w:sz w:val="21"/>
                <w:szCs w:val="21"/>
              </w:rPr>
              <w:t>）</w:t>
            </w:r>
          </w:p>
        </w:tc>
      </w:tr>
    </w:tbl>
    <w:p w14:paraId="16BB56FA">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87F3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41FD1F3">
            <w:pPr>
              <w:ind w:left="0" w:leftChars="0" w:firstLine="0" w:firstLineChars="0"/>
              <w:rPr>
                <w:rFonts w:hint="default"/>
                <w:vertAlign w:val="baseline"/>
                <w:lang w:val="en-US" w:eastAsia="zh-CN"/>
              </w:rPr>
            </w:pPr>
            <w:r>
              <w:rPr>
                <w:rFonts w:hint="default"/>
                <w:vertAlign w:val="baseline"/>
                <w:lang w:val="en-US" w:eastAsia="zh-CN"/>
              </w:rPr>
              <w:drawing>
                <wp:inline distT="0" distB="0" distL="114300" distR="114300">
                  <wp:extent cx="6187440" cy="4120515"/>
                  <wp:effectExtent l="0" t="0" r="3810" b="13335"/>
                  <wp:docPr id="83" name="图片 83" descr="南雄年鉴2019_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南雄年鉴2019_0056"/>
                          <pic:cNvPicPr>
                            <a:picLocks noChangeAspect="1"/>
                          </pic:cNvPicPr>
                        </pic:nvPicPr>
                        <pic:blipFill>
                          <a:blip r:embed="rId67"/>
                          <a:stretch>
                            <a:fillRect/>
                          </a:stretch>
                        </pic:blipFill>
                        <pic:spPr>
                          <a:xfrm>
                            <a:off x="0" y="0"/>
                            <a:ext cx="6187440" cy="4120515"/>
                          </a:xfrm>
                          <a:prstGeom prst="rect">
                            <a:avLst/>
                          </a:prstGeom>
                        </pic:spPr>
                      </pic:pic>
                    </a:graphicData>
                  </a:graphic>
                </wp:inline>
              </w:drawing>
            </w:r>
          </w:p>
        </w:tc>
      </w:tr>
      <w:tr w14:paraId="653E1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938E086">
            <w:pPr>
              <w:rPr>
                <w:rFonts w:hint="default"/>
                <w:vertAlign w:val="baseline"/>
                <w:lang w:val="en-US" w:eastAsia="zh-CN"/>
              </w:rPr>
            </w:pPr>
            <w:r>
              <w:rPr>
                <w:rFonts w:hint="eastAsia" w:ascii="宋体" w:hAnsi="宋体" w:eastAsia="宋体" w:cs="宋体"/>
                <w:color w:val="373939"/>
                <w:sz w:val="21"/>
                <w:szCs w:val="21"/>
              </w:rPr>
              <w:t>南亩</w:t>
            </w:r>
            <w:r>
              <w:rPr>
                <w:rFonts w:hint="eastAsia" w:ascii="宋体" w:hAnsi="宋体" w:eastAsia="宋体" w:cs="宋体"/>
                <w:color w:val="373939"/>
                <w:sz w:val="21"/>
                <w:szCs w:val="21"/>
                <w:lang w:val="en-US" w:eastAsia="zh-CN"/>
              </w:rPr>
              <w:t>镇</w:t>
            </w:r>
            <w:r>
              <w:rPr>
                <w:rFonts w:hint="eastAsia" w:ascii="宋体" w:hAnsi="宋体" w:eastAsia="宋体" w:cs="宋体"/>
                <w:color w:val="373939"/>
                <w:sz w:val="21"/>
                <w:szCs w:val="21"/>
              </w:rPr>
              <w:t>村民在新建小广场跳</w:t>
            </w:r>
            <w:r>
              <w:rPr>
                <w:rFonts w:hint="eastAsia" w:ascii="宋体" w:hAnsi="宋体" w:eastAsia="宋体" w:cs="宋体"/>
                <w:color w:val="000000"/>
                <w:sz w:val="21"/>
                <w:szCs w:val="21"/>
              </w:rPr>
              <w:t>广场舞</w:t>
            </w:r>
            <w:r>
              <w:rPr>
                <w:rFonts w:hint="eastAsia" w:ascii="宋体" w:hAnsi="宋体" w:eastAsia="宋体" w:cs="宋体"/>
                <w:color w:val="373939"/>
                <w:sz w:val="21"/>
                <w:szCs w:val="21"/>
              </w:rPr>
              <w:t>（市委办</w:t>
            </w:r>
            <w:r>
              <w:rPr>
                <w:rFonts w:hint="eastAsia" w:ascii="宋体" w:hAnsi="宋体" w:eastAsia="宋体" w:cs="宋体"/>
                <w:color w:val="373939"/>
                <w:sz w:val="21"/>
                <w:szCs w:val="21"/>
                <w:lang w:val="en-US" w:eastAsia="zh-CN"/>
              </w:rPr>
              <w:t xml:space="preserve">  </w:t>
            </w:r>
            <w:r>
              <w:rPr>
                <w:rFonts w:hint="eastAsia" w:ascii="宋体" w:hAnsi="宋体" w:eastAsia="宋体" w:cs="宋体"/>
                <w:color w:val="373939"/>
                <w:sz w:val="21"/>
                <w:szCs w:val="21"/>
              </w:rPr>
              <w:t>供</w:t>
            </w:r>
            <w:r>
              <w:rPr>
                <w:rFonts w:hint="eastAsia" w:ascii="宋体" w:hAnsi="宋体" w:eastAsia="宋体" w:cs="宋体"/>
                <w:color w:val="000000"/>
                <w:sz w:val="21"/>
                <w:szCs w:val="21"/>
              </w:rPr>
              <w:t>）</w:t>
            </w:r>
          </w:p>
        </w:tc>
      </w:tr>
    </w:tbl>
    <w:p w14:paraId="70D65B13">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C010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B984DE7">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900" cy="4069080"/>
                  <wp:effectExtent l="0" t="0" r="6350" b="7620"/>
                  <wp:docPr id="61" name="图片 61" descr="南雄年鉴2019_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南雄年鉴2019_0055"/>
                          <pic:cNvPicPr>
                            <a:picLocks noChangeAspect="1"/>
                          </pic:cNvPicPr>
                        </pic:nvPicPr>
                        <pic:blipFill>
                          <a:blip r:embed="rId68"/>
                          <a:stretch>
                            <a:fillRect/>
                          </a:stretch>
                        </pic:blipFill>
                        <pic:spPr>
                          <a:xfrm>
                            <a:off x="0" y="0"/>
                            <a:ext cx="6184900" cy="4069080"/>
                          </a:xfrm>
                          <a:prstGeom prst="rect">
                            <a:avLst/>
                          </a:prstGeom>
                        </pic:spPr>
                      </pic:pic>
                    </a:graphicData>
                  </a:graphic>
                </wp:inline>
              </w:drawing>
            </w:r>
          </w:p>
        </w:tc>
      </w:tr>
      <w:tr w14:paraId="4F8D7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49697BB">
            <w:pPr>
              <w:rPr>
                <w:rFonts w:hint="default"/>
                <w:vertAlign w:val="baseline"/>
                <w:lang w:val="en-US" w:eastAsia="zh-CN"/>
              </w:rPr>
            </w:pPr>
            <w:r>
              <w:rPr>
                <w:rFonts w:hint="eastAsia" w:ascii="宋体" w:hAnsi="宋体" w:eastAsia="宋体" w:cs="宋体"/>
                <w:color w:val="373939"/>
                <w:sz w:val="21"/>
                <w:szCs w:val="21"/>
              </w:rPr>
              <w:t>2018年10月20日，南雄市举</w:t>
            </w:r>
            <w:r>
              <w:rPr>
                <w:rFonts w:hint="eastAsia" w:ascii="宋体" w:hAnsi="宋体" w:eastAsia="宋体" w:cs="宋体"/>
                <w:color w:val="373939"/>
                <w:sz w:val="21"/>
                <w:szCs w:val="21"/>
                <w:lang w:val="en-US" w:eastAsia="zh-CN"/>
              </w:rPr>
              <w:t>办</w:t>
            </w:r>
            <w:r>
              <w:rPr>
                <w:rFonts w:hint="eastAsia" w:ascii="宋体" w:hAnsi="宋体" w:eastAsia="宋体" w:cs="宋体"/>
                <w:color w:val="373939"/>
                <w:sz w:val="21"/>
                <w:szCs w:val="21"/>
              </w:rPr>
              <w:t>首届禾花鱼</w:t>
            </w:r>
            <w:r>
              <w:rPr>
                <w:rFonts w:hint="eastAsia" w:cs="宋体"/>
                <w:color w:val="373939"/>
                <w:sz w:val="21"/>
                <w:szCs w:val="21"/>
                <w:lang w:val="en-US" w:eastAsia="zh-CN"/>
              </w:rPr>
              <w:t>节</w:t>
            </w:r>
            <w:r>
              <w:rPr>
                <w:rFonts w:hint="eastAsia" w:ascii="宋体" w:hAnsi="宋体" w:eastAsia="宋体" w:cs="宋体"/>
                <w:color w:val="373939"/>
                <w:sz w:val="21"/>
                <w:szCs w:val="21"/>
              </w:rPr>
              <w:t>，游客抓到禾花鱼喜</w:t>
            </w:r>
            <w:r>
              <w:rPr>
                <w:rFonts w:hint="eastAsia" w:ascii="宋体" w:hAnsi="宋体" w:eastAsia="宋体" w:cs="宋体"/>
                <w:color w:val="000000"/>
                <w:sz w:val="21"/>
                <w:szCs w:val="21"/>
              </w:rPr>
              <w:t>笑颜</w:t>
            </w:r>
            <w:r>
              <w:rPr>
                <w:rFonts w:hint="eastAsia" w:ascii="宋体" w:hAnsi="宋体" w:eastAsia="宋体" w:cs="宋体"/>
                <w:color w:val="000000"/>
                <w:sz w:val="21"/>
                <w:szCs w:val="21"/>
                <w:lang w:val="en-US" w:eastAsia="zh-CN"/>
              </w:rPr>
              <w:t>开</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w:t>
            </w:r>
            <w:r>
              <w:rPr>
                <w:rFonts w:hint="eastAsia" w:cs="宋体"/>
                <w:color w:val="000000"/>
                <w:sz w:val="21"/>
                <w:szCs w:val="21"/>
                <w:lang w:val="en-US" w:eastAsia="zh-CN"/>
              </w:rPr>
              <w:t xml:space="preserve"> </w:t>
            </w:r>
            <w:r>
              <w:rPr>
                <w:rFonts w:hint="eastAsia" w:ascii="宋体" w:hAnsi="宋体" w:eastAsia="宋体" w:cs="宋体"/>
                <w:color w:val="000000"/>
                <w:sz w:val="21"/>
                <w:szCs w:val="21"/>
                <w:lang w:val="en-US" w:eastAsia="zh-CN"/>
              </w:rPr>
              <w:t>摄</w:t>
            </w:r>
            <w:r>
              <w:rPr>
                <w:rFonts w:hint="eastAsia" w:ascii="宋体" w:hAnsi="宋体" w:eastAsia="宋体" w:cs="宋体"/>
                <w:color w:val="000000"/>
                <w:sz w:val="21"/>
                <w:szCs w:val="21"/>
              </w:rPr>
              <w:t>）</w:t>
            </w:r>
          </w:p>
        </w:tc>
      </w:tr>
    </w:tbl>
    <w:p w14:paraId="1EFA76EA">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E43A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CCAFE82">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725" cy="3709035"/>
                  <wp:effectExtent l="0" t="0" r="9525" b="5715"/>
                  <wp:docPr id="84" name="图片 84" descr="南雄年鉴2019_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南雄年鉴2019_0057"/>
                          <pic:cNvPicPr>
                            <a:picLocks noChangeAspect="1"/>
                          </pic:cNvPicPr>
                        </pic:nvPicPr>
                        <pic:blipFill>
                          <a:blip r:embed="rId69"/>
                          <a:stretch>
                            <a:fillRect/>
                          </a:stretch>
                        </pic:blipFill>
                        <pic:spPr>
                          <a:xfrm>
                            <a:off x="0" y="0"/>
                            <a:ext cx="6181725" cy="3709035"/>
                          </a:xfrm>
                          <a:prstGeom prst="rect">
                            <a:avLst/>
                          </a:prstGeom>
                        </pic:spPr>
                      </pic:pic>
                    </a:graphicData>
                  </a:graphic>
                </wp:inline>
              </w:drawing>
            </w:r>
          </w:p>
        </w:tc>
      </w:tr>
      <w:tr w14:paraId="186A6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5A04537">
            <w:pPr>
              <w:rPr>
                <w:rFonts w:hint="default"/>
                <w:vertAlign w:val="baseline"/>
                <w:lang w:val="en-US" w:eastAsia="zh-CN"/>
              </w:rPr>
            </w:pPr>
            <w:r>
              <w:rPr>
                <w:rFonts w:hint="eastAsia" w:ascii="宋体" w:hAnsi="宋体" w:eastAsia="宋体" w:cs="宋体"/>
                <w:color w:val="2E3035"/>
                <w:sz w:val="21"/>
                <w:szCs w:val="21"/>
              </w:rPr>
              <w:t>党员</w:t>
            </w:r>
            <w:r>
              <w:rPr>
                <w:rFonts w:hint="eastAsia" w:ascii="宋体" w:hAnsi="宋体" w:eastAsia="宋体" w:cs="宋体"/>
                <w:color w:val="2E3035"/>
                <w:sz w:val="21"/>
                <w:szCs w:val="21"/>
                <w:lang w:val="en-US" w:eastAsia="zh-CN"/>
              </w:rPr>
              <w:t>带</w:t>
            </w:r>
            <w:r>
              <w:rPr>
                <w:rFonts w:hint="eastAsia" w:ascii="宋体" w:hAnsi="宋体" w:eastAsia="宋体" w:cs="宋体"/>
                <w:color w:val="2E3035"/>
                <w:sz w:val="21"/>
                <w:szCs w:val="21"/>
              </w:rPr>
              <w:t>头做</w:t>
            </w:r>
            <w:r>
              <w:rPr>
                <w:rFonts w:hint="eastAsia" w:ascii="宋体" w:hAnsi="宋体" w:eastAsia="宋体" w:cs="宋体"/>
                <w:color w:val="000000"/>
                <w:sz w:val="21"/>
                <w:szCs w:val="21"/>
              </w:rPr>
              <w:t>好农村</w:t>
            </w:r>
            <w:r>
              <w:rPr>
                <w:rFonts w:hint="eastAsia" w:ascii="宋体" w:hAnsi="宋体" w:eastAsia="宋体" w:cs="宋体"/>
                <w:color w:val="000000"/>
                <w:sz w:val="21"/>
                <w:szCs w:val="21"/>
                <w:lang w:val="en-US" w:eastAsia="zh-CN"/>
              </w:rPr>
              <w:t>生活</w:t>
            </w:r>
            <w:r>
              <w:rPr>
                <w:rFonts w:hint="eastAsia" w:ascii="宋体" w:hAnsi="宋体" w:eastAsia="宋体" w:cs="宋体"/>
                <w:color w:val="2E3035"/>
                <w:sz w:val="21"/>
                <w:szCs w:val="21"/>
              </w:rPr>
              <w:t>垃圾分类，</w:t>
            </w:r>
            <w:r>
              <w:rPr>
                <w:rFonts w:hint="eastAsia" w:ascii="宋体" w:hAnsi="宋体" w:eastAsia="宋体" w:cs="宋体"/>
                <w:color w:val="000000"/>
                <w:sz w:val="21"/>
                <w:szCs w:val="21"/>
              </w:rPr>
              <w:t>建设美</w:t>
            </w:r>
            <w:r>
              <w:rPr>
                <w:rFonts w:hint="eastAsia" w:ascii="宋体" w:hAnsi="宋体" w:eastAsia="宋体" w:cs="宋体"/>
                <w:color w:val="000000"/>
                <w:sz w:val="21"/>
                <w:szCs w:val="21"/>
                <w:lang w:val="en-US" w:eastAsia="zh-CN"/>
              </w:rPr>
              <w:t>丽新农村</w:t>
            </w:r>
            <w:r>
              <w:rPr>
                <w:rFonts w:hint="eastAsia" w:ascii="宋体" w:hAnsi="宋体" w:eastAsia="宋体" w:cs="宋体"/>
                <w:color w:val="2E3035"/>
                <w:sz w:val="21"/>
                <w:szCs w:val="21"/>
              </w:rPr>
              <w:t>（张涛</w:t>
            </w:r>
            <w:r>
              <w:rPr>
                <w:rFonts w:hint="eastAsia" w:ascii="宋体" w:hAnsi="宋体" w:eastAsia="宋体" w:cs="宋体"/>
                <w:color w:val="2E3035"/>
                <w:sz w:val="21"/>
                <w:szCs w:val="21"/>
                <w:lang w:val="en-US" w:eastAsia="zh-CN"/>
              </w:rPr>
              <w:t xml:space="preserve">  </w:t>
            </w:r>
            <w:r>
              <w:rPr>
                <w:rFonts w:hint="eastAsia" w:ascii="宋体" w:hAnsi="宋体" w:eastAsia="宋体" w:cs="宋体"/>
                <w:color w:val="000000"/>
                <w:sz w:val="21"/>
                <w:szCs w:val="21"/>
              </w:rPr>
              <w:t>摄）</w:t>
            </w:r>
          </w:p>
        </w:tc>
      </w:tr>
    </w:tbl>
    <w:p w14:paraId="41242B30">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1BC7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3C25C73">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265" cy="3817620"/>
                  <wp:effectExtent l="0" t="0" r="6985" b="11430"/>
                  <wp:docPr id="85" name="图片 85" descr="南雄年鉴2019_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南雄年鉴2019_0058"/>
                          <pic:cNvPicPr>
                            <a:picLocks noChangeAspect="1"/>
                          </pic:cNvPicPr>
                        </pic:nvPicPr>
                        <pic:blipFill>
                          <a:blip r:embed="rId70"/>
                          <a:stretch>
                            <a:fillRect/>
                          </a:stretch>
                        </pic:blipFill>
                        <pic:spPr>
                          <a:xfrm>
                            <a:off x="0" y="0"/>
                            <a:ext cx="6184265" cy="3817620"/>
                          </a:xfrm>
                          <a:prstGeom prst="rect">
                            <a:avLst/>
                          </a:prstGeom>
                        </pic:spPr>
                      </pic:pic>
                    </a:graphicData>
                  </a:graphic>
                </wp:inline>
              </w:drawing>
            </w:r>
          </w:p>
        </w:tc>
      </w:tr>
      <w:tr w14:paraId="735CD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31ED264">
            <w:pPr>
              <w:rPr>
                <w:rFonts w:hint="default"/>
                <w:vertAlign w:val="baseline"/>
                <w:lang w:val="en-US" w:eastAsia="zh-CN"/>
              </w:rPr>
            </w:pPr>
            <w:r>
              <w:rPr>
                <w:rFonts w:hint="eastAsia" w:ascii="宋体" w:hAnsi="宋体" w:eastAsia="宋体" w:cs="宋体"/>
                <w:color w:val="2E3035"/>
                <w:sz w:val="21"/>
                <w:szCs w:val="21"/>
              </w:rPr>
              <w:t>精准扶贫</w:t>
            </w:r>
            <w:r>
              <w:rPr>
                <w:rFonts w:hint="eastAsia" w:ascii="宋体" w:hAnsi="宋体" w:eastAsia="宋体" w:cs="宋体"/>
                <w:color w:val="2E3035"/>
                <w:sz w:val="21"/>
                <w:szCs w:val="21"/>
                <w:lang w:val="en-US" w:eastAsia="zh-CN"/>
              </w:rPr>
              <w:t>农</w:t>
            </w:r>
            <w:r>
              <w:rPr>
                <w:rFonts w:hint="eastAsia" w:ascii="宋体" w:hAnsi="宋体" w:eastAsia="宋体" w:cs="宋体"/>
                <w:color w:val="2E3035"/>
                <w:sz w:val="21"/>
                <w:szCs w:val="21"/>
              </w:rPr>
              <w:t>村“旧貌换新颜”</w:t>
            </w:r>
            <w:r>
              <w:rPr>
                <w:rFonts w:hint="eastAsia" w:cs="宋体"/>
                <w:color w:val="2E3035"/>
                <w:sz w:val="21"/>
                <w:szCs w:val="21"/>
                <w:lang w:val="en-US" w:eastAsia="zh-CN"/>
              </w:rPr>
              <w:t>——8</w:t>
            </w:r>
            <w:r>
              <w:rPr>
                <w:rFonts w:hint="eastAsia" w:ascii="宋体" w:hAnsi="宋体" w:eastAsia="宋体" w:cs="宋体"/>
                <w:color w:val="000000"/>
                <w:sz w:val="21"/>
                <w:szCs w:val="21"/>
              </w:rPr>
              <w:t>7岁的</w:t>
            </w:r>
            <w:r>
              <w:rPr>
                <w:rFonts w:hint="eastAsia" w:ascii="宋体" w:hAnsi="宋体" w:eastAsia="宋体" w:cs="宋体"/>
                <w:color w:val="000000"/>
                <w:sz w:val="21"/>
                <w:szCs w:val="21"/>
                <w:lang w:val="en-US" w:eastAsia="zh-CN"/>
              </w:rPr>
              <w:t>老党员张</w:t>
            </w:r>
            <w:r>
              <w:rPr>
                <w:rFonts w:hint="eastAsia" w:ascii="宋体" w:hAnsi="宋体" w:eastAsia="宋体" w:cs="宋体"/>
                <w:color w:val="000000" w:themeColor="text1"/>
                <w:sz w:val="21"/>
                <w:szCs w:val="21"/>
                <w14:textFill>
                  <w14:solidFill>
                    <w14:schemeClr w14:val="tx1"/>
                  </w14:solidFill>
                </w14:textFill>
              </w:rPr>
              <w:t>卿</w:t>
            </w:r>
            <w:r>
              <w:rPr>
                <w:rFonts w:hint="eastAsia" w:ascii="宋体" w:hAnsi="宋体" w:eastAsia="宋体" w:cs="宋体"/>
                <w:color w:val="2E3035"/>
                <w:sz w:val="21"/>
                <w:szCs w:val="21"/>
              </w:rPr>
              <w:t>杨</w:t>
            </w:r>
            <w:r>
              <w:rPr>
                <w:rFonts w:hint="eastAsia" w:ascii="宋体" w:hAnsi="宋体" w:eastAsia="宋体" w:cs="宋体"/>
                <w:color w:val="2E3035"/>
                <w:sz w:val="21"/>
                <w:szCs w:val="21"/>
                <w:lang w:val="en-US" w:eastAsia="zh-CN"/>
              </w:rPr>
              <w:t>认</w:t>
            </w:r>
            <w:r>
              <w:rPr>
                <w:rFonts w:hint="eastAsia" w:ascii="宋体" w:hAnsi="宋体" w:eastAsia="宋体" w:cs="宋体"/>
                <w:color w:val="2E3035"/>
                <w:sz w:val="21"/>
                <w:szCs w:val="21"/>
              </w:rPr>
              <w:t>真打扫村</w:t>
            </w:r>
            <w:r>
              <w:rPr>
                <w:rFonts w:hint="eastAsia" w:ascii="宋体" w:hAnsi="宋体" w:eastAsia="宋体" w:cs="宋体"/>
                <w:color w:val="000000"/>
                <w:sz w:val="21"/>
                <w:szCs w:val="21"/>
              </w:rPr>
              <w:t>里环境</w:t>
            </w:r>
            <w:r>
              <w:rPr>
                <w:rFonts w:hint="eastAsia" w:ascii="宋体" w:hAnsi="宋体" w:eastAsia="宋体" w:cs="宋体"/>
                <w:color w:val="000000"/>
                <w:sz w:val="21"/>
                <w:szCs w:val="21"/>
                <w:lang w:val="en-US" w:eastAsia="zh-CN"/>
              </w:rPr>
              <w:t>卫生</w:t>
            </w:r>
            <w:r>
              <w:rPr>
                <w:rFonts w:hint="eastAsia" w:cs="宋体"/>
                <w:color w:val="000000"/>
                <w:sz w:val="21"/>
                <w:szCs w:val="21"/>
                <w:lang w:val="en-US" w:eastAsia="zh-CN"/>
              </w:rPr>
              <w:t>（</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5C9B0759">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EF7F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7873BD2">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194810"/>
                  <wp:effectExtent l="0" t="0" r="3810" b="15240"/>
                  <wp:docPr id="86" name="图片 86" descr="南雄年鉴2019_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南雄年鉴2019_0059"/>
                          <pic:cNvPicPr>
                            <a:picLocks noChangeAspect="1"/>
                          </pic:cNvPicPr>
                        </pic:nvPicPr>
                        <pic:blipFill>
                          <a:blip r:embed="rId71"/>
                          <a:stretch>
                            <a:fillRect/>
                          </a:stretch>
                        </pic:blipFill>
                        <pic:spPr>
                          <a:xfrm>
                            <a:off x="0" y="0"/>
                            <a:ext cx="6187440" cy="4194810"/>
                          </a:xfrm>
                          <a:prstGeom prst="rect">
                            <a:avLst/>
                          </a:prstGeom>
                        </pic:spPr>
                      </pic:pic>
                    </a:graphicData>
                  </a:graphic>
                </wp:inline>
              </w:drawing>
            </w:r>
          </w:p>
        </w:tc>
      </w:tr>
      <w:tr w14:paraId="27D55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77E8CF45">
            <w:pPr>
              <w:spacing w:beforeLines="0" w:afterLines="0"/>
              <w:ind w:firstLine="420" w:firstLineChars="200"/>
              <w:jc w:val="left"/>
              <w:rPr>
                <w:rFonts w:hint="default" w:ascii="宋体" w:hAnsi="宋体" w:eastAsia="宋体" w:cs="宋体"/>
                <w:kern w:val="2"/>
                <w:sz w:val="21"/>
                <w:szCs w:val="21"/>
                <w:lang w:val="en-US" w:eastAsia="zh-CN" w:bidi="ar-SA"/>
              </w:rPr>
            </w:pPr>
            <w:r>
              <w:rPr>
                <w:rFonts w:hint="eastAsia" w:ascii="宋体" w:hAnsi="宋体" w:eastAsia="宋体" w:cs="宋体"/>
                <w:color w:val="2E3035"/>
                <w:sz w:val="21"/>
                <w:szCs w:val="21"/>
              </w:rPr>
              <w:t>2018年10月，南雄市珠</w:t>
            </w:r>
            <w:r>
              <w:rPr>
                <w:rFonts w:hint="eastAsia" w:ascii="宋体" w:hAnsi="宋体" w:eastAsia="宋体" w:cs="宋体"/>
                <w:color w:val="2E3035"/>
                <w:sz w:val="21"/>
                <w:szCs w:val="21"/>
                <w:lang w:val="en-US" w:eastAsia="zh-CN"/>
              </w:rPr>
              <w:t>玑灵</w:t>
            </w:r>
            <w:r>
              <w:rPr>
                <w:rFonts w:hint="eastAsia" w:ascii="宋体" w:hAnsi="宋体" w:eastAsia="宋体" w:cs="宋体"/>
                <w:color w:val="2E3035"/>
                <w:sz w:val="21"/>
                <w:szCs w:val="21"/>
              </w:rPr>
              <w:t>潭村获</w:t>
            </w:r>
            <w:r>
              <w:rPr>
                <w:rFonts w:hint="eastAsia" w:ascii="宋体" w:hAnsi="宋体" w:eastAsia="宋体" w:cs="宋体"/>
                <w:color w:val="2E3035"/>
                <w:sz w:val="21"/>
                <w:szCs w:val="21"/>
                <w:lang w:val="en-US" w:eastAsia="zh-CN"/>
              </w:rPr>
              <w:t>评</w:t>
            </w:r>
            <w:r>
              <w:rPr>
                <w:rFonts w:hint="eastAsia" w:ascii="宋体" w:hAnsi="宋体" w:eastAsia="宋体" w:cs="宋体"/>
                <w:color w:val="2E3035"/>
                <w:sz w:val="21"/>
                <w:szCs w:val="21"/>
              </w:rPr>
              <w:t>“2018中国美丽休</w:t>
            </w:r>
            <w:r>
              <w:rPr>
                <w:rFonts w:hint="eastAsia" w:ascii="宋体" w:hAnsi="宋体" w:eastAsia="宋体" w:cs="宋体"/>
                <w:color w:val="000000"/>
                <w:sz w:val="21"/>
                <w:szCs w:val="21"/>
              </w:rPr>
              <w:t>闲乡村”</w:t>
            </w:r>
            <w:r>
              <w:rPr>
                <w:rFonts w:hint="eastAsia" w:ascii="宋体" w:hAnsi="宋体" w:eastAsia="宋体" w:cs="宋体"/>
                <w:color w:val="000000" w:themeColor="text1"/>
                <w:sz w:val="21"/>
                <w:szCs w:val="21"/>
                <w14:textFill>
                  <w14:solidFill>
                    <w14:schemeClr w14:val="tx1"/>
                  </w14:solidFill>
                </w14:textFill>
              </w:rPr>
              <w:t>一</w:t>
            </w:r>
            <w:r>
              <w:rPr>
                <w:rFonts w:hint="eastAsia" w:ascii="宋体" w:hAnsi="宋体" w:eastAsia="宋体" w:cs="宋体"/>
                <w:color w:val="000000"/>
                <w:sz w:val="21"/>
                <w:szCs w:val="21"/>
              </w:rPr>
              <w:t>秀水灵潭</w:t>
            </w:r>
            <w:r>
              <w:rPr>
                <w:rFonts w:hint="eastAsia" w:ascii="宋体" w:hAnsi="宋体" w:eastAsia="宋体" w:cs="宋体"/>
                <w:color w:val="000000"/>
                <w:sz w:val="21"/>
                <w:szCs w:val="21"/>
                <w:lang w:val="en-US" w:eastAsia="zh-CN"/>
              </w:rPr>
              <w:t>（</w:t>
            </w:r>
            <w:r>
              <w:rPr>
                <w:rFonts w:hint="eastAsia" w:ascii="宋体" w:hAnsi="宋体" w:eastAsia="宋体" w:cs="宋体"/>
                <w:color w:val="000000"/>
                <w:sz w:val="21"/>
                <w:szCs w:val="21"/>
              </w:rPr>
              <w:t>蔡仁银</w:t>
            </w:r>
            <w:r>
              <w:rPr>
                <w:rFonts w:hint="eastAsia" w:ascii="宋体" w:hAnsi="宋体" w:eastAsia="宋体" w:cs="宋体"/>
                <w:color w:val="000000"/>
                <w:sz w:val="21"/>
                <w:szCs w:val="21"/>
                <w:lang w:val="en-US" w:eastAsia="zh-CN"/>
              </w:rPr>
              <w:t xml:space="preserve">  摄</w:t>
            </w:r>
            <w:r>
              <w:rPr>
                <w:rFonts w:hint="eastAsia" w:ascii="宋体" w:hAnsi="宋体" w:eastAsia="宋体" w:cs="宋体"/>
                <w:color w:val="000000"/>
                <w:sz w:val="21"/>
                <w:szCs w:val="21"/>
              </w:rPr>
              <w:t>）</w:t>
            </w:r>
          </w:p>
        </w:tc>
      </w:tr>
    </w:tbl>
    <w:p w14:paraId="1FFE4FE7">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25D8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16BDC74">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4423410"/>
                  <wp:effectExtent l="0" t="0" r="5715" b="15240"/>
                  <wp:docPr id="87" name="图片 87" descr="南雄年鉴2019_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南雄年鉴2019_0060"/>
                          <pic:cNvPicPr>
                            <a:picLocks noChangeAspect="1"/>
                          </pic:cNvPicPr>
                        </pic:nvPicPr>
                        <pic:blipFill>
                          <a:blip r:embed="rId72"/>
                          <a:stretch>
                            <a:fillRect/>
                          </a:stretch>
                        </pic:blipFill>
                        <pic:spPr>
                          <a:xfrm>
                            <a:off x="0" y="0"/>
                            <a:ext cx="6185535" cy="4423410"/>
                          </a:xfrm>
                          <a:prstGeom prst="rect">
                            <a:avLst/>
                          </a:prstGeom>
                        </pic:spPr>
                      </pic:pic>
                    </a:graphicData>
                  </a:graphic>
                </wp:inline>
              </w:drawing>
            </w:r>
          </w:p>
        </w:tc>
      </w:tr>
      <w:tr w14:paraId="3ECE5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3E93E8D1">
            <w:pPr>
              <w:bidi w:val="0"/>
              <w:ind w:firstLine="420" w:firstLineChars="200"/>
              <w:rPr>
                <w:rFonts w:hint="default" w:ascii="宋体" w:hAnsi="宋体" w:eastAsia="宋体" w:cs="宋体"/>
                <w:kern w:val="2"/>
                <w:sz w:val="21"/>
                <w:szCs w:val="21"/>
                <w:lang w:val="en-US" w:eastAsia="zh-CN" w:bidi="ar-SA"/>
              </w:rPr>
            </w:pPr>
            <w:r>
              <w:rPr>
                <w:rFonts w:hint="eastAsia" w:ascii="宋体" w:hAnsi="宋体" w:eastAsia="宋体" w:cs="宋体"/>
                <w:color w:val="2E3035"/>
                <w:sz w:val="21"/>
                <w:szCs w:val="21"/>
              </w:rPr>
              <w:t>南雄品牌“银</w:t>
            </w:r>
            <w:r>
              <w:rPr>
                <w:rFonts w:hint="eastAsia" w:ascii="宋体" w:hAnsi="宋体" w:eastAsia="宋体" w:cs="宋体"/>
                <w:color w:val="2E3035"/>
                <w:sz w:val="21"/>
                <w:szCs w:val="21"/>
                <w:lang w:val="en-US" w:eastAsia="zh-CN"/>
              </w:rPr>
              <w:t>杏</w:t>
            </w:r>
            <w:r>
              <w:rPr>
                <w:rFonts w:hint="eastAsia" w:ascii="宋体" w:hAnsi="宋体" w:eastAsia="宋体" w:cs="宋体"/>
                <w:color w:val="000000"/>
                <w:sz w:val="21"/>
                <w:szCs w:val="21"/>
              </w:rPr>
              <w:t>染秋”（市史志办</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供</w:t>
            </w:r>
            <w:r>
              <w:rPr>
                <w:rFonts w:hint="eastAsia" w:ascii="宋体" w:hAnsi="宋体" w:eastAsia="宋体" w:cs="宋体"/>
                <w:color w:val="000000"/>
                <w:sz w:val="21"/>
                <w:szCs w:val="21"/>
                <w:lang w:eastAsia="zh-CN"/>
              </w:rPr>
              <w:t>）</w:t>
            </w:r>
          </w:p>
        </w:tc>
      </w:tr>
    </w:tbl>
    <w:p w14:paraId="62690A3B">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7CD8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558F0E4">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79820" cy="3760470"/>
                  <wp:effectExtent l="0" t="0" r="11430" b="11430"/>
                  <wp:docPr id="88" name="图片 88" descr="南雄年鉴2019_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南雄年鉴2019_0061"/>
                          <pic:cNvPicPr>
                            <a:picLocks noChangeAspect="1"/>
                          </pic:cNvPicPr>
                        </pic:nvPicPr>
                        <pic:blipFill>
                          <a:blip r:embed="rId73"/>
                          <a:stretch>
                            <a:fillRect/>
                          </a:stretch>
                        </pic:blipFill>
                        <pic:spPr>
                          <a:xfrm>
                            <a:off x="0" y="0"/>
                            <a:ext cx="6179820" cy="3760470"/>
                          </a:xfrm>
                          <a:prstGeom prst="rect">
                            <a:avLst/>
                          </a:prstGeom>
                        </pic:spPr>
                      </pic:pic>
                    </a:graphicData>
                  </a:graphic>
                </wp:inline>
              </w:drawing>
            </w:r>
          </w:p>
        </w:tc>
      </w:tr>
      <w:tr w14:paraId="1CE9C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340DAC5F">
            <w:pPr>
              <w:bidi w:val="0"/>
              <w:ind w:firstLine="420" w:firstLineChars="200"/>
              <w:rPr>
                <w:rFonts w:hint="default"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航拍帽子峰林场图</w:t>
            </w:r>
          </w:p>
        </w:tc>
      </w:tr>
    </w:tbl>
    <w:p w14:paraId="22688DE3">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D63F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FBF6D8D">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6210935"/>
                  <wp:effectExtent l="0" t="0" r="3810" b="18415"/>
                  <wp:docPr id="89" name="图片 89" descr="南雄年鉴2019_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南雄年鉴2019_0062"/>
                          <pic:cNvPicPr>
                            <a:picLocks noChangeAspect="1"/>
                          </pic:cNvPicPr>
                        </pic:nvPicPr>
                        <pic:blipFill>
                          <a:blip r:embed="rId74"/>
                          <a:stretch>
                            <a:fillRect/>
                          </a:stretch>
                        </pic:blipFill>
                        <pic:spPr>
                          <a:xfrm>
                            <a:off x="0" y="0"/>
                            <a:ext cx="6187440" cy="6210935"/>
                          </a:xfrm>
                          <a:prstGeom prst="rect">
                            <a:avLst/>
                          </a:prstGeom>
                        </pic:spPr>
                      </pic:pic>
                    </a:graphicData>
                  </a:graphic>
                </wp:inline>
              </w:drawing>
            </w:r>
          </w:p>
        </w:tc>
      </w:tr>
      <w:tr w14:paraId="15526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4FCC1AF0">
            <w:pPr>
              <w:bidi w:val="0"/>
              <w:ind w:firstLine="420" w:firstLineChars="200"/>
              <w:rPr>
                <w:rFonts w:hint="default"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灵潭村一角（邱永红  摄）</w:t>
            </w:r>
          </w:p>
        </w:tc>
      </w:tr>
    </w:tbl>
    <w:p w14:paraId="144B21E8">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EE0E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4E720E1E">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900" cy="3806190"/>
                  <wp:effectExtent l="0" t="0" r="6350" b="3810"/>
                  <wp:docPr id="90" name="图片 90" descr="南雄年鉴2019_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南雄年鉴2019_0063"/>
                          <pic:cNvPicPr>
                            <a:picLocks noChangeAspect="1"/>
                          </pic:cNvPicPr>
                        </pic:nvPicPr>
                        <pic:blipFill>
                          <a:blip r:embed="rId75"/>
                          <a:stretch>
                            <a:fillRect/>
                          </a:stretch>
                        </pic:blipFill>
                        <pic:spPr>
                          <a:xfrm>
                            <a:off x="0" y="0"/>
                            <a:ext cx="6184900" cy="3806190"/>
                          </a:xfrm>
                          <a:prstGeom prst="rect">
                            <a:avLst/>
                          </a:prstGeom>
                        </pic:spPr>
                      </pic:pic>
                    </a:graphicData>
                  </a:graphic>
                </wp:inline>
              </w:drawing>
            </w:r>
          </w:p>
        </w:tc>
      </w:tr>
      <w:tr w14:paraId="4B17B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42FAA21E">
            <w:pPr>
              <w:bidi w:val="0"/>
              <w:ind w:firstLine="420" w:firstLineChars="200"/>
              <w:rPr>
                <w:rFonts w:hint="default" w:ascii="宋体" w:hAnsi="宋体" w:eastAsia="宋体" w:cs="宋体"/>
                <w:kern w:val="2"/>
                <w:sz w:val="21"/>
                <w:szCs w:val="21"/>
                <w:lang w:val="en-US" w:eastAsia="zh-CN" w:bidi="ar-SA"/>
              </w:rPr>
            </w:pPr>
            <w:r>
              <w:rPr>
                <w:rFonts w:hint="eastAsia" w:cs="宋体"/>
                <w:sz w:val="21"/>
                <w:szCs w:val="21"/>
                <w:lang w:val="en-US" w:eastAsia="zh-CN"/>
              </w:rPr>
              <w:t>雄州你好（市委办  供）</w:t>
            </w:r>
          </w:p>
        </w:tc>
      </w:tr>
    </w:tbl>
    <w:p w14:paraId="4B4AA6C1">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FD87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44FDFF6">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170" cy="3491865"/>
                  <wp:effectExtent l="0" t="0" r="5080" b="13335"/>
                  <wp:docPr id="91" name="图片 91" descr="南雄年鉴2019_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南雄年鉴2019_0064"/>
                          <pic:cNvPicPr>
                            <a:picLocks noChangeAspect="1"/>
                          </pic:cNvPicPr>
                        </pic:nvPicPr>
                        <pic:blipFill>
                          <a:blip r:embed="rId76"/>
                          <a:stretch>
                            <a:fillRect/>
                          </a:stretch>
                        </pic:blipFill>
                        <pic:spPr>
                          <a:xfrm>
                            <a:off x="0" y="0"/>
                            <a:ext cx="6186170" cy="3491865"/>
                          </a:xfrm>
                          <a:prstGeom prst="rect">
                            <a:avLst/>
                          </a:prstGeom>
                        </pic:spPr>
                      </pic:pic>
                    </a:graphicData>
                  </a:graphic>
                </wp:inline>
              </w:drawing>
            </w:r>
          </w:p>
        </w:tc>
      </w:tr>
      <w:tr w14:paraId="7E7A2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215782C8">
            <w:pPr>
              <w:bidi w:val="0"/>
              <w:ind w:firstLine="420" w:firstLineChars="200"/>
              <w:rPr>
                <w:rFonts w:hint="default" w:ascii="宋体" w:hAnsi="宋体" w:eastAsia="宋体" w:cs="宋体"/>
                <w:kern w:val="2"/>
                <w:sz w:val="21"/>
                <w:szCs w:val="21"/>
                <w:lang w:val="en-US" w:eastAsia="zh-CN" w:bidi="ar-SA"/>
              </w:rPr>
            </w:pPr>
            <w:r>
              <w:rPr>
                <w:rFonts w:hint="eastAsia" w:ascii="宋体" w:hAnsi="宋体" w:eastAsia="宋体" w:cs="宋体"/>
                <w:color w:val="262427"/>
                <w:sz w:val="21"/>
                <w:szCs w:val="21"/>
              </w:rPr>
              <w:t>古道梅关（</w:t>
            </w:r>
            <w:r>
              <w:rPr>
                <w:rFonts w:hint="eastAsia" w:ascii="宋体" w:hAnsi="宋体" w:eastAsia="宋体" w:cs="宋体"/>
                <w:color w:val="000000"/>
                <w:sz w:val="21"/>
                <w:szCs w:val="21"/>
              </w:rPr>
              <w:t>沈玉明</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摄）</w:t>
            </w:r>
          </w:p>
        </w:tc>
      </w:tr>
    </w:tbl>
    <w:p w14:paraId="4592DD4C">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DB61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40518CB">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8710" cy="3800475"/>
                  <wp:effectExtent l="0" t="0" r="2540" b="9525"/>
                  <wp:docPr id="71" name="图片 71" descr="南雄年鉴2019_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南雄年鉴2019_0065"/>
                          <pic:cNvPicPr>
                            <a:picLocks noChangeAspect="1"/>
                          </pic:cNvPicPr>
                        </pic:nvPicPr>
                        <pic:blipFill>
                          <a:blip r:embed="rId77"/>
                          <a:stretch>
                            <a:fillRect/>
                          </a:stretch>
                        </pic:blipFill>
                        <pic:spPr>
                          <a:xfrm>
                            <a:off x="0" y="0"/>
                            <a:ext cx="6188710" cy="3800475"/>
                          </a:xfrm>
                          <a:prstGeom prst="rect">
                            <a:avLst/>
                          </a:prstGeom>
                        </pic:spPr>
                      </pic:pic>
                    </a:graphicData>
                  </a:graphic>
                </wp:inline>
              </w:drawing>
            </w:r>
          </w:p>
        </w:tc>
      </w:tr>
      <w:tr w14:paraId="255A8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3414DC6C">
            <w:pPr>
              <w:bidi w:val="0"/>
              <w:ind w:firstLine="420" w:firstLineChars="200"/>
              <w:rPr>
                <w:rFonts w:hint="default"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水天一色（南雄市孔江水库一景）</w:t>
            </w:r>
          </w:p>
        </w:tc>
      </w:tr>
    </w:tbl>
    <w:p w14:paraId="35F804DC">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14F7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5F67879">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8710" cy="3937635"/>
                  <wp:effectExtent l="0" t="0" r="2540" b="5715"/>
                  <wp:docPr id="72" name="图片 72" descr="南雄年鉴2019_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南雄年鉴2019_0066"/>
                          <pic:cNvPicPr>
                            <a:picLocks noChangeAspect="1"/>
                          </pic:cNvPicPr>
                        </pic:nvPicPr>
                        <pic:blipFill>
                          <a:blip r:embed="rId78"/>
                          <a:stretch>
                            <a:fillRect/>
                          </a:stretch>
                        </pic:blipFill>
                        <pic:spPr>
                          <a:xfrm>
                            <a:off x="0" y="0"/>
                            <a:ext cx="6188710" cy="3937635"/>
                          </a:xfrm>
                          <a:prstGeom prst="rect">
                            <a:avLst/>
                          </a:prstGeom>
                        </pic:spPr>
                      </pic:pic>
                    </a:graphicData>
                  </a:graphic>
                </wp:inline>
              </w:drawing>
            </w:r>
          </w:p>
        </w:tc>
      </w:tr>
      <w:tr w14:paraId="61903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6C5A6184">
            <w:pPr>
              <w:bidi w:val="0"/>
              <w:ind w:firstLine="420" w:firstLineChars="200"/>
              <w:rPr>
                <w:rFonts w:hint="default" w:ascii="宋体" w:hAnsi="宋体" w:eastAsia="宋体" w:cs="宋体"/>
                <w:kern w:val="2"/>
                <w:sz w:val="21"/>
                <w:szCs w:val="21"/>
                <w:lang w:val="en-US" w:eastAsia="zh-CN" w:bidi="ar-SA"/>
              </w:rPr>
            </w:pPr>
            <w:r>
              <w:rPr>
                <w:rFonts w:hint="eastAsia" w:ascii="宋体" w:hAnsi="宋体" w:eastAsia="宋体" w:cs="宋体"/>
                <w:color w:val="3C3D41"/>
                <w:sz w:val="21"/>
                <w:szCs w:val="21"/>
              </w:rPr>
              <w:t>又见</w:t>
            </w:r>
            <w:r>
              <w:rPr>
                <w:rFonts w:hint="eastAsia" w:ascii="宋体" w:hAnsi="宋体" w:eastAsia="宋体" w:cs="宋体"/>
                <w:color w:val="3C3D41"/>
                <w:sz w:val="21"/>
                <w:szCs w:val="21"/>
                <w:lang w:val="en-US" w:eastAsia="zh-CN"/>
              </w:rPr>
              <w:t>银</w:t>
            </w:r>
            <w:r>
              <w:rPr>
                <w:rFonts w:hint="eastAsia" w:ascii="宋体" w:hAnsi="宋体" w:eastAsia="宋体" w:cs="宋体"/>
                <w:color w:val="3C3D41"/>
                <w:sz w:val="21"/>
                <w:szCs w:val="21"/>
              </w:rPr>
              <w:t>杏叶落时（</w:t>
            </w:r>
            <w:r>
              <w:rPr>
                <w:rFonts w:hint="eastAsia" w:ascii="宋体" w:hAnsi="宋体" w:eastAsia="宋体" w:cs="宋体"/>
                <w:color w:val="000000"/>
                <w:sz w:val="21"/>
                <w:szCs w:val="21"/>
              </w:rPr>
              <w:t>市委办</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供</w:t>
            </w:r>
            <w:r>
              <w:rPr>
                <w:rFonts w:hint="eastAsia" w:ascii="宋体" w:hAnsi="宋体" w:eastAsia="宋体" w:cs="宋体"/>
                <w:color w:val="000000"/>
                <w:sz w:val="21"/>
                <w:szCs w:val="21"/>
                <w:lang w:eastAsia="zh-CN"/>
              </w:rPr>
              <w:t>）</w:t>
            </w:r>
          </w:p>
        </w:tc>
      </w:tr>
    </w:tbl>
    <w:p w14:paraId="57C87984">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6158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FB50B44">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8710" cy="4040505"/>
                  <wp:effectExtent l="0" t="0" r="2540" b="17145"/>
                  <wp:docPr id="73" name="图片 73" descr="南雄年鉴2019_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南雄年鉴2019_0067"/>
                          <pic:cNvPicPr>
                            <a:picLocks noChangeAspect="1"/>
                          </pic:cNvPicPr>
                        </pic:nvPicPr>
                        <pic:blipFill>
                          <a:blip r:embed="rId79"/>
                          <a:stretch>
                            <a:fillRect/>
                          </a:stretch>
                        </pic:blipFill>
                        <pic:spPr>
                          <a:xfrm>
                            <a:off x="0" y="0"/>
                            <a:ext cx="6188710" cy="4040505"/>
                          </a:xfrm>
                          <a:prstGeom prst="rect">
                            <a:avLst/>
                          </a:prstGeom>
                        </pic:spPr>
                      </pic:pic>
                    </a:graphicData>
                  </a:graphic>
                </wp:inline>
              </w:drawing>
            </w:r>
          </w:p>
        </w:tc>
      </w:tr>
      <w:tr w14:paraId="7906B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78E411A1">
            <w:pPr>
              <w:bidi w:val="0"/>
              <w:ind w:firstLine="420" w:firstLineChars="200"/>
              <w:rPr>
                <w:rFonts w:hint="default" w:ascii="宋体" w:hAnsi="宋体" w:eastAsia="宋体" w:cs="宋体"/>
                <w:kern w:val="2"/>
                <w:sz w:val="21"/>
                <w:szCs w:val="21"/>
                <w:lang w:val="en-US" w:eastAsia="zh-CN" w:bidi="ar-SA"/>
              </w:rPr>
            </w:pPr>
            <w:r>
              <w:rPr>
                <w:rFonts w:hint="eastAsia" w:ascii="宋体" w:hAnsi="宋体" w:eastAsia="宋体" w:cs="宋体"/>
                <w:color w:val="515155"/>
                <w:sz w:val="21"/>
                <w:szCs w:val="21"/>
              </w:rPr>
              <w:t>《珠</w:t>
            </w:r>
            <w:r>
              <w:rPr>
                <w:rFonts w:hint="eastAsia" w:cs="宋体"/>
                <w:color w:val="515155"/>
                <w:sz w:val="21"/>
                <w:szCs w:val="21"/>
                <w:lang w:val="en-US" w:eastAsia="zh-CN"/>
              </w:rPr>
              <w:t>玑</w:t>
            </w:r>
            <w:r>
              <w:rPr>
                <w:rFonts w:hint="eastAsia" w:ascii="宋体" w:hAnsi="宋体" w:eastAsia="宋体" w:cs="宋体"/>
                <w:color w:val="515155"/>
                <w:sz w:val="21"/>
                <w:szCs w:val="21"/>
              </w:rPr>
              <w:t>古</w:t>
            </w:r>
            <w:r>
              <w:rPr>
                <w:rFonts w:hint="eastAsia" w:ascii="宋体" w:hAnsi="宋体" w:eastAsia="宋体" w:cs="宋体"/>
                <w:color w:val="000000"/>
                <w:sz w:val="21"/>
                <w:szCs w:val="21"/>
              </w:rPr>
              <w:t>巷》（</w:t>
            </w:r>
            <w:r>
              <w:rPr>
                <w:rFonts w:hint="eastAsia" w:ascii="宋体" w:hAnsi="宋体" w:eastAsia="宋体" w:cs="宋体"/>
                <w:color w:val="000000"/>
                <w:sz w:val="21"/>
                <w:szCs w:val="21"/>
                <w:lang w:val="en-US" w:eastAsia="zh-CN"/>
              </w:rPr>
              <w:t>曾</w:t>
            </w:r>
            <w:r>
              <w:rPr>
                <w:rFonts w:hint="eastAsia" w:ascii="宋体" w:hAnsi="宋体" w:eastAsia="宋体" w:cs="宋体"/>
                <w:color w:val="000000"/>
                <w:sz w:val="21"/>
                <w:szCs w:val="21"/>
              </w:rPr>
              <w:t>贺茜</w:t>
            </w:r>
            <w:r>
              <w:rPr>
                <w:rFonts w:hint="eastAsia" w:ascii="宋体" w:hAnsi="宋体" w:eastAsia="宋体" w:cs="宋体"/>
                <w:color w:val="000000"/>
                <w:sz w:val="21"/>
                <w:szCs w:val="21"/>
                <w:lang w:val="en-US" w:eastAsia="zh-CN"/>
              </w:rPr>
              <w:t xml:space="preserve">  摄）</w:t>
            </w:r>
          </w:p>
        </w:tc>
      </w:tr>
    </w:tbl>
    <w:p w14:paraId="35A99A4B">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5F8D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3CDAAB9A">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3600450"/>
                  <wp:effectExtent l="0" t="0" r="10160" b="0"/>
                  <wp:docPr id="74" name="图片 74" descr="南雄年鉴2019_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南雄年鉴2019_0068"/>
                          <pic:cNvPicPr>
                            <a:picLocks noChangeAspect="1"/>
                          </pic:cNvPicPr>
                        </pic:nvPicPr>
                        <pic:blipFill>
                          <a:blip r:embed="rId80"/>
                          <a:stretch>
                            <a:fillRect/>
                          </a:stretch>
                        </pic:blipFill>
                        <pic:spPr>
                          <a:xfrm>
                            <a:off x="0" y="0"/>
                            <a:ext cx="6181090" cy="3600450"/>
                          </a:xfrm>
                          <a:prstGeom prst="rect">
                            <a:avLst/>
                          </a:prstGeom>
                        </pic:spPr>
                      </pic:pic>
                    </a:graphicData>
                  </a:graphic>
                </wp:inline>
              </w:drawing>
            </w:r>
          </w:p>
        </w:tc>
      </w:tr>
      <w:tr w14:paraId="00A22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7BC14A0B">
            <w:pPr>
              <w:bidi w:val="0"/>
              <w:ind w:firstLine="420" w:firstLineChars="200"/>
              <w:rPr>
                <w:rFonts w:hint="default"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乡村风光（市委办  供）</w:t>
            </w:r>
          </w:p>
        </w:tc>
      </w:tr>
    </w:tbl>
    <w:p w14:paraId="5C87E915">
      <w:pPr>
        <w:pStyle w:val="2"/>
        <w:bidi w:val="0"/>
        <w:rPr>
          <w:rFonts w:hint="eastAsia"/>
        </w:rPr>
      </w:pPr>
      <w:r>
        <w:rPr>
          <w:rFonts w:hint="eastAsia"/>
        </w:rPr>
        <w:t>总述</w:t>
      </w:r>
    </w:p>
    <w:p w14:paraId="373D5800">
      <w:pPr>
        <w:pStyle w:val="3"/>
        <w:bidi w:val="0"/>
        <w:rPr>
          <w:rFonts w:hint="eastAsia"/>
          <w:lang w:val="zh-CN"/>
        </w:rPr>
      </w:pPr>
      <w:r>
        <w:rPr>
          <w:rFonts w:hint="eastAsia"/>
          <w:lang w:val="zh-CN"/>
        </w:rPr>
        <w:t>市情综述</w:t>
      </w:r>
    </w:p>
    <w:p w14:paraId="4A570E44">
      <w:pPr>
        <w:pStyle w:val="4"/>
        <w:bidi w:val="0"/>
        <w:rPr>
          <w:rFonts w:hint="eastAsia"/>
          <w:lang w:val="zh-CN"/>
        </w:rPr>
      </w:pPr>
      <w:r>
        <w:rPr>
          <w:rFonts w:hint="eastAsia"/>
          <w:lang w:val="zh-CN"/>
        </w:rPr>
        <w:t>【建置沿革】</w:t>
      </w:r>
    </w:p>
    <w:p w14:paraId="19767102">
      <w:pPr>
        <w:bidi w:val="0"/>
        <w:rPr>
          <w:rFonts w:hint="eastAsia"/>
          <w:lang w:val="zh-CN"/>
        </w:rPr>
      </w:pPr>
      <w:r>
        <w:rPr>
          <w:rFonts w:hint="eastAsia"/>
          <w:lang w:val="zh-CN"/>
        </w:rPr>
        <w:t>南雄地域，春秋为百越地，战国属楚，秦属南海郡，两汉为南野县，属豫章郡。东汉顺帝建康时属桂阳郡之曲江县。三国孙吴时南野县属庐陵郡，吴景帝永安六年（263年）分南野置始兴县，南雄地属之。吴末帝甘露元年（265年）分始兴置斜阶县，南雄地属之，隶于始兴郡。晋废斜阶复南野，改属庐陵郡。南朝宋因之，齐复置令阶县，梁复置安远县，均辖南雄地。陈改安远县为安远郡，隶属东衡州，即韶州。隋废诸郡，改安远为大庾县，隶于广州总管府。旋废大庾入始兴。大业三年（607年）属南海郡，唐武德四年（621年）属番州，不久更名为东衡州。贞观元年（627年）改为韶州。光宅元年（684年）划始兴县的化南、横山两乡置浈昌县，因境内浈、昌二水而取名。县治设在今雄州。</w:t>
      </w:r>
    </w:p>
    <w:p w14:paraId="75238EA7">
      <w:pPr>
        <w:bidi w:val="0"/>
        <w:rPr>
          <w:rFonts w:hint="eastAsia"/>
          <w:lang w:val="zh-CN"/>
        </w:rPr>
      </w:pPr>
      <w:r>
        <w:rPr>
          <w:rFonts w:hint="eastAsia"/>
          <w:lang w:val="zh-CN"/>
        </w:rPr>
        <w:t>南汉乾亨四年（920年）在浈昌县置雄州，辖浈昌、始兴两县。宋开宝四年（971年）改雄州为南雄州，与河北雄州别，属广南东路。天圣元年（1023年）因避仁宗赵祯讳，改浈昌为保昌。宣和二年（1120年）赐保昌为郡。元至元十五年（1278年）改南雄州为南雄路，领保昌、始兴两县。明洪武元年（1368年）改路为府，辖保昌、始兴两县，属广东道。洪武二年改行中书省，九年改行省为承宣布政使司，南雄府属相随。清嘉庆十二年（1807年）改府为直隶南雄州，直隶广东布政使司，裁去保昌县，领始兴一县。嘉庆十六年复升为府，次年又降为直隶州，直至清末。</w:t>
      </w:r>
    </w:p>
    <w:p w14:paraId="6C4454E1">
      <w:pPr>
        <w:bidi w:val="0"/>
        <w:rPr>
          <w:rFonts w:hint="eastAsia"/>
          <w:lang w:val="zh-CN"/>
        </w:rPr>
      </w:pPr>
      <w:r>
        <w:rPr>
          <w:rFonts w:hint="eastAsia"/>
          <w:lang w:val="zh-CN"/>
        </w:rPr>
        <w:t>民国开始，改南雄州为南雄县，隶属广东省。中华人民共和国成立后，沿袭不变。1958年12月，南雄县与始兴县合并称南雄县，1960年10月复分为南雄县、始兴县，隶属广东省韶关专员公署。1982年6月实行市管县体制后，隶属韶关市。1996年6月，撤县设市（县级），由韶关市代管。</w:t>
      </w:r>
    </w:p>
    <w:p w14:paraId="3C21DC5F">
      <w:pPr>
        <w:pStyle w:val="4"/>
        <w:bidi w:val="0"/>
        <w:rPr>
          <w:rFonts w:hint="eastAsia"/>
          <w:lang w:val="zh-CN"/>
        </w:rPr>
      </w:pPr>
      <w:r>
        <w:rPr>
          <w:rFonts w:hint="eastAsia"/>
          <w:lang w:val="zh-CN"/>
        </w:rPr>
        <w:t>【行政区划】</w:t>
      </w:r>
    </w:p>
    <w:p w14:paraId="56163062">
      <w:pPr>
        <w:bidi w:val="0"/>
        <w:rPr>
          <w:rFonts w:hint="eastAsia"/>
          <w:lang w:val="zh-CN"/>
        </w:rPr>
      </w:pPr>
      <w:r>
        <w:rPr>
          <w:rFonts w:hint="eastAsia"/>
          <w:lang w:val="zh-CN"/>
        </w:rPr>
        <w:t>2002年，南雄市辖24个镇：乌迳镇、孔江镇、新龙镇、界址镇、坪田镇、黄坑镇、邓坊镇、油山镇、大塘镇、南亩镇、水口镇、江头镇、湖口镇、珠玑镇、梅岭镇、主田镇、古市镇、黎口镇、全安镇、苍石镇、百顺镇、澜河镇、帽子峰镇、雄州镇，有221个村委会、31个居委会。</w:t>
      </w:r>
    </w:p>
    <w:p w14:paraId="1FF5A710">
      <w:pPr>
        <w:bidi w:val="0"/>
        <w:rPr>
          <w:rFonts w:hint="eastAsia"/>
          <w:lang w:val="zh-CN"/>
        </w:rPr>
      </w:pPr>
      <w:r>
        <w:rPr>
          <w:rFonts w:hint="eastAsia"/>
          <w:lang w:val="zh-CN"/>
        </w:rPr>
        <w:t>2005—2018年南雄市行政区划变更有：2005年1月，南雄市撤销梅岭镇，并入珠玑镇；撤销黎口镇，并入雄州镇。7月，南雄市撤销雄州镇，设立雄州街道办事处，作为市政府派出机构。南雄市辖17个镇和1个街道办事处：珠玑镇、湖口镇、黄坑镇、乌迳镇、界址镇、水口镇、古市镇、百顺镇、澜河镇、邓坊镇、油山镇、南亩镇、坪田镇、江头镇、主田镇、全安镇、帽子峰镇、雄州街道办事处，全市有208个村委会、24个居委会。</w:t>
      </w:r>
    </w:p>
    <w:p w14:paraId="28DC8201">
      <w:pPr>
        <w:pStyle w:val="4"/>
        <w:bidi w:val="0"/>
        <w:rPr>
          <w:rFonts w:hint="eastAsia"/>
          <w:lang w:val="zh-CN"/>
        </w:rPr>
      </w:pPr>
      <w:r>
        <w:rPr>
          <w:rFonts w:hint="eastAsia"/>
          <w:lang w:val="zh-CN"/>
        </w:rPr>
        <w:t>【位置和面积】</w:t>
      </w:r>
    </w:p>
    <w:p w14:paraId="479A0290">
      <w:pPr>
        <w:bidi w:val="0"/>
        <w:rPr>
          <w:rFonts w:hint="eastAsia"/>
          <w:lang w:val="zh-CN"/>
        </w:rPr>
      </w:pPr>
      <w:r>
        <w:rPr>
          <w:rFonts w:hint="eastAsia"/>
        </w:rPr>
        <w:t>南雄市位于大庾岭南麓，东经113°55′30″—114°44′38″，北纬24°56′59″—25°25′20″，东连江西省信丰县，东南界江西省全南县，西南比邻始兴县，西北与仁化县接壤，北界江西省大余县。四周群山环抱，中为丘陵。东西极限84千米，南北极限52千米。全市面积2326.18平方千米。</w:t>
      </w:r>
    </w:p>
    <w:p w14:paraId="551FF741">
      <w:pPr>
        <w:pStyle w:val="4"/>
        <w:bidi w:val="0"/>
        <w:rPr>
          <w:rFonts w:hint="eastAsia"/>
          <w:lang w:val="zh-CN"/>
        </w:rPr>
      </w:pPr>
      <w:r>
        <w:rPr>
          <w:rFonts w:hint="eastAsia"/>
          <w:lang w:val="zh-CN"/>
        </w:rPr>
        <w:t>【地形地貌】</w:t>
      </w:r>
    </w:p>
    <w:p w14:paraId="5B915FAF">
      <w:pPr>
        <w:bidi w:val="0"/>
        <w:rPr>
          <w:rFonts w:hint="eastAsia"/>
          <w:lang w:val="zh-CN"/>
        </w:rPr>
      </w:pPr>
      <w:r>
        <w:rPr>
          <w:rFonts w:hint="eastAsia"/>
          <w:lang w:val="zh-CN"/>
        </w:rPr>
        <w:t>市境地质属燕山期花岗岩体及寒武纪震旦纪变质岩体。中部盆地在2亿年前是个大淡水湖，7000万年前干涸成陆地，属中生代白垩纪紫色砂页岩体。在紫色砂页岩上面间或分布有新生代第四纪卵石层和网纹状红土，在盆地周围与低山丘陵之间或分布有老第三纪红色岩系。南雄地处大庾岭南麓，北宽南狭，南北两面群山连绵，中部盆地丘陵起伏。古来对南北山区称之为“南山”“北山”。南山自西南向东北延伸，以青嶂山为主峰，海拔917米，西南行有高峰（海拔840米）、寨顶埂、山角寨（海拔858米）等山岭；东北走有目龙埂、鸦子寨（海拔872米）、龙王脑（海拔616米）、猪头寨（海拔592）、洪泰山（海拔716米）等山岭，南行有王石寨（海拔761米）等山岭。北山由西南向东北伸展，以观音栋、帽子峰、油山为主峰。观音栋海拔1429米，为全市最高峰，东有老殿顶（海拔1395米）、龙华山（海拔1224米），北有白沙髻（海拔1342米）、盘墙虎（海拔1262米），西有粑子岭（海拔1190米）、花髻脑（海拔971米）等山岭。帽子峰海拔1058米，东南行有中岭（海拔902米）、巾子岭（海拔824米）、亚机（海拔875米）等山岭，西行有五峰山（海拔1224米）、俚木山（海拔1045米）、南山（海拔1303米）、云前脑（海拔1131米）、月岭寨（海拔1010米）等山岭。油山海拔1073米，东行有穆公寨（海拔789米），南行有西厢寨（海拔965米）、琵琶寨（海拔938米），西行有梅岭、仙人岭（海拔756米）等山岭。南雄市地貌独特，按地势可分三个层次，高层形似驼峰，海拔多在1000米以上，约占山地总面积的6%；中层山峰连绵，海拔600米左右，约占山地总面积的24%；底层（山座）海拔200米—600米，约占山地总面积的30%；基座庞大，约占山地总面积的40%。南北山地均以40度以上倾角向盆地倾斜。东西向则倾斜平缓，倾角一般10°—20°。中部丘陵自东北向西南沿浈江两岸伸展，浈江斜贯其中，形成一狭长大盆地，地质学称之为“南雄盆地”。</w:t>
      </w:r>
    </w:p>
    <w:p w14:paraId="4FC6D564">
      <w:pPr>
        <w:pStyle w:val="4"/>
        <w:bidi w:val="0"/>
        <w:rPr>
          <w:rFonts w:hint="eastAsia"/>
          <w:lang w:val="zh-CN"/>
        </w:rPr>
      </w:pPr>
      <w:r>
        <w:rPr>
          <w:rFonts w:hint="eastAsia"/>
          <w:lang w:val="zh-CN"/>
        </w:rPr>
        <w:t>【气候水文】</w:t>
      </w:r>
    </w:p>
    <w:p w14:paraId="5FDFEBD2">
      <w:pPr>
        <w:bidi w:val="0"/>
        <w:rPr>
          <w:rFonts w:hint="eastAsia"/>
          <w:lang w:val="zh-CN"/>
        </w:rPr>
      </w:pPr>
      <w:r>
        <w:rPr>
          <w:rFonts w:hint="eastAsia"/>
          <w:lang w:val="zh-CN"/>
        </w:rPr>
        <w:t>南雄属中亚热带湿润型季风气候区，冬季盛行东北季风，夏季盛行西南和东南季风。四季特点为：春季阴雨连绵，秋季降水偏少，冬季寒冷，夏季偏热。2018年年平均气温为20.5℃，与常年平均气温相比偏高0.6℃。年极端最低气温-3.1℃，出现在2月6日，年极端最高气温37.6℃，出现在7月21日。年总降水量为1454.0毫米，与常年相比偏多44.1毫米，年最大日降雨量76.7毫米，出现在1月8日。年总日照时数为1671.3小时，较常年偏多48.8小时。1月7日，全市普降暴雨，平均降雨量73.9毫米，最大雨量出现在江头113.0毫米，这次强降水没有造成灾情。6月7日到9日，全市连续两天出现大范围大到暴雨、局部大暴雨降水过程。平均降雨量129.3毫米，最大雨量出现在江头217.7毫米。局地大暴雨强降水导致少数房屋倒塌、河堤冲毁、烟株受浸等，无人员伤亡。2018年气象灾情跟往年相比偏轻。</w:t>
      </w:r>
    </w:p>
    <w:p w14:paraId="3168A917">
      <w:pPr>
        <w:bidi w:val="0"/>
        <w:rPr>
          <w:rFonts w:hint="eastAsia"/>
          <w:lang w:val="zh-CN"/>
        </w:rPr>
      </w:pPr>
      <w:r>
        <w:rPr>
          <w:rFonts w:hint="eastAsia"/>
          <w:lang w:val="zh-CN"/>
        </w:rPr>
        <w:t>南雄市境内河道属珠江流域，主要河道有一级河浈江一条，总长103.05千米；二级河道凌江、南山水、瀑布水、新龙水、江头水、大坪水、大源水、邓坊水、下洞水、南亩水等10条，总长342.91千米。境内最大的河流为浈江，从孔江水库至古市镇小水流经境内，主要支流有凌江、南山水、瀑布水、新龙水、江头水、大坪水、大源水、邓坊水、下洞水、南亩水等。</w:t>
      </w:r>
    </w:p>
    <w:p w14:paraId="0C399EE1">
      <w:pPr>
        <w:pStyle w:val="4"/>
        <w:bidi w:val="0"/>
        <w:rPr>
          <w:rFonts w:hint="eastAsia"/>
          <w:lang w:val="zh-CN"/>
        </w:rPr>
      </w:pPr>
      <w:r>
        <w:rPr>
          <w:rFonts w:hint="eastAsia"/>
          <w:lang w:val="zh-CN"/>
        </w:rPr>
        <w:t>【人口】</w:t>
      </w:r>
    </w:p>
    <w:p w14:paraId="5CA06D01">
      <w:pPr>
        <w:bidi w:val="0"/>
        <w:rPr>
          <w:rFonts w:hint="eastAsia"/>
          <w:lang w:val="zh-CN"/>
        </w:rPr>
      </w:pPr>
      <w:r>
        <w:rPr>
          <w:rFonts w:hint="eastAsia"/>
          <w:lang w:val="zh-CN"/>
        </w:rPr>
        <w:t>2018年年末常住人口33.75万人，比上年增加0.21万人，增长0.62%。常住人口城镇化率48.18%，比上年提高0.92个百分点。全市户籍人口49.22万人，比上年增加0.17万人。全年出生人口6736人，人口出生率13.29‰；死亡人口3004人，人口死亡率5.9‰；人口自然增长率7.37‰。</w:t>
      </w:r>
    </w:p>
    <w:p w14:paraId="109D2D9E">
      <w:pPr>
        <w:pStyle w:val="4"/>
        <w:bidi w:val="0"/>
        <w:rPr>
          <w:rFonts w:hint="eastAsia"/>
          <w:lang w:val="zh-CN"/>
        </w:rPr>
      </w:pPr>
      <w:r>
        <w:rPr>
          <w:rFonts w:hint="eastAsia"/>
          <w:lang w:val="zh-CN"/>
        </w:rPr>
        <w:t>【民族·宗教】</w:t>
      </w:r>
    </w:p>
    <w:p w14:paraId="3EDA2369">
      <w:pPr>
        <w:bidi w:val="0"/>
        <w:rPr>
          <w:rFonts w:hint="eastAsia"/>
          <w:lang w:val="zh-CN"/>
        </w:rPr>
      </w:pPr>
      <w:r>
        <w:rPr>
          <w:rFonts w:hint="eastAsia"/>
          <w:lang w:val="zh-CN"/>
        </w:rPr>
        <w:t>南雄市以汉族为主，少数民族有畲族，姓氏为雷姓和蓝姓。全市除坪田镇以外的其余16个镇和街道都有少数民族村，分布在47个行政村，有1833户6575人，是全省三个较大的散居少数民族县（市）之一。全市现有佛教、道教、基督教、天主教4个宗教，登记在册宗教场所7个，包括佛教大雄禅寺、佛教莲开净寺、佛教万善庵、基督教福音堂、基督教荣恩堂、天主教天主堂、道教洞真古观。</w:t>
      </w:r>
    </w:p>
    <w:p w14:paraId="18F3D1B8">
      <w:pPr>
        <w:pStyle w:val="4"/>
        <w:bidi w:val="0"/>
        <w:rPr>
          <w:rFonts w:hint="eastAsia"/>
          <w:lang w:val="zh-CN"/>
        </w:rPr>
      </w:pPr>
      <w:r>
        <w:rPr>
          <w:rFonts w:hint="eastAsia"/>
          <w:lang w:val="zh-CN"/>
        </w:rPr>
        <w:t>【物产资源】</w:t>
      </w:r>
    </w:p>
    <w:p w14:paraId="29351860">
      <w:pPr>
        <w:bidi w:val="0"/>
        <w:rPr>
          <w:rFonts w:hint="eastAsia"/>
          <w:lang w:val="zh-CN"/>
        </w:rPr>
      </w:pPr>
      <w:r>
        <w:rPr>
          <w:rFonts w:hint="eastAsia"/>
          <w:lang w:val="zh-CN"/>
        </w:rPr>
        <w:t>主要资源有地热、矿产、森林、水力、药材等。全市现有耕地总面积4.34万公顷，林地面积15.9万公顷，活立木蓄积量874.24万立方米，森林覆盖率达65.28%；毛竹总面积达3.24万公顷，是广东省毛竹的主要产区之一；主要农作物有水稻、花生、大豆，是国家和广东省双料“产粮大县”“全国粮食流通监督检查示范县”，“金友有机米”“金友贡米”“金友美香粘”“金友油粘米”荣获省高新技术产品称号，“金友米露”2018年入选首批全国“一县一品”品牌农产品名录；主要经济作物黄烟、银杏、罗汉果等，黄烟作为南雄市支柱产业，有300余年种植历史，烟叶品质上乘，在国内外具有极高知名度，被国家烟草专卖局列入全国现代烟草农业整县推进单位，烟农发展近万户；主要特产板鸭、香菇、冬笋、金友米、腐竹等，南雄板鸭是国家地理标志保护产品；特色菜有鹅王、酸笋鸭、乡村鱼、酿豆腐；特色小吃牛干脯、饺哩糍、铜勺饼、香芋片等。</w:t>
      </w:r>
    </w:p>
    <w:p w14:paraId="1890437B">
      <w:pPr>
        <w:pStyle w:val="4"/>
        <w:bidi w:val="0"/>
        <w:rPr>
          <w:rFonts w:hint="eastAsia"/>
          <w:lang w:val="zh-CN"/>
        </w:rPr>
      </w:pPr>
      <w:r>
        <w:rPr>
          <w:rFonts w:hint="eastAsia"/>
          <w:lang w:val="zh-CN"/>
        </w:rPr>
        <w:t>【旅游情况】</w:t>
      </w:r>
    </w:p>
    <w:p w14:paraId="564217DA">
      <w:pPr>
        <w:bidi w:val="0"/>
        <w:rPr>
          <w:rFonts w:hint="eastAsia"/>
          <w:lang w:val="zh-CN"/>
        </w:rPr>
      </w:pPr>
      <w:r>
        <w:rPr>
          <w:rFonts w:hint="eastAsia"/>
          <w:lang w:val="zh-CN"/>
        </w:rPr>
        <w:t>南雄旅游名胜古迹众多，是一个集“四色”于一体的好地方（即古色、红色、绿色、金色）。“古色”指珠玑古巷、梅关古道、三影古塔、千年古村（乌迳镇新田村、水口镇篛过村、百顺镇黄屋村、南亩镇鱼鲜村、黄坑镇溪塘村、油山镇上朔村等省级古村落）、恐龙古迹等景点；“红色”指瑶坑广东省委机关旧址、水口战役纪念公园、油山游击战争旧址等景点；“绿色”指孔江国家湿地公园、帽子峰省级森林公园、小流坑—青嶂山省级自然保护区等景点；“金色”指油山千年银杏王、坪田古银杏群、帽子峰银杏染秋等景点。南雄获批广东省旅游创新发展十强县（市），是省全域旅游示范区，其中珠玑古巷·梅关古道荣获国家4A级旅游景区殊荣，梅关古道景区入选全国红色旅游经典景区名录，梅关古驿道保护利用项目荣获中国人居环境范例奖；帽子峰镇被认定为广东省森林小镇，帽子峰省级森林公园被评为国家3A级旅游景区，被誉为“广东小九寨沟”；主田镇、乌迳镇被评为广东省休闲农业与乡村旅游示范镇。此外，南雄市还成功举办五届姓氏文化旅游节，被授予“中国姓氏文化名都”称号，被推介为“全国9个最美银杏观赏地”之一。</w:t>
      </w:r>
    </w:p>
    <w:p w14:paraId="117A9DFF">
      <w:pPr>
        <w:pStyle w:val="3"/>
        <w:bidi w:val="0"/>
        <w:rPr>
          <w:rFonts w:hint="eastAsia"/>
          <w:lang w:val="zh-CN"/>
        </w:rPr>
      </w:pPr>
      <w:r>
        <w:rPr>
          <w:rFonts w:hint="eastAsia"/>
          <w:lang w:val="zh-CN"/>
        </w:rPr>
        <w:t>经济建设</w:t>
      </w:r>
    </w:p>
    <w:p w14:paraId="0FC2DB33">
      <w:pPr>
        <w:pStyle w:val="4"/>
        <w:bidi w:val="0"/>
        <w:rPr>
          <w:rFonts w:hint="eastAsia"/>
          <w:lang w:val="zh-CN"/>
        </w:rPr>
      </w:pPr>
      <w:r>
        <w:rPr>
          <w:rFonts w:hint="eastAsia"/>
          <w:lang w:val="zh-CN"/>
        </w:rPr>
        <w:t>【概况】</w:t>
      </w:r>
    </w:p>
    <w:p w14:paraId="2507C9F0">
      <w:pPr>
        <w:bidi w:val="0"/>
        <w:rPr>
          <w:rFonts w:hint="eastAsia"/>
          <w:lang w:val="zh-CN"/>
        </w:rPr>
      </w:pPr>
      <w:r>
        <w:rPr>
          <w:rFonts w:hint="eastAsia"/>
          <w:lang w:val="zh-CN"/>
        </w:rPr>
        <w:t>2018年，南雄市地区生产总值120.22亿元，比上年增长7.5%。其中：第一产业增加值27.93亿元，增长6.3%；第二产业增加值23.81亿元，增长9.0%（工业增加值15.67亿元，增长15.2%）；第三产业增加值68.48亿元，增长7.5%。人均地区生产总值35706元，增长6.7%。固定资产投资67.71亿元，增长8.2%。社会消费品零售总额60.27亿元，增长9.9%。外贸出口额44463万元，增长15.2%；实际利用外商直接投资566万元，下降82.5%。地方一般公共预算收入5.1亿元，下降16.7%。居民人均可支配收入2.17万元，增长7.7%。</w:t>
      </w:r>
    </w:p>
    <w:p w14:paraId="15413FE0">
      <w:pPr>
        <w:pStyle w:val="4"/>
        <w:bidi w:val="0"/>
        <w:rPr>
          <w:rFonts w:hint="eastAsia"/>
          <w:lang w:val="zh-CN"/>
        </w:rPr>
      </w:pPr>
      <w:r>
        <w:rPr>
          <w:rFonts w:hint="eastAsia"/>
          <w:lang w:val="zh-CN"/>
        </w:rPr>
        <w:t>【产业转型升级】</w:t>
      </w:r>
    </w:p>
    <w:p w14:paraId="1B495C13">
      <w:pPr>
        <w:bidi w:val="0"/>
        <w:rPr>
          <w:rFonts w:hint="eastAsia"/>
          <w:lang w:val="zh-CN"/>
        </w:rPr>
      </w:pPr>
      <w:r>
        <w:rPr>
          <w:rFonts w:hint="eastAsia"/>
          <w:lang w:val="zh-CN"/>
        </w:rPr>
        <w:t>完成农林牧渔增加值28.1亿元，增长6.3%。成功申报省级现代粮食产业示范区，“金友米露”入选首批全国“一县一品”品牌农产品名录。新增省市级龙头企业3家、农民专业合作社2家、家庭农场5家。成功举办“中国农民丰收节”暨生态农业博览会。基本完成农村土地承包经营权确权登记颁证工作，代表韶关市迎接广东省第三方验收获评优秀。实现规模以上工业增加值11.6亿元、增长23.4%。产业转移一期园区完成税收1.4亿元、增长10.6%，一期园区成功置换低效企业6家，新增高新技术企业5家，通过省高新技术产业开发区创建第一轮评估，中科院广化所新型特种精细化学品孵化平台完工即将投入使用，与中科院韩布兴院士签约成立衡光绿色高性能材料院士工作站；二期基础设施建设逐步完善，美瑞克微金属磁电项目建成试产。人才驿站揭牌成立，用于人才资源开发专项资金投入超过3000万元。落实并继续完善《南雄市扶持工业企业办法》，14家入选韶关倍增计划企业和36家高质量实体经济示范企业，全年工业增加值分别增长40%、30%。扎实推进质量强市工作，广东省精细化工知名品牌示范区创建稳步推进，省工业类名牌产品达到12个。以创建省全域旅游示范区为抓手，突出抓好“大珠玑”文化旅游圈建设，珠玑古巷改造提升稳步推进，南粤古驿道保护修复与活化利用完成年度计划，成功举办第五届姓氏文化旅游节、梅关古驿道梅花节，南亩鱼鲜村、油山上朔村、百顺黄屋城村入选第五批中国传统村落。入选广东省旅游综合竞争力“十强”，“银杏染秋”被评为省最具影响力旅游品牌，文旅产业逐渐成为第三产业龙头，带动全市实现旅游总收入35.6亿元、增长10.7%。入选2018年全国农村一二三产业融合发展先导区创建名单，丝苗米现代农业产业园项目列入第三批省级现代农业产业园建设名单，指挥官现代农业田园综合体产业园开工建设，乌迳镇荣获广东省休闲农业与乡村旅游示范镇称号。统筹推进电子商务、金融服务等产业融合，电子商务交易额达18.7亿元。</w:t>
      </w:r>
    </w:p>
    <w:p w14:paraId="19A831FE">
      <w:pPr>
        <w:pStyle w:val="4"/>
        <w:bidi w:val="0"/>
        <w:rPr>
          <w:rFonts w:hint="eastAsia"/>
          <w:lang w:val="zh-CN"/>
        </w:rPr>
      </w:pPr>
      <w:r>
        <w:rPr>
          <w:rFonts w:hint="eastAsia"/>
          <w:lang w:val="zh-CN"/>
        </w:rPr>
        <w:t>【城乡建设发展】</w:t>
      </w:r>
    </w:p>
    <w:p w14:paraId="27DF1626">
      <w:pPr>
        <w:bidi w:val="0"/>
        <w:rPr>
          <w:rFonts w:hint="eastAsia"/>
          <w:lang w:val="zh-CN"/>
        </w:rPr>
      </w:pPr>
      <w:r>
        <w:rPr>
          <w:rFonts w:hint="eastAsia"/>
          <w:lang w:val="zh-CN"/>
        </w:rPr>
        <w:t>2018年，南雄市申报创建省生态宜居美丽乡村示范县，20户以上自然村人居环境综合整治工作全面启动，68个省定贫困村生态宜居美丽乡村建设基本完工，完成省级新农村示范片建设，灵潭村入选2018年中国美丽休闲乡村名单。湖口镇张屋村成立“三变”改革股份合作社，培育乡村振兴新动能。统筹整合各类涉农资金1.5亿元，用于扶持村级集体经济发展、农村无线宽带覆盖等49个项目。中央电视台《焦点访谈》《直播中国》等栏目专题介绍南雄实施乡村振兴工作成效和经验做法。北城大道建成通车，三影塔广场完成整治提升，新汽车站奠基开工，雄州廊桥、城区浈江休闲栈道、“一江两岸”景观风貌提升工程和繁荣市场改造扎实推进，完成市政府至雄州公园等城区主要道路、小街小巷、城乡接合部美化亮化工程。珠玑文化小镇入选省特色小镇培育库名单。江头镇、珠玑镇被列为韶关市镇（街道）整治提升“139”行动试点镇，油山镇红色文化资源综合开发利用不断深入，乌迳、主田等镇现代农业、美丽乡村建设特色日益凸显，打造特色小镇基础更加坚实。扎实推进雄信高速公路前期工作，通用机场纳入省通用机场布局规划，省道S342线分水坳至雄州段路面改造和9条旅游公路加快推进，完成100千米农村公路硬底化，农村电网建设完成投资1.3亿元，新（改）建367间城乡文明公厕，完成21宗病险山塘除险加固和123千米中小河流治理，稳步推进农村供水和灌区节水改造工程，珠玑镇古田村试点项目成为广东省首个竣工验收的垦造水田项目。</w:t>
      </w:r>
    </w:p>
    <w:p w14:paraId="16DED169">
      <w:pPr>
        <w:pStyle w:val="4"/>
        <w:bidi w:val="0"/>
        <w:rPr>
          <w:rFonts w:hint="eastAsia"/>
          <w:lang w:val="zh-CN"/>
        </w:rPr>
      </w:pPr>
      <w:r>
        <w:rPr>
          <w:rFonts w:hint="eastAsia"/>
          <w:lang w:val="zh-CN"/>
        </w:rPr>
        <w:t>【民生福祉改善】</w:t>
      </w:r>
    </w:p>
    <w:p w14:paraId="5221BF3E">
      <w:pPr>
        <w:bidi w:val="0"/>
        <w:rPr>
          <w:rFonts w:hint="eastAsia"/>
          <w:lang w:val="zh-CN"/>
        </w:rPr>
      </w:pPr>
      <w:r>
        <w:rPr>
          <w:rFonts w:hint="eastAsia"/>
          <w:lang w:val="zh-CN"/>
        </w:rPr>
        <w:t>南雄市2018年民生支出30.8亿元，增长21.3%，占一般公共预算支出的82.5%。城镇、农村居民人均可支配收入分别达2.8万元、1.5万元，分别增长10.5%、11%。城镇登记失业率控制在3.5%以内。南雄荣获“省推进教育现代化先进市”称号，市第三小学、机关幼儿园总园、财贸幼儿园八一路校区、古市镇中心幼儿园新校园等建成投入使用，稳步推进乌迳镇第二小学建设。组建南雄市人民医院医共体和中医院妇计院医共体，人民医院省级远程医疗会诊平台开通上线，完成市第二人民医院主体工程建设，推进中医院妇计院医共体、人民医院住院综合楼项目建设，完成81间公建民营村卫生站建设。实现全市行政村（社区）基层综合性文化服务中心全覆盖。完成市体育馆和羽毛球馆升级改造，成功承办广东省第九届老年人体育健身大会。全面加强社会治理，实行在管严重精神障碍患者门诊检查治疗全免费，荣获2017年度“广东省严重精神障碍管理治疗工作优秀（县）区”称号。精准脱贫成效显著，完成1112户农村危旧房改造，广东省抓党建促脱贫攻坚工作现场会在南雄召开。</w:t>
      </w:r>
    </w:p>
    <w:p w14:paraId="752621D5">
      <w:pPr>
        <w:pStyle w:val="3"/>
        <w:bidi w:val="0"/>
        <w:rPr>
          <w:rFonts w:hint="eastAsia"/>
          <w:lang w:val="zh-CN"/>
        </w:rPr>
      </w:pPr>
      <w:r>
        <w:rPr>
          <w:rFonts w:hint="eastAsia"/>
          <w:lang w:val="zh-CN"/>
        </w:rPr>
        <w:t>政治建设</w:t>
      </w:r>
    </w:p>
    <w:p w14:paraId="49384ECF">
      <w:pPr>
        <w:pStyle w:val="4"/>
        <w:bidi w:val="0"/>
        <w:rPr>
          <w:rFonts w:hint="eastAsia"/>
          <w:lang w:val="zh-CN"/>
        </w:rPr>
      </w:pPr>
      <w:r>
        <w:rPr>
          <w:rFonts w:hint="eastAsia"/>
          <w:lang w:val="zh-CN"/>
        </w:rPr>
        <w:t>【依法治市】</w:t>
      </w:r>
    </w:p>
    <w:p w14:paraId="463B76DB">
      <w:pPr>
        <w:bidi w:val="0"/>
        <w:rPr>
          <w:rFonts w:hint="eastAsia"/>
          <w:lang w:val="zh-CN"/>
        </w:rPr>
      </w:pPr>
      <w:r>
        <w:rPr>
          <w:rFonts w:hint="eastAsia"/>
          <w:b/>
          <w:bCs/>
          <w:lang w:val="zh-CN"/>
        </w:rPr>
        <w:t>加快法治政府建设</w:t>
      </w:r>
      <w:r>
        <w:rPr>
          <w:rFonts w:hint="eastAsia"/>
          <w:b/>
          <w:bCs/>
          <w:lang w:val="en-US" w:eastAsia="zh-CN"/>
        </w:rPr>
        <w:t xml:space="preserve"> </w:t>
      </w:r>
      <w:r>
        <w:rPr>
          <w:rFonts w:hint="eastAsia"/>
          <w:lang w:val="en-US" w:eastAsia="zh-CN"/>
        </w:rPr>
        <w:t xml:space="preserve">  </w:t>
      </w:r>
      <w:r>
        <w:rPr>
          <w:rFonts w:hint="eastAsia"/>
          <w:lang w:val="zh-CN"/>
        </w:rPr>
        <w:t>2018年，南雄市全面推行行政执法公示、执法全过程记录、重大执法决定法制审核“三项制度”，提高行政执法程序意识，推进依法行政，加快法治政府建设。加大行政复议工作力度，2018年，收到行政复议案件申请11宗，其中6宗按期审结，5宗正在审理。进一步完善政务公开工作机制，提升政府信息透明度和政府公信力。完善政府法律顾问制度和公职律师公司律师制度，坚持合法性审查原则，建立重大行政决策目录机制。6月印发《南雄市政府法律顾问管理办法》《关于进一步发挥法律顾问作用的通知》等文件，进一步完善法律顾问工作机制，加强政府法律顾问管理，充分发挥法律顾问和公职律师作用，共同推动法治南雄建设。</w:t>
      </w:r>
    </w:p>
    <w:p w14:paraId="4E2869F2">
      <w:pPr>
        <w:bidi w:val="0"/>
        <w:rPr>
          <w:rFonts w:hint="eastAsia"/>
          <w:lang w:val="zh-CN"/>
        </w:rPr>
      </w:pPr>
      <w:r>
        <w:rPr>
          <w:rFonts w:hint="eastAsia"/>
          <w:b/>
          <w:bCs/>
          <w:lang w:val="zh-CN"/>
        </w:rPr>
        <w:t>法治建设“四级同创”</w:t>
      </w:r>
      <w:r>
        <w:rPr>
          <w:rFonts w:hint="eastAsia"/>
          <w:b/>
          <w:bCs/>
          <w:lang w:val="en-US" w:eastAsia="zh-CN"/>
        </w:rPr>
        <w:t xml:space="preserve">   </w:t>
      </w:r>
      <w:r>
        <w:rPr>
          <w:rFonts w:hint="eastAsia"/>
          <w:lang w:val="zh-CN"/>
        </w:rPr>
        <w:t>工作达标南雄市继续开展法治镇（街）创建“回头看”活动，查漏补缺，进一步巩固“四级同创”创建成果，有力推进南雄法治建设进程。通过开展法治建设“四级同创”活动，提高全市政治、经济、文化等各个领域的法治化水平，促进社会公平正义，维护社会稳定，为南雄的社会经济全面协调可持续发展营造良好法治环境。</w:t>
      </w:r>
    </w:p>
    <w:p w14:paraId="22E250D8">
      <w:pPr>
        <w:bidi w:val="0"/>
        <w:rPr>
          <w:rFonts w:hint="eastAsia"/>
          <w:lang w:val="zh-CN"/>
        </w:rPr>
      </w:pPr>
      <w:r>
        <w:rPr>
          <w:rFonts w:hint="eastAsia"/>
          <w:b/>
          <w:bCs/>
          <w:lang w:val="zh-CN"/>
        </w:rPr>
        <w:t>提升防范化解管控风险能力</w:t>
      </w:r>
      <w:r>
        <w:rPr>
          <w:rFonts w:hint="eastAsia"/>
          <w:b/>
          <w:bCs/>
          <w:lang w:val="en-US" w:eastAsia="zh-CN"/>
        </w:rPr>
        <w:t xml:space="preserve">   </w:t>
      </w:r>
      <w:r>
        <w:rPr>
          <w:rFonts w:hint="eastAsia"/>
          <w:lang w:val="zh-CN"/>
        </w:rPr>
        <w:t>南雄市完善矛盾纠纷多元化解机制，形成矛盾排查工作制度、情报信息研判工作制度、劝返稳控工作制度、值班备勤工作制度、平安零报告制度、信访维稳工作应急方案等一系列制度，加强社会风险矛盾排查研判，健全矛盾纠纷三级台账。2018年是“社会矛盾大化解年”，南雄市坚持治标与治本相结合，最大限度减少矛盾纠纷存量、遏制增量。深入开展社会矛盾大排查、大化解工作，重点对涉农、涉土、涉众型金融、环保“邻避”、劳资纠纷、房地产山林纠纷、涉部队“停偿”纠纷和部分军退人员、部分原民办代课教师、部分道路运输从业人员、部分水库移民群体利益诉求等12类矛盾纠纷进行排查化解，维护社会稳定。全市各级人民调解组织调处矛盾纠纷1262件，调处成功1247件，矛盾化解率98.8%；排查纠纷2421次，预防纠纷1414件；防止“民转刑”4件涉及8人；防止群体性上访12件涉及91人；防止群体性械斗1件涉及3人。</w:t>
      </w:r>
    </w:p>
    <w:p w14:paraId="5669E2DC">
      <w:pPr>
        <w:bidi w:val="0"/>
        <w:rPr>
          <w:rFonts w:hint="eastAsia"/>
          <w:lang w:val="zh-CN"/>
        </w:rPr>
      </w:pPr>
      <w:r>
        <w:rPr>
          <w:rFonts w:hint="eastAsia"/>
          <w:b/>
          <w:bCs/>
          <w:lang w:val="zh-CN"/>
        </w:rPr>
        <w:t>加强和创新基层社会治理</w:t>
      </w:r>
      <w:r>
        <w:rPr>
          <w:rFonts w:hint="eastAsia"/>
          <w:b/>
          <w:bCs/>
          <w:lang w:val="en-US" w:eastAsia="zh-CN"/>
        </w:rPr>
        <w:t xml:space="preserve">   </w:t>
      </w:r>
      <w:r>
        <w:rPr>
          <w:rFonts w:hint="eastAsia"/>
          <w:lang w:val="zh-CN"/>
        </w:rPr>
        <w:t>完成综治视联网系统1个市（县）级点位、18个镇（街道）点位和23个村级点位建设，实现市、镇两级全覆盖，实现每个村（居）至少2部综治E通手机。综治信息平台完成纵向到镇到村、横向到成员单位全覆盖，“中心+网格化+信息化”工作模式初步建成。2018年，录入系统的网格事件（矛盾纠纷、安全隐患、违法犯罪）达1.19万宗，其中基层网格员成功化解矛盾纠纷达1236宗，将大部分矛盾纠纷化解在村居一级，减轻维稳压力。为深入贯彻落实打造新时代广东“枫桥经验”要求，提升基层社会治理水平，南雄市以黄坑镇为试点，开展“平安祥和新黄坑”创建活动，打造“新时代枫桥经验”。</w:t>
      </w:r>
    </w:p>
    <w:p w14:paraId="31630584">
      <w:pPr>
        <w:bidi w:val="0"/>
        <w:rPr>
          <w:rFonts w:hint="eastAsia"/>
          <w:lang w:val="zh-CN"/>
        </w:rPr>
      </w:pPr>
      <w:r>
        <w:rPr>
          <w:rFonts w:hint="eastAsia"/>
          <w:b/>
          <w:bCs/>
          <w:lang w:val="zh-CN"/>
        </w:rPr>
        <w:t>开展平安创建工作</w:t>
      </w:r>
      <w:r>
        <w:rPr>
          <w:rFonts w:hint="eastAsia"/>
          <w:b/>
          <w:bCs/>
          <w:lang w:val="en-US" w:eastAsia="zh-CN"/>
        </w:rPr>
        <w:t xml:space="preserve">   </w:t>
      </w:r>
      <w:r>
        <w:rPr>
          <w:rFonts w:hint="eastAsia"/>
          <w:lang w:val="zh-CN"/>
        </w:rPr>
        <w:t>深入开展“无邪教社区”“无毒社区”“平安社区”“平安南雄”创建工作，人民群众安全感满意度达到95%。通过以维护社会治安稳定为重点，严厉打击抢劫、抢夺、入室盗窃、盗窃机动车和危及人民群众生命安全各类犯罪，重点打击黑恶势力犯罪团伙。开展禁毒工作，严厉打击毒品违法犯罪，有效遏制吸贩毒违法犯罪活动。严惩娱乐场所赌博违法活动，依法打击“六合彩”赌博。查处刑事和治安案件一批，全年受理和查处治安案件794起，查结261起，查结率32%，查处违法人员394人次。</w:t>
      </w:r>
    </w:p>
    <w:p w14:paraId="4D84B238">
      <w:pPr>
        <w:pStyle w:val="4"/>
        <w:bidi w:val="0"/>
        <w:rPr>
          <w:rFonts w:hint="eastAsia"/>
          <w:lang w:val="zh-CN"/>
        </w:rPr>
      </w:pPr>
      <w:r>
        <w:rPr>
          <w:rFonts w:hint="eastAsia"/>
          <w:lang w:val="zh-CN"/>
        </w:rPr>
        <w:t>【依法行政】</w:t>
      </w:r>
    </w:p>
    <w:p w14:paraId="13990B14">
      <w:pPr>
        <w:bidi w:val="0"/>
        <w:rPr>
          <w:rFonts w:hint="eastAsia"/>
          <w:lang w:val="zh-CN"/>
        </w:rPr>
      </w:pPr>
      <w:r>
        <w:rPr>
          <w:rFonts w:hint="eastAsia"/>
          <w:b/>
          <w:bCs/>
          <w:lang w:val="zh-CN"/>
        </w:rPr>
        <w:t>全面履行政府职能</w:t>
      </w:r>
      <w:r>
        <w:rPr>
          <w:rFonts w:hint="eastAsia"/>
          <w:b/>
          <w:bCs/>
          <w:lang w:val="en-US" w:eastAsia="zh-CN"/>
        </w:rPr>
        <w:t xml:space="preserve">   </w:t>
      </w:r>
      <w:r>
        <w:rPr>
          <w:rFonts w:hint="eastAsia"/>
          <w:lang w:val="zh-CN"/>
        </w:rPr>
        <w:t>深化行政审批制度改革，加大简政放权力度。印发《南雄市人民政府部门权责清单（2018年版）》，含38个部门各类职权事项6533项，其中行政许可255项，行政处罚3748项，行政强制265项，行政征收19项，行政给付37项，行政检查491项，行政确认94项，行政奖励30项，行政裁决7项，其他1587项。对全市各市直部门有关职权事项作出调整，涉及各类职权事项212项，其中取消190项，承接上级下放事项9项，转移5项，新增8项。推行村级小微权力清单制度。印发《关于推行村级小微权力清单制度的实施意见》，厘清村级干部权力边界，明确村级干部在村级管理事务和便民服务事项中的权限。明确村级组织和村“两委”干部职责权限，强化对村级事务经办过程监管控制，通过科学确权、规范用权、严格控权，加强农村基层党风廉政建设，规范和保障村级组织及干部权力运行，推进乡村治理体系和治理能力现代化。推进行政许可事项标准化建设。印发《南雄市行政许可事项目录（2018年版）》，市直各单位及时做好公开工作，严格按照《目录（2018年版）》规范行使行政许可职权，并按照行政审批标准化工作要求及时更新完善办事指南和业务手册；结合网上办事大厅和实体大厅建设做好衔接工作。对取消事项，一律不得实施，也不得以其他方式变相实施；对上级下放事项，切实做好衔接，确保“放得下、接得住、管得好”，加强事中事后监管，防止出现监管真空。开展证明事项清理工作。南雄市清理取消证明事项8项，市政府部门取消自行设定证明事项3项，镇级政府取消自行设定证明事项4项。</w:t>
      </w:r>
    </w:p>
    <w:p w14:paraId="6DAA358F">
      <w:pPr>
        <w:bidi w:val="0"/>
        <w:rPr>
          <w:rFonts w:hint="eastAsia"/>
          <w:lang w:val="zh-CN"/>
        </w:rPr>
      </w:pPr>
      <w:r>
        <w:rPr>
          <w:rFonts w:hint="eastAsia"/>
          <w:b/>
          <w:bCs/>
          <w:lang w:val="zh-CN"/>
        </w:rPr>
        <w:t>推进政务服务改革</w:t>
      </w:r>
      <w:r>
        <w:rPr>
          <w:rFonts w:hint="eastAsia"/>
          <w:b/>
          <w:bCs/>
          <w:lang w:val="en-US" w:eastAsia="zh-CN"/>
        </w:rPr>
        <w:t xml:space="preserve">   </w:t>
      </w:r>
      <w:r>
        <w:rPr>
          <w:rFonts w:hint="eastAsia"/>
          <w:lang w:val="zh-CN"/>
        </w:rPr>
        <w:t>开展“一门式一网式”政务服务改革，完成全市31个科局604项许可和服务事项标准化建设，细化规范网上政务服务事项办事指南，确保办事指南相关要素内容准确，并与线下保持一致。并按照“一网式”要求增加审批材料审核要点和样本范例，使办理人员和办事群众一看就明白，一来就会用，提高办事效率。创新窗口设置，变传统专窗办理为综合窗口模式。创新人员机制，市招聘综合窗口工作人员16名，经培训考核合格上岗，由市行政服务中心统一管理，实行AB岗管理模式，确保每个窗口上班期间有工作人员。创新窗口服务，制定窗口实施细则（试行），严格实行“前台受理、后台分类审批、统一窗口出件”服务模式，实现“一窗受理、受审分离”。大厅实行统一叫号，网上预约，提升大厅服务功能。同时开展“一门式一网式”系统应用操作培训，完成市直各单位科局事项的审批流程配置。</w:t>
      </w:r>
    </w:p>
    <w:p w14:paraId="6B3D8E6A">
      <w:pPr>
        <w:bidi w:val="0"/>
        <w:rPr>
          <w:rFonts w:hint="eastAsia"/>
          <w:lang w:val="zh-CN"/>
        </w:rPr>
      </w:pPr>
      <w:r>
        <w:rPr>
          <w:rFonts w:hint="eastAsia"/>
          <w:b/>
          <w:bCs/>
          <w:lang w:val="zh-CN"/>
        </w:rPr>
        <w:t>推进商事制度改革</w:t>
      </w:r>
      <w:r>
        <w:rPr>
          <w:rFonts w:hint="eastAsia"/>
          <w:b/>
          <w:bCs/>
          <w:lang w:val="en-US" w:eastAsia="zh-CN"/>
        </w:rPr>
        <w:t xml:space="preserve">   </w:t>
      </w:r>
      <w:r>
        <w:rPr>
          <w:rFonts w:hint="eastAsia"/>
          <w:lang w:val="zh-CN"/>
        </w:rPr>
        <w:t>继续实施“多证合一、一证一码”登记制度和个体工商户“两证整合”改革，简化企业登记注册审批程序，全面落实“马上办”“审核合一”提速措施，进一步激发市场主体活力。2018年1-11月，全市新发展各类企业359户，与上年对比增加18.19%；农民专业合作社89户，增加13.95%；个体工商户2253户，增加19.75%。颁发“多证合一”“一照一码”营业执照2924份，颁发个体工商户“两证整合”营业执照8787份。</w:t>
      </w:r>
    </w:p>
    <w:p w14:paraId="23FB9B8A">
      <w:pPr>
        <w:bidi w:val="0"/>
        <w:rPr>
          <w:rFonts w:hint="eastAsia"/>
          <w:lang w:val="zh-CN"/>
        </w:rPr>
      </w:pPr>
      <w:r>
        <w:rPr>
          <w:rFonts w:hint="eastAsia"/>
          <w:b/>
          <w:bCs/>
          <w:lang w:val="zh-CN"/>
        </w:rPr>
        <w:t>加强规范性文件管理</w:t>
      </w:r>
      <w:r>
        <w:rPr>
          <w:rFonts w:hint="eastAsia"/>
          <w:b/>
          <w:bCs/>
          <w:lang w:val="en-US" w:eastAsia="zh-CN"/>
        </w:rPr>
        <w:t xml:space="preserve">   </w:t>
      </w:r>
      <w:r>
        <w:rPr>
          <w:rFonts w:hint="eastAsia"/>
          <w:lang w:val="zh-CN"/>
        </w:rPr>
        <w:t>清理规范性文件36件、部门规范性文件1件。其中，保留规范性文件25件；拟废止规范性文件9件；拟修改规范性文件3件（含部门规范性文件1件）。清理结果向社会发文公布，接受监督。</w:t>
      </w:r>
    </w:p>
    <w:p w14:paraId="2094CEAE">
      <w:pPr>
        <w:bidi w:val="0"/>
        <w:rPr>
          <w:rFonts w:hint="eastAsia"/>
          <w:lang w:val="zh-CN"/>
        </w:rPr>
      </w:pPr>
      <w:r>
        <w:rPr>
          <w:rFonts w:hint="eastAsia"/>
          <w:b/>
          <w:bCs/>
          <w:lang w:val="zh-CN"/>
        </w:rPr>
        <w:t>接受监督依法行政</w:t>
      </w:r>
      <w:r>
        <w:rPr>
          <w:rFonts w:hint="eastAsia"/>
          <w:b/>
          <w:bCs/>
          <w:lang w:val="en-US" w:eastAsia="zh-CN"/>
        </w:rPr>
        <w:t xml:space="preserve">   </w:t>
      </w:r>
      <w:r>
        <w:rPr>
          <w:rFonts w:hint="eastAsia"/>
          <w:lang w:val="zh-CN"/>
        </w:rPr>
        <w:t>接受市人大、市政协和社会各界的监督，认真办理人大代表议案、建议和政协委员提案、来信116件，办复率100%、满意率100%。强化审计监督，完成审计项目17个，挽回经济损失138.8万元。</w:t>
      </w:r>
    </w:p>
    <w:p w14:paraId="280BF80E">
      <w:pPr>
        <w:bidi w:val="0"/>
        <w:rPr>
          <w:rFonts w:hint="eastAsia"/>
          <w:lang w:val="zh-CN"/>
        </w:rPr>
      </w:pPr>
      <w:r>
        <w:rPr>
          <w:rFonts w:hint="eastAsia"/>
          <w:b/>
          <w:bCs/>
          <w:lang w:val="zh-CN"/>
        </w:rPr>
        <w:t>加强行政执法监管</w:t>
      </w:r>
      <w:r>
        <w:rPr>
          <w:rFonts w:hint="eastAsia"/>
          <w:b/>
          <w:bCs/>
          <w:lang w:val="en-US" w:eastAsia="zh-CN"/>
        </w:rPr>
        <w:t xml:space="preserve">   </w:t>
      </w:r>
      <w:r>
        <w:rPr>
          <w:rFonts w:hint="eastAsia"/>
          <w:lang w:val="zh-CN"/>
        </w:rPr>
        <w:t>2018年，南雄市行政复议案件申请10宗，4宗正在审理，6宗按期审结。其中维持行政机关具体行政行为的3宗，因申请人撤回申请而终止审查1宗，因不符合行政复议法规定而不予受理2宗。</w:t>
      </w:r>
    </w:p>
    <w:p w14:paraId="6320297E">
      <w:pPr>
        <w:pStyle w:val="4"/>
        <w:bidi w:val="0"/>
        <w:rPr>
          <w:rFonts w:hint="eastAsia"/>
          <w:lang w:val="zh-CN"/>
        </w:rPr>
      </w:pPr>
      <w:r>
        <w:rPr>
          <w:rFonts w:hint="eastAsia"/>
          <w:lang w:val="zh-CN"/>
        </w:rPr>
        <w:t>【政务公开】</w:t>
      </w:r>
    </w:p>
    <w:p w14:paraId="76AAB18B">
      <w:pPr>
        <w:bidi w:val="0"/>
        <w:rPr>
          <w:rFonts w:hint="eastAsia"/>
          <w:lang w:val="zh-CN"/>
        </w:rPr>
      </w:pPr>
      <w:r>
        <w:rPr>
          <w:rFonts w:hint="eastAsia"/>
          <w:b/>
          <w:bCs/>
          <w:lang w:val="zh-CN"/>
        </w:rPr>
        <w:t>抓好公开载体和平台建设</w:t>
      </w:r>
      <w:r>
        <w:rPr>
          <w:rFonts w:hint="eastAsia"/>
          <w:b/>
          <w:bCs/>
          <w:lang w:val="en-US" w:eastAsia="zh-CN"/>
        </w:rPr>
        <w:t xml:space="preserve">   </w:t>
      </w:r>
      <w:r>
        <w:rPr>
          <w:rFonts w:hint="eastAsia"/>
          <w:lang w:val="zh-CN"/>
        </w:rPr>
        <w:t>全面升级改造政府门户网站，不断增强发布信息、解读政策、回应关切、引导舆论的功能，充分发挥政府门户网站公开政府信息的主渠道作用，全年公开政府信息4100余条。结合广东省、韶关市重点工作开设相应栏目，对政府信息公开重点领域相关信息进行集中展示，便于公众查询。同时深入开展政府网站日常检测和绩效评估工作。强化主动公开。全年印发《政府工作》9期，刊登政府公报、市情资料等20余篇，纸质文本向各镇（街道）、市直单位及主要企事业单位免费赠阅。发挥各类信息公开平台作用。充分利用部门网站、政务微博、政务微信等多种形式公开政府信息，2018年，微博公布信息243条，微信公布信息662条，微信订阅数达6900余人，满足群众知情权。</w:t>
      </w:r>
    </w:p>
    <w:p w14:paraId="24B44691">
      <w:pPr>
        <w:bidi w:val="0"/>
        <w:rPr>
          <w:rFonts w:hint="eastAsia"/>
          <w:lang w:val="zh-CN"/>
        </w:rPr>
      </w:pPr>
      <w:r>
        <w:rPr>
          <w:rFonts w:hint="eastAsia"/>
          <w:b/>
          <w:bCs/>
          <w:lang w:val="zh-CN"/>
        </w:rPr>
        <w:t>政务及时主动公开</w:t>
      </w:r>
      <w:r>
        <w:rPr>
          <w:rFonts w:hint="eastAsia"/>
          <w:b/>
          <w:bCs/>
          <w:lang w:val="en-US" w:eastAsia="zh-CN"/>
        </w:rPr>
        <w:t xml:space="preserve">   </w:t>
      </w:r>
      <w:r>
        <w:rPr>
          <w:rFonts w:hint="eastAsia"/>
          <w:lang w:val="zh-CN"/>
        </w:rPr>
        <w:t>全市各单位各部门主动公开政府信息1万条。其中，制发规范性文件总数654条，政府公报发布政府信息46条，通过政府网站公开政府信息4154条，政务微博公开政府信息243条，政务微信公开政府信息662条，其他方式公开政府信息770条。 </w:t>
      </w:r>
    </w:p>
    <w:p w14:paraId="06BE964D">
      <w:pPr>
        <w:bidi w:val="0"/>
        <w:rPr>
          <w:rFonts w:hint="eastAsia"/>
          <w:lang w:val="zh-CN"/>
        </w:rPr>
      </w:pPr>
      <w:r>
        <w:rPr>
          <w:rFonts w:hint="eastAsia"/>
          <w:lang w:val="zh-CN"/>
        </w:rPr>
        <w:t>依法申请公开政府信息受理情况2018年收到政府信息公开申请11宗。其中，网络申请9宗，占总数81%；当面申请1宗，占总数19%。在11宗政府信息公开申请中，已经全部答复办结，“同意公开”的10宗，“不同意公开”的1宗。</w:t>
      </w:r>
    </w:p>
    <w:p w14:paraId="7A8FC4E3">
      <w:pPr>
        <w:pStyle w:val="3"/>
        <w:bidi w:val="0"/>
        <w:rPr>
          <w:rFonts w:hint="eastAsia"/>
          <w:lang w:val="zh-CN"/>
        </w:rPr>
      </w:pPr>
      <w:r>
        <w:rPr>
          <w:rFonts w:hint="eastAsia"/>
          <w:lang w:val="zh-CN"/>
        </w:rPr>
        <w:t>精神文明建设</w:t>
      </w:r>
    </w:p>
    <w:p w14:paraId="6E28ACA0">
      <w:pPr>
        <w:pStyle w:val="4"/>
        <w:bidi w:val="0"/>
        <w:rPr>
          <w:rFonts w:hint="eastAsia"/>
          <w:lang w:val="zh-CN"/>
        </w:rPr>
      </w:pPr>
      <w:r>
        <w:rPr>
          <w:rFonts w:hint="eastAsia"/>
          <w:lang w:val="zh-CN"/>
        </w:rPr>
        <w:t>【新时代文明实践活动】</w:t>
      </w:r>
    </w:p>
    <w:p w14:paraId="6A502BD5">
      <w:pPr>
        <w:bidi w:val="0"/>
        <w:rPr>
          <w:rFonts w:hint="eastAsia"/>
          <w:lang w:val="zh-CN"/>
        </w:rPr>
      </w:pPr>
      <w:r>
        <w:rPr>
          <w:rFonts w:hint="eastAsia"/>
          <w:lang w:val="zh-CN"/>
        </w:rPr>
        <w:t>南雄市建成首批新时代文明实践中心、所、站58个，其中新时代文明实践中心设在珠玑巷广府人家训馆；18个乡镇（街道）分别建立1个文明实践所和1个文明实践站；已评或正在创建省级、市级文明实践所的相关单位建立新时代文明实践所20个。各镇（街道）、相关单位制定活动方案和实践活动计划，建立由道德模范、身边好人、工作能手等组成的实践队伍，制定统一标识，做到工作内容、工作守则、管理制度上墙公示公开，按照计划开展文明实践宣讲活动，将新时代文明实践中心、所、站打造成为传播新时代文明主阵地。2018年开展活动78次，教育服务群众2300多人。</w:t>
      </w:r>
    </w:p>
    <w:p w14:paraId="415DE207">
      <w:pPr>
        <w:bidi w:val="0"/>
        <w:rPr>
          <w:rFonts w:hint="eastAsia"/>
          <w:lang w:val="zh-CN"/>
        </w:rPr>
      </w:pPr>
      <w:r>
        <w:rPr>
          <w:rFonts w:hint="eastAsia"/>
          <w:b/>
          <w:bCs/>
          <w:lang w:val="zh-CN"/>
        </w:rPr>
        <w:t>打造广府人家训馆</w:t>
      </w:r>
      <w:r>
        <w:rPr>
          <w:rFonts w:hint="eastAsia"/>
          <w:b/>
          <w:bCs/>
          <w:lang w:val="en-US" w:eastAsia="zh-CN"/>
        </w:rPr>
        <w:t xml:space="preserve">   </w:t>
      </w:r>
      <w:r>
        <w:rPr>
          <w:rFonts w:hint="eastAsia"/>
          <w:lang w:val="zh-CN"/>
        </w:rPr>
        <w:t>为培育和践行社会主义核心价值观，推动全社会注重家庭、家教、家风，南雄市投入600多万元建设广府人家训馆，于10月9日揭牌开馆。家训馆有家风家训、姓氏典故、广府精英和好家风长廊4个方面的内容，馆内通过展板和多媒体形式，展示珠玑巷183个姓氏的姓氏源流、迁徙历史、家风家训和姓氏典故，并且对具有代表性的广府精英进行详细介绍，展示部分全国和省市道德模范先进感人事迹。家训馆通过展现“诚信、孝道、和睦、实干”等优秀的家风家训，以“春风化雨润无声”般的教育，给广大市民群众带来情感的滋养和道德的熏陶。</w:t>
      </w:r>
    </w:p>
    <w:p w14:paraId="39B982B6">
      <w:pPr>
        <w:bidi w:val="0"/>
        <w:rPr>
          <w:rFonts w:hint="eastAsia"/>
          <w:lang w:val="zh-CN"/>
        </w:rPr>
      </w:pPr>
      <w:r>
        <w:rPr>
          <w:rFonts w:hint="eastAsia"/>
          <w:b/>
          <w:bCs/>
          <w:lang w:val="zh-CN"/>
        </w:rPr>
        <w:t>组织“家风家训”主题活动</w:t>
      </w:r>
      <w:r>
        <w:rPr>
          <w:rFonts w:hint="eastAsia"/>
          <w:b/>
          <w:bCs/>
          <w:lang w:val="en-US" w:eastAsia="zh-CN"/>
        </w:rPr>
        <w:t xml:space="preserve">   </w:t>
      </w:r>
      <w:r>
        <w:rPr>
          <w:rFonts w:hint="eastAsia"/>
          <w:lang w:val="zh-CN"/>
        </w:rPr>
        <w:t>启动广州会馆“姓氏名都风雅颂——百家姓氏、百姓民俗”和珠玑巷广府人“家风家训讲堂”等文化惠民活动，通过身边人讲身边事、身边事教身边人，让道德理念、社会主义核心价值观等正能量润物细无声般深入民心，截至2018年，举办各类活动600多场。同时通过举办“家风家训千人书法大赛”等主题系列活动，引导市民严谨“家教”，严格“家规”，形成优良“家风”。</w:t>
      </w:r>
    </w:p>
    <w:p w14:paraId="18D5ECCE">
      <w:pPr>
        <w:pStyle w:val="4"/>
        <w:bidi w:val="0"/>
        <w:rPr>
          <w:rFonts w:hint="eastAsia"/>
          <w:lang w:val="zh-CN"/>
        </w:rPr>
      </w:pPr>
      <w:r>
        <w:rPr>
          <w:rFonts w:hint="eastAsia"/>
          <w:lang w:val="zh-CN"/>
        </w:rPr>
        <w:t>【乡风文明建设】</w:t>
      </w:r>
    </w:p>
    <w:p w14:paraId="451BAE84">
      <w:pPr>
        <w:bidi w:val="0"/>
        <w:rPr>
          <w:rFonts w:hint="eastAsia"/>
          <w:lang w:val="zh-CN"/>
        </w:rPr>
      </w:pPr>
      <w:r>
        <w:rPr>
          <w:rFonts w:hint="eastAsia"/>
          <w:lang w:val="zh-CN"/>
        </w:rPr>
        <w:t>制定《南雄市乡风文明提升行动实施方案》，全面铺开村规民约修订完善工作，以珠玑镇灵潭村和角湾村为试点，对操作性不强或未按规定程序制订的村规民约予以清理，编撰“十要十不要”和“十倡导十严禁”村规民约。在村委会及村小组公示栏设置“红黑榜”，对村民执行村规民约情况予以公示。部分村（社区）由党群理事会牵头，成立红白理事会，负责指导监督本村（社区）婚丧喜庆事宜，带动树立喜事新办、丧事简办的文明新风。以珠玑镇角湾村为试点，成立村级志愿服务队，定期组织本村党员干部和志愿者常态化开展治安巡逻、村内公共事务管理和关爱留守儿童、空巢老人等志愿服务活动。</w:t>
      </w:r>
    </w:p>
    <w:p w14:paraId="43ECD21C">
      <w:pPr>
        <w:pStyle w:val="4"/>
        <w:bidi w:val="0"/>
        <w:rPr>
          <w:rFonts w:hint="eastAsia"/>
          <w:lang w:val="zh-CN"/>
        </w:rPr>
      </w:pPr>
      <w:r>
        <w:rPr>
          <w:rFonts w:hint="eastAsia"/>
          <w:lang w:val="zh-CN"/>
        </w:rPr>
        <w:t>【身边好人评选活动】</w:t>
      </w:r>
    </w:p>
    <w:p w14:paraId="08558B95">
      <w:pPr>
        <w:bidi w:val="0"/>
        <w:rPr>
          <w:rFonts w:hint="eastAsia"/>
          <w:lang w:val="zh-CN"/>
        </w:rPr>
      </w:pPr>
      <w:r>
        <w:rPr>
          <w:rFonts w:hint="eastAsia"/>
          <w:lang w:val="zh-CN"/>
        </w:rPr>
        <w:t>2018年“南雄好人”评选活动全面启动，第一、二季度评选出12名“南雄好人”，向韶关推荐16位道德模范候选人。南雄市一中教师黄学波和主田镇塘山村村民黄金妹获评2018年第二季度“韶关好人”，雄州街道黎口村委会村民刘绪昌、油山镇党委副书记黄树材和黎灿学校办公室副主任马水兰获评第三季度“韶关好人”候选人。12月20日，南雄市举办2018年第一、二季度“南雄好人”名单发布仪式，通过挖掘、选树、宣传人们身边看得见、摸得着、学得到的道德典型事迹，弘扬中华传统美德和时代精神，引导人们树立正确的道德观和价值观。</w:t>
      </w:r>
    </w:p>
    <w:p w14:paraId="1D2F620B">
      <w:pPr>
        <w:bidi w:val="0"/>
        <w:rPr>
          <w:rFonts w:hint="eastAsia"/>
          <w:lang w:val="zh-CN"/>
        </w:rPr>
      </w:pPr>
      <w:r>
        <w:rPr>
          <w:rFonts w:hint="eastAsia"/>
          <w:lang w:val="zh-CN"/>
        </w:rPr>
        <w:t>2018年“南雄好人”名单第一季度：黄学波、黄金妹江远娇、陈连英、曾秀华、闫树德；第二季度：马水兰、刘绪昌、黄树材、刘炳、秦莉、李明英；第三季度：陈亿容、李璟；第四季度：杨红雨、李桂友、邱忠华、黄承海、沈荣金、刘招南。</w:t>
      </w:r>
    </w:p>
    <w:p w14:paraId="5019036B">
      <w:pPr>
        <w:pStyle w:val="4"/>
        <w:bidi w:val="0"/>
        <w:rPr>
          <w:rFonts w:hint="eastAsia"/>
          <w:lang w:val="zh-CN"/>
        </w:rPr>
      </w:pPr>
      <w:r>
        <w:rPr>
          <w:rFonts w:hint="eastAsia"/>
          <w:lang w:val="zh-CN"/>
        </w:rPr>
        <w:t>【志愿者服务】</w:t>
      </w:r>
    </w:p>
    <w:p w14:paraId="72E74EB3">
      <w:pPr>
        <w:bidi w:val="0"/>
        <w:rPr>
          <w:rFonts w:hint="eastAsia"/>
          <w:lang w:val="zh-CN"/>
        </w:rPr>
      </w:pPr>
      <w:r>
        <w:rPr>
          <w:rFonts w:hint="eastAsia"/>
          <w:lang w:val="zh-CN"/>
        </w:rPr>
        <w:t>2018年，南雄市注册志愿者1.86万余人，占全市常住人口5.5%。今年，参加志愿服务活动达到3300多人次。依托南雄市志愿者联合会平台，组织党员干部、青少年志愿者、返乡大学生、义工队伍等，在下班期间、周末和节假日等，开展文明旅游、环境保护等志愿服务活动，不断传递爱心、传播文明。同时，积极开展以“礼让斑马线”为主题的交通文明劝导志愿服务，交通志愿者在交警的带领下开展劝导，对行人随意横穿马路、不走斑马线的行为进行劝导。</w:t>
      </w:r>
    </w:p>
    <w:p w14:paraId="5C7C2472">
      <w:pPr>
        <w:pStyle w:val="3"/>
        <w:bidi w:val="0"/>
        <w:rPr>
          <w:rFonts w:hint="eastAsia"/>
          <w:lang w:val="zh-CN"/>
        </w:rPr>
      </w:pPr>
      <w:r>
        <w:rPr>
          <w:rFonts w:hint="eastAsia"/>
          <w:lang w:val="zh-CN"/>
        </w:rPr>
        <w:t>社会建设</w:t>
      </w:r>
    </w:p>
    <w:p w14:paraId="0FB937D8">
      <w:pPr>
        <w:pStyle w:val="4"/>
        <w:bidi w:val="0"/>
        <w:rPr>
          <w:rFonts w:hint="eastAsia"/>
          <w:lang w:val="zh-CN"/>
        </w:rPr>
      </w:pPr>
      <w:r>
        <w:rPr>
          <w:rFonts w:hint="eastAsia"/>
          <w:lang w:val="zh-CN"/>
        </w:rPr>
        <w:t>【民生保障】</w:t>
      </w:r>
    </w:p>
    <w:p w14:paraId="75CBC4DF">
      <w:pPr>
        <w:bidi w:val="0"/>
        <w:rPr>
          <w:rFonts w:hint="eastAsia"/>
          <w:lang w:val="zh-CN"/>
        </w:rPr>
      </w:pPr>
      <w:r>
        <w:rPr>
          <w:rFonts w:hint="eastAsia"/>
          <w:lang w:val="zh-CN"/>
        </w:rPr>
        <w:t>2018年，南雄市民生支出30.8亿元，增长21.3%，占一般公共预算支出的82.5%。城镇、农村居民人均可支配收入分别达2.8万元、1.5万元，分别增长10.5%、11%。城镇登记失业率控制在3.5%以内。南雄市荣获“省推进教育现代化先进市”称号，“县管校聘”完成3817名教师聘任，南雄市第三小学、机关幼儿园总园、财贸幼儿园八一路校区、古市镇中心幼儿园新校园等建成投入使用，稳步推进乌迳镇第二小学建设。深化医疗卫生领域改革，组建市人民医院医共体和市中医院妇计院医共体，推进市人民医院综合楼和中医院妇计院医共体项目建设。开通市人民医院省级远程医疗会诊平台，完成市第二人民医院主体工程和全市81间公建民营村卫生站建设。进一步拓展文化阵地，珠玑巷广府人家训馆建成开馆，实现全市行政村（社区）基层综合性文化服务中心全覆盖。落实全面健身战略，完成市体育馆和羽毛球馆升级改造，成功承办广东省第九届老年人体育健身大会。精准脱贫工作成效显著，完成1112户农村危旧房改造，初步核定预脱贫992户3030人，南雄市被中央电视台列为全省唯一拍摄专题片的精准扶贫点。</w:t>
      </w:r>
    </w:p>
    <w:p w14:paraId="4655669B">
      <w:pPr>
        <w:pStyle w:val="4"/>
        <w:bidi w:val="0"/>
        <w:rPr>
          <w:rFonts w:hint="eastAsia"/>
          <w:lang w:val="zh-CN"/>
        </w:rPr>
      </w:pPr>
      <w:r>
        <w:rPr>
          <w:rFonts w:hint="eastAsia"/>
          <w:lang w:val="zh-CN"/>
        </w:rPr>
        <w:t>【社会综合治理】</w:t>
      </w:r>
    </w:p>
    <w:p w14:paraId="25F0B138">
      <w:pPr>
        <w:bidi w:val="0"/>
        <w:rPr>
          <w:rFonts w:hint="eastAsia"/>
          <w:lang w:val="zh-CN"/>
        </w:rPr>
      </w:pPr>
      <w:r>
        <w:rPr>
          <w:rFonts w:hint="eastAsia"/>
          <w:lang w:val="zh-CN"/>
        </w:rPr>
        <w:t>全面加强社会治理，实行在管严重精神障碍患者门诊检查治疗全免费，荣获2017年度“广东省严重精神障碍管理治疗工作优秀（县）区”称号。加快建设智慧南雄综合管控平台，在68个省定贫困村率先新建和改造一批社会治安视频监控体系，新增710多个高清视频监控探头，覆盖各村居主要进出路口、重点场所等。“幸福家园”试点工程基本完工，完成综治视联网系统市镇两级全覆盖。深入开展扫黑除恶专项斗争，处置涉黑涉恶线索200余条，打掉涉恶团伙10个，查封冻结扣押涉案资产11万元。大力开展“飓风2018”、全民禁毒工程等专项行动，对各类违法犯罪保持高压打击态势，维护好政治安全和政权安全，2018年上半年广东省委政法委聘请第三方调查机构公布结果显示，南雄市群众安全感排在韶关第二名。加强安全生产和食品药品安全工作，扎实做好非洲猪瘟防控工作。</w:t>
      </w:r>
    </w:p>
    <w:p w14:paraId="6BA3D81E">
      <w:pPr>
        <w:pStyle w:val="4"/>
        <w:bidi w:val="0"/>
        <w:rPr>
          <w:rFonts w:hint="eastAsia"/>
          <w:lang w:val="zh-CN"/>
        </w:rPr>
      </w:pPr>
      <w:r>
        <w:rPr>
          <w:rFonts w:hint="eastAsia"/>
          <w:lang w:val="zh-CN"/>
        </w:rPr>
        <w:t>【扫黑除恶】</w:t>
      </w:r>
    </w:p>
    <w:p w14:paraId="3AEAA462">
      <w:pPr>
        <w:bidi w:val="0"/>
        <w:rPr>
          <w:rFonts w:hint="eastAsia"/>
          <w:lang w:val="zh-CN"/>
        </w:rPr>
      </w:pPr>
      <w:r>
        <w:rPr>
          <w:rFonts w:hint="eastAsia"/>
          <w:lang w:val="zh-CN"/>
        </w:rPr>
        <w:t>2018年，南雄市认真贯彻落实扫黑除恶专项斗争决策部署，确定专项斗争思路策略，南雄市扫黑除恶专项斗争领导小组牵头抓总，各成员单位、各镇（街道）齐心协力，形成扫黑除恶强大合力。摸排涉黑涉恶线索200余条，公安机关打掉涉恶团伙、恶势力犯罪集团一批，查封、冻结、扣押涉案资产800多万元，纪检监察机关查处涉黑涉恶腐败和“保护伞”案件10多宗；组织部门确定软弱涣散村（社区）党组织24个，清理受过刑事处罚和涉黑涉恶其他问题的村“两委”干部3名。</w:t>
      </w:r>
    </w:p>
    <w:p w14:paraId="6E15A022">
      <w:pPr>
        <w:bidi w:val="0"/>
        <w:rPr>
          <w:rFonts w:hint="eastAsia"/>
          <w:lang w:val="zh-CN"/>
        </w:rPr>
      </w:pPr>
      <w:r>
        <w:rPr>
          <w:rFonts w:hint="eastAsia"/>
          <w:b/>
          <w:bCs/>
          <w:lang w:val="zh-CN"/>
        </w:rPr>
        <w:t>强化组织</w:t>
      </w:r>
      <w:r>
        <w:rPr>
          <w:rFonts w:hint="eastAsia"/>
          <w:b/>
          <w:bCs/>
          <w:lang w:val="en-US" w:eastAsia="zh-CN"/>
        </w:rPr>
        <w:t xml:space="preserve">   </w:t>
      </w:r>
      <w:r>
        <w:rPr>
          <w:rFonts w:hint="eastAsia"/>
          <w:lang w:val="zh-CN"/>
        </w:rPr>
        <w:t>充分认识扫黑除恶专项斗争工作重要性、紧迫性，南雄市成立由市委书记任组长，市长及市委副书记任第一副组长，相关市委、市政府领导、“法检”两长为副组长的领导小组，统筹推进全市扫黑除恶专项斗争。同时，市委在人员配备和经费保障方面有力倾斜，确保工作推进有力、保障到位，全市上下构建起“领导靠前、单位联动、运转高效、保障有力”的组织领导架构。</w:t>
      </w:r>
    </w:p>
    <w:p w14:paraId="6990D7F8">
      <w:pPr>
        <w:bidi w:val="0"/>
        <w:rPr>
          <w:rFonts w:hint="eastAsia"/>
          <w:lang w:val="zh-CN"/>
        </w:rPr>
      </w:pPr>
      <w:r>
        <w:rPr>
          <w:rFonts w:hint="eastAsia"/>
          <w:b/>
          <w:bCs/>
          <w:lang w:val="zh-CN"/>
        </w:rPr>
        <w:t>强化宣传</w:t>
      </w:r>
      <w:r>
        <w:rPr>
          <w:rFonts w:hint="eastAsia"/>
          <w:b/>
          <w:bCs/>
          <w:lang w:val="en-US" w:eastAsia="zh-CN"/>
        </w:rPr>
        <w:t xml:space="preserve">   </w:t>
      </w:r>
      <w:r>
        <w:rPr>
          <w:rFonts w:hint="eastAsia"/>
          <w:lang w:val="zh-CN"/>
        </w:rPr>
        <w:t>2018年，全市各镇（街道）召开2轮扫黑除恶专项斗争“家长会”，累计印发66万份宣传小册子发放到每家每户，发送42万多条宣传短信，制作1000份宣传挂图在各村（社区）、各小区悬挂，并多次组织各镇（街道）开展扫黑除恶“圩日宣传”活动，有效提高群众知晓率。在2018年韶关市委政法委公布的第三方调查结果显示，南雄市扫黑除恶群众知晓率为80.14%，超过目标50%的要求；群众满意度达83.08%，排名韶关第二。</w:t>
      </w:r>
    </w:p>
    <w:p w14:paraId="66AC0310">
      <w:pPr>
        <w:bidi w:val="0"/>
        <w:rPr>
          <w:rFonts w:hint="eastAsia"/>
          <w:lang w:val="zh-CN"/>
        </w:rPr>
      </w:pPr>
      <w:r>
        <w:rPr>
          <w:rFonts w:hint="eastAsia"/>
          <w:b/>
          <w:bCs/>
          <w:lang w:val="zh-CN"/>
        </w:rPr>
        <w:t>精准摸排</w:t>
      </w:r>
      <w:r>
        <w:rPr>
          <w:rFonts w:hint="eastAsia"/>
          <w:b/>
          <w:bCs/>
          <w:lang w:val="en-US" w:eastAsia="zh-CN"/>
        </w:rPr>
        <w:t xml:space="preserve">   </w:t>
      </w:r>
      <w:r>
        <w:rPr>
          <w:rFonts w:hint="eastAsia"/>
          <w:lang w:val="zh-CN"/>
        </w:rPr>
        <w:t>认真落实“两查三对比”要求，建立“网格化”线索摸排机制，构建“横向到边、纵向到底”的摸排格局，严格压实各镇街党（工）委书记、派出所所长及“网格”责任人责任，将线索收集触角延伸到每一个村小组、每一个行业，广泛收集线索。同时，规范线索流转和台账管理，建立重点线索研判会商制度，对重要问题线索深度经营，全面落实“一案三查”，进一步提高线索核查质效。</w:t>
      </w:r>
    </w:p>
    <w:p w14:paraId="6346C154">
      <w:pPr>
        <w:bidi w:val="0"/>
        <w:rPr>
          <w:rFonts w:hint="eastAsia"/>
          <w:lang w:val="zh-CN"/>
        </w:rPr>
      </w:pPr>
      <w:r>
        <w:rPr>
          <w:rFonts w:hint="eastAsia"/>
          <w:b/>
          <w:bCs/>
          <w:lang w:val="zh-CN"/>
        </w:rPr>
        <w:t>强化打击</w:t>
      </w:r>
      <w:r>
        <w:rPr>
          <w:rFonts w:hint="eastAsia"/>
          <w:b/>
          <w:bCs/>
          <w:lang w:val="en-US" w:eastAsia="zh-CN"/>
        </w:rPr>
        <w:t xml:space="preserve">   </w:t>
      </w:r>
      <w:r>
        <w:rPr>
          <w:rFonts w:hint="eastAsia"/>
          <w:lang w:val="zh-CN"/>
        </w:rPr>
        <w:t>充分发挥公安机关主力军作用，精锐出战，抽调精干警员集中力量开展专案攻坚；市检察机关、审判机关分别成立案件专责小组和专业审判团队，依法做好相关案件的提前介入、审查逮捕、起诉审判等工作；市纪委监委与公安机关建立线索移送和协同办案机制，严格落实办案过程“两必问”“四同步”要求，坚决查处黑恶势力背后的腐败问题，深挖“保护伞”、斩断“利益链”。</w:t>
      </w:r>
    </w:p>
    <w:p w14:paraId="6F69CD36">
      <w:pPr>
        <w:bidi w:val="0"/>
        <w:rPr>
          <w:rFonts w:hint="eastAsia"/>
          <w:lang w:val="zh-CN"/>
        </w:rPr>
      </w:pPr>
      <w:r>
        <w:rPr>
          <w:rFonts w:hint="eastAsia"/>
          <w:b/>
          <w:bCs/>
          <w:lang w:val="zh-CN"/>
        </w:rPr>
        <w:t>创新方法</w:t>
      </w:r>
      <w:r>
        <w:rPr>
          <w:rFonts w:hint="eastAsia"/>
          <w:b/>
          <w:bCs/>
          <w:lang w:val="en-US" w:eastAsia="zh-CN"/>
        </w:rPr>
        <w:t xml:space="preserve">   </w:t>
      </w:r>
      <w:r>
        <w:rPr>
          <w:rFonts w:hint="eastAsia"/>
          <w:lang w:val="zh-CN"/>
        </w:rPr>
        <w:t>为靶向定位基层涉黑涉恶线索和基层“乱象”情况，南雄市创立“扫黑除恶作战图”工作方式，各镇（街道）每月排查、总结、更新作战图，倒逼扫黑除恶治乱工作责任落实，促进基层“乱象”集中快速解决。市公安局、市水务局、市住建局、市市场监督管理局、市林业局等部门结合行业管理职能，重点加强对高利贷、河砂盗采、“两违”建筑、工程领域围标串标、老人保健、盗伐滥伐等领域进行重点整治，行业监管进一步规范。组织、民政部门对村（社区）换届开展“回头看”专项工作，排查后将23个村、1个社区列为软弱涣散村（社区）党组织，全部派驻第一书记并进行整改。排查清理涉刑事处罚村干部2人，撤换“四不”支部书记9人。</w:t>
      </w:r>
    </w:p>
    <w:p w14:paraId="4B7D2B48">
      <w:pPr>
        <w:pStyle w:val="3"/>
        <w:bidi w:val="0"/>
        <w:rPr>
          <w:rFonts w:hint="eastAsia"/>
          <w:lang w:val="zh-CN"/>
        </w:rPr>
      </w:pPr>
      <w:r>
        <w:rPr>
          <w:rFonts w:hint="eastAsia"/>
          <w:lang w:val="zh-CN"/>
        </w:rPr>
        <w:t>生态文明建设</w:t>
      </w:r>
    </w:p>
    <w:p w14:paraId="2D7BA9F3">
      <w:pPr>
        <w:pStyle w:val="4"/>
        <w:bidi w:val="0"/>
        <w:rPr>
          <w:rFonts w:hint="eastAsia"/>
          <w:lang w:val="zh-CN"/>
        </w:rPr>
      </w:pPr>
      <w:r>
        <w:rPr>
          <w:rFonts w:hint="eastAsia"/>
          <w:lang w:val="zh-CN"/>
        </w:rPr>
        <w:t>【污染减排综合防治】</w:t>
      </w:r>
    </w:p>
    <w:p w14:paraId="5F5A2312">
      <w:pPr>
        <w:bidi w:val="0"/>
        <w:rPr>
          <w:rFonts w:hint="eastAsia"/>
          <w:lang w:val="zh-CN"/>
        </w:rPr>
      </w:pPr>
      <w:r>
        <w:rPr>
          <w:rFonts w:hint="eastAsia"/>
          <w:lang w:val="zh-CN"/>
        </w:rPr>
        <w:t>着力打好大气、水和土壤污染防治攻坚战，扎实做好中央环保督察“回头看”整改工作，完成高污染燃料禁燃区划定，全面启动市镇村污水处理设施建设，稳步推进镇级简易填埋场整改和畜禽养殖污染专项整治工作。</w:t>
      </w:r>
    </w:p>
    <w:p w14:paraId="199970ED">
      <w:pPr>
        <w:bidi w:val="0"/>
        <w:rPr>
          <w:rFonts w:hint="eastAsia"/>
          <w:lang w:val="zh-CN"/>
        </w:rPr>
      </w:pPr>
      <w:r>
        <w:rPr>
          <w:rFonts w:hint="eastAsia"/>
          <w:b/>
          <w:bCs/>
          <w:lang w:val="zh-CN"/>
        </w:rPr>
        <w:t>持续净空</w:t>
      </w:r>
      <w:r>
        <w:rPr>
          <w:rFonts w:hint="eastAsia"/>
          <w:b/>
          <w:bCs/>
          <w:lang w:val="en-US" w:eastAsia="zh-CN"/>
        </w:rPr>
        <w:t xml:space="preserve">   </w:t>
      </w:r>
      <w:r>
        <w:rPr>
          <w:rFonts w:hint="eastAsia"/>
          <w:lang w:val="zh-CN"/>
        </w:rPr>
        <w:t>完善大气污染防治工作联络机制，健全空气质量监测网络，结合污染减排任务，制定并落实《南雄市2018年主要污染物总量减排工作计划》，落实南雄市城区环境空气质量保证措施，开展工程治理减排、结构调整减排、监督管理减排。开展产业园区企业挥发性有机物质整治工作，发挥在线自动监测系统预警监测功能，及时掌握园区大气中挥发性有机物质的聚集与扩散程度。指导韶能本色公司和园区远大、衡光化工公司完成清洁生产工作。督促珠玑纸业进一步加大资金投入，完成对现有废臭气治理工艺升级改造，提升其废臭气治理水平。加密城区道路洒水频次，强化垃圾清运保洁，严格执法，加强建筑工地扬尘管理。完成森林碳汇造林973.33公顷、生态经管林带建设200公顷、森林公园22个、乡村绿化美化示范点69个，森林覆盖率达65.3%。强化烟花爆竹禁燃区管理工作，加大夜宵摊档综合整治，促进大气环境质量有效改善。</w:t>
      </w:r>
    </w:p>
    <w:p w14:paraId="646B7B2E">
      <w:pPr>
        <w:bidi w:val="0"/>
        <w:rPr>
          <w:rFonts w:hint="eastAsia"/>
          <w:lang w:val="zh-CN"/>
        </w:rPr>
      </w:pPr>
      <w:r>
        <w:rPr>
          <w:rFonts w:hint="eastAsia"/>
          <w:b/>
          <w:bCs/>
          <w:lang w:val="zh-CN"/>
        </w:rPr>
        <w:t>持续净水</w:t>
      </w:r>
      <w:r>
        <w:rPr>
          <w:rFonts w:hint="eastAsia"/>
          <w:b/>
          <w:bCs/>
          <w:lang w:val="en-US" w:eastAsia="zh-CN"/>
        </w:rPr>
        <w:t xml:space="preserve">   </w:t>
      </w:r>
      <w:r>
        <w:rPr>
          <w:rFonts w:hint="eastAsia"/>
          <w:lang w:val="zh-CN"/>
        </w:rPr>
        <w:t>继续全面推行“河长制”，落实最严格的水资源保护制度。按照“划、立、治”工作要求开展瀑布水库、苍石水库县级集中式饮用水源保护区整治，推进镇级饮用水源地宣传标识、围栏建设和蛇岭水库、孔江水库湿地公园环境综合治理工作。有效控制农业面源污染，开展高效低毒低残留农药试验，建立水稻病虫害绿色防控示范区面积43.33公顷，推广施用测土配方有机肥，回收再利用烟叶地膜总量246吨、面积3266.67公顷。投入587万元完成珠江污水处理厂管网维修改造，启动北城区污水总管网建设和珠江污水处理厂一期提标改造项目，推进镇村污水处理设施及管网建设，保障城镇污水处理率达90%以上。深入推进畜禽养殖污染环境综合整治工作。2018年完成10户农业源、累计2.64万头猪的减排项目治理设施建设，关停1.69万头猪的养殖场38户，推动10户养殖场开展异位发酵床及高效现代养殖技术提升改造工作。</w:t>
      </w:r>
    </w:p>
    <w:p w14:paraId="7AB3D583">
      <w:pPr>
        <w:bidi w:val="0"/>
        <w:rPr>
          <w:rFonts w:hint="eastAsia"/>
          <w:lang w:val="zh-CN"/>
        </w:rPr>
      </w:pPr>
      <w:r>
        <w:rPr>
          <w:rFonts w:hint="eastAsia"/>
          <w:b/>
          <w:bCs/>
          <w:lang w:val="zh-CN"/>
        </w:rPr>
        <w:t>持续净土</w:t>
      </w:r>
      <w:r>
        <w:rPr>
          <w:rFonts w:hint="eastAsia"/>
          <w:b/>
          <w:bCs/>
          <w:lang w:val="en-US" w:eastAsia="zh-CN"/>
        </w:rPr>
        <w:t xml:space="preserve">   </w:t>
      </w:r>
      <w:r>
        <w:rPr>
          <w:rFonts w:hint="eastAsia"/>
          <w:lang w:val="zh-CN"/>
        </w:rPr>
        <w:t>推进土壤污染整治，制定印发《南雄市2018年土壤污染防治先行区建设计划》，启动重点行业企业用地污染状况详查第二阶段入场调查工作。加强矿山地质环境治理。严格贯彻落实矿产资源总体规划，强化砂石黏土等非金属矿开发布局管控。进一步完善农村生活垃圾收运体系建设。推进镇级垃圾简易填埋场整改工作，抓好“一县一场、一镇一站、一村一点”农村生活垃圾治理设施建设，实现村庄保洁覆盖面100%，垃圾分类减量50.2%，有效处理率95%。</w:t>
      </w:r>
    </w:p>
    <w:p w14:paraId="65059445">
      <w:pPr>
        <w:pStyle w:val="4"/>
        <w:bidi w:val="0"/>
        <w:rPr>
          <w:rFonts w:hint="eastAsia"/>
          <w:lang w:val="zh-CN"/>
        </w:rPr>
      </w:pPr>
      <w:r>
        <w:rPr>
          <w:rFonts w:hint="eastAsia"/>
          <w:lang w:val="zh-CN"/>
        </w:rPr>
        <w:t>【林业生态建设】</w:t>
      </w:r>
    </w:p>
    <w:p w14:paraId="2E724D6B">
      <w:pPr>
        <w:bidi w:val="0"/>
        <w:rPr>
          <w:rFonts w:hint="eastAsia"/>
          <w:lang w:val="zh-CN"/>
        </w:rPr>
      </w:pPr>
      <w:r>
        <w:rPr>
          <w:rFonts w:hint="eastAsia"/>
          <w:lang w:val="zh-CN"/>
        </w:rPr>
        <w:t>2018年，南雄市完成植树造林2733.33公顷。顺利通过国家重点功能区县域生态环境质量考核。全面完成森林抚育任务6286.67公顷，其中中央森林抚育4666.67公顷、省级森林碳汇抚育1620公顷。森林碳汇造林工程973.33公顷，占韶关市碳汇造林总面积30%。完成景色景观带建设任务200公顷，对赣韶铁路、韶赣高速和国道323线两侧道路景观进行完善提升，种植观花、彩叶树种26.67公顷、梅树6.67公顷，完成166.67公顷抚育；完成全市31个省定贫困村乡村绿化美化建设任务；对国道323线珠玑段左侧4.5千米道路景观进行绿化，打造一条宽10米道路景观带。</w:t>
      </w:r>
    </w:p>
    <w:p w14:paraId="01D1F929">
      <w:pPr>
        <w:pStyle w:val="4"/>
        <w:bidi w:val="0"/>
        <w:rPr>
          <w:rFonts w:hint="eastAsia"/>
          <w:lang w:val="zh-CN"/>
        </w:rPr>
      </w:pPr>
      <w:r>
        <w:rPr>
          <w:rFonts w:hint="eastAsia"/>
          <w:lang w:val="zh-CN"/>
        </w:rPr>
        <w:t>【义务植树】</w:t>
      </w:r>
    </w:p>
    <w:p w14:paraId="767B5239">
      <w:pPr>
        <w:bidi w:val="0"/>
        <w:rPr>
          <w:rFonts w:hint="eastAsia"/>
          <w:lang w:val="zh-CN"/>
        </w:rPr>
      </w:pPr>
      <w:r>
        <w:rPr>
          <w:rFonts w:hint="eastAsia"/>
          <w:lang w:val="zh-CN"/>
        </w:rPr>
        <w:t>进一步推进义务植树活动开展，全市开展形式多样植树活动，营造风水林、景观林、景观路，打造美丽乡村。2018年，全市参与义务植树23.11万人，种植桂花、香樟、银杏等各类观花彩叶树种69.33万余株（按74株/亩计，折算造林面积0.93万亩），义务植树尽责率、建卡率均达100%，进一步改善城乡人居环境。</w:t>
      </w:r>
    </w:p>
    <w:p w14:paraId="02067E7E">
      <w:pPr>
        <w:pStyle w:val="3"/>
        <w:bidi w:val="0"/>
        <w:rPr>
          <w:rFonts w:hint="eastAsia"/>
          <w:lang w:val="zh-CN"/>
        </w:rPr>
      </w:pPr>
      <w:r>
        <w:rPr>
          <w:rFonts w:hint="eastAsia"/>
          <w:lang w:val="zh-CN"/>
        </w:rPr>
        <w:t>全面深化改革</w:t>
      </w:r>
    </w:p>
    <w:p w14:paraId="5029F1EE">
      <w:pPr>
        <w:pStyle w:val="4"/>
        <w:bidi w:val="0"/>
        <w:rPr>
          <w:rFonts w:hint="eastAsia"/>
          <w:lang w:val="zh-CN"/>
        </w:rPr>
      </w:pPr>
      <w:r>
        <w:rPr>
          <w:rFonts w:hint="eastAsia"/>
          <w:lang w:val="zh-CN"/>
        </w:rPr>
        <w:t>【调整完善全面深化改革运转机制】</w:t>
      </w:r>
    </w:p>
    <w:p w14:paraId="74E12B92">
      <w:pPr>
        <w:bidi w:val="0"/>
        <w:rPr>
          <w:rFonts w:hint="eastAsia"/>
          <w:lang w:val="zh-CN"/>
        </w:rPr>
      </w:pPr>
      <w:r>
        <w:rPr>
          <w:rFonts w:hint="eastAsia"/>
          <w:lang w:val="zh-CN"/>
        </w:rPr>
        <w:t>南雄市委全面深化改革领导小组召开多次会议，传达学习中央、省委和韶关市委全面深化改革有关精神，研究部署全面深化改革各项工作。及时调整改革领导小组以及各专项小组成员，制定《全面深化改革领导小组会议工作规程》《全面深化改革领导小组专项小组运作制度（试行）》，建立健全工作机制。制定《南雄市全面深化改革2018年工作要点》，全面梳理经济、文化、社会和党的建设领域各项改革任务，突出抓好经济行政体制改革、社会管理体制改革、农村综合改革、教师“县管校聘”改革、医疗卫生领域改革和党的建设制度改革等重点领域和关键环节改革。</w:t>
      </w:r>
    </w:p>
    <w:p w14:paraId="589EEE07">
      <w:pPr>
        <w:pStyle w:val="4"/>
        <w:bidi w:val="0"/>
        <w:rPr>
          <w:rFonts w:hint="eastAsia"/>
          <w:lang w:val="zh-CN"/>
        </w:rPr>
      </w:pPr>
      <w:r>
        <w:rPr>
          <w:rFonts w:hint="eastAsia"/>
          <w:lang w:val="zh-CN"/>
        </w:rPr>
        <w:t>【各领域改革深入推进】</w:t>
      </w:r>
    </w:p>
    <w:p w14:paraId="5039E889">
      <w:pPr>
        <w:bidi w:val="0"/>
        <w:rPr>
          <w:rFonts w:hint="eastAsia"/>
          <w:lang w:val="zh-CN"/>
        </w:rPr>
      </w:pPr>
      <w:r>
        <w:rPr>
          <w:rFonts w:hint="eastAsia"/>
          <w:lang w:val="zh-CN"/>
        </w:rPr>
        <w:t>2018年，南雄市紧扣重点难点，强化责任，抓好落实，持续推进全面深化改革各项工作，谋划改革任务43项，其中重要改革事项21项，继续推进改革事项22项。2018年取得阶段性进展改革任务35项。统计管理体制改革、城乡行政执法体制改革等8项改革任务，因涉及机构改革、审批权限等原因暂缓推进。</w:t>
      </w:r>
    </w:p>
    <w:p w14:paraId="610546CC">
      <w:pPr>
        <w:bidi w:val="0"/>
        <w:rPr>
          <w:rFonts w:hint="eastAsia"/>
          <w:lang w:val="zh-CN"/>
        </w:rPr>
      </w:pPr>
      <w:r>
        <w:rPr>
          <w:rFonts w:hint="eastAsia"/>
          <w:b/>
          <w:bCs/>
          <w:lang w:val="zh-CN"/>
        </w:rPr>
        <w:t>深化经济行政体制改革</w:t>
      </w:r>
      <w:r>
        <w:rPr>
          <w:rFonts w:hint="eastAsia"/>
          <w:b/>
          <w:bCs/>
          <w:lang w:val="en-US" w:eastAsia="zh-CN"/>
        </w:rPr>
        <w:t xml:space="preserve">   </w:t>
      </w:r>
      <w:r>
        <w:rPr>
          <w:rFonts w:hint="eastAsia"/>
          <w:lang w:val="zh-CN"/>
        </w:rPr>
        <w:t>进一步强化党管人才原则，修订《南雄市人才工作实施意见》，制定《南雄市乡村振兴人才支持计划》《南雄市急需紧缺人才选拔管理实施意见》等，完善人才激励和保障等工作体制机制。建立人才信息数据库，精准实施高层次人才“引育用管服”全链条工作，宏观掌握全市各类人才年龄、学历和行业分布情况，推进人才供需预测和人才流失预警等工作。深入推进“一门式一网式”政务服务改革。启用新行政服务中心，完成31个科局604项许可和服务事项标准化建设（行政许可事项440项，公共服务事项164项），整合28个科局375项许可和服务事项进驻“一门式一网式”系统上线运行。15个联办件项目由串联审批改为并联审批，平均压缩时限达21个工作日。梳理“马上办”行政许可事项和公共服务事项579项，其中马上办好事项146项，实现压缩时限的事项266项。深化商事登记制度改革。推行登记注册“全城通办”服务模式，全面实行“多证合一、一证一码”登记制度改革，深入推进简政放权，便利市场准入，激发市场活力。推行银政通企业登记注册服务、电子营业执照和全程电子化登记，全面推开“马上办”“审核合一”服务模式情况。深化地方国企国资改革。推进国有企业薪酬改革，规范企业薪酬体系，核定4家A类企业负责人薪酬。完善企业负责人考核监管机制，聘请第三方机构对4家企业的财务状况进行审计，确定考核经济目标值。建立健全《南雄市国资委监管企业重大事项审核备案暂行办法》《国有企业人员流动程序》等，规范国有企业负责人的权力运行。制定下发《南雄市深化国有企业改革整合重组工作方案》，推进国有企业改革重组，开展国有企业清产核资工作，进一步整合国有资源，盘活国有资产。组建南雄市国有资产投资有限责任公司及二级公司，理顺党组织管理体制和企业组织架构，加强党对国有企业的领导。推进中心城区及乡镇文明创建网格化改革。实施“街长制”网格化管理，落实“门前三包”责任制，推动城市管理常态化。充分发挥党群理事会作用，开展农村人居环境整治，修订完善村规民约，倡导移风易俗。推进消防及安全生产网格化改革。成立工业园安全生产和环境保护监管领导小组和应急救援指挥中心，整合园区管委会、安监、环保、消防等部门监管资源，构建工作协调机制，实行全方位、全领域的安全监管，积极开展镇（街）和中心城区片区安全生产隐患排查，确保全市安全生产形势平稳。深化代建项目制度体制机制改革。成立南雄市政府投资项目前期工作管理领导小组，选优配强领导小组办公室人员队伍，进一步规范工程建设项目前期工作程序，建立健全管理机制，保证前期管理工作规范、高效运作。</w:t>
      </w:r>
    </w:p>
    <w:p w14:paraId="2C243888">
      <w:pPr>
        <w:bidi w:val="0"/>
        <w:rPr>
          <w:rFonts w:hint="eastAsia"/>
          <w:lang w:val="zh-CN"/>
        </w:rPr>
      </w:pPr>
      <w:r>
        <w:rPr>
          <w:rFonts w:hint="eastAsia"/>
          <w:b/>
          <w:bCs/>
          <w:lang w:val="zh-CN"/>
        </w:rPr>
        <w:t>深化社会管理体制改革</w:t>
      </w:r>
      <w:r>
        <w:rPr>
          <w:rFonts w:hint="eastAsia"/>
          <w:b/>
          <w:bCs/>
          <w:lang w:val="en-US" w:eastAsia="zh-CN"/>
        </w:rPr>
        <w:t xml:space="preserve">   </w:t>
      </w:r>
      <w:r>
        <w:rPr>
          <w:rFonts w:hint="eastAsia"/>
          <w:lang w:val="zh-CN"/>
        </w:rPr>
        <w:t>加强城市社区党组织阵地建设，实施“幸福家园”工程，完善社区党支部、居委会、党员活动室、图书室等服务设施。明确“条块责任”，将社区干部参与的城市管理、征地拆迁等重点工作纳入绩效考核，激发社区工作活力。推行中心城区社会管理网格化、信息化。将中心城区分为4个片区，建立统一指挥机制，动员社区群众开展治安防控工作。推进“一标三实”基础信息采集应用工作，加快建筑物、房屋等地址信息采集，确保人口房屋“双实”管理到位。以村小组为单位，划分2650个网格，配备2800多名网格员，完成综治视联网系统建设，安装第一批次285部“综治E通”手机APP，初步形成“中心+网格化+信息化”工作模式。完善社会矛盾纠纷调处化解长效机制，完成市、镇“中心”和村级工作站建设，推进镇村两级人民调解委员会规范化建设，选优配强人民调解员队伍，完善工作机制，提升纠纷化解能力。</w:t>
      </w:r>
    </w:p>
    <w:p w14:paraId="2730BC72">
      <w:pPr>
        <w:bidi w:val="0"/>
        <w:rPr>
          <w:rFonts w:hint="eastAsia"/>
          <w:lang w:val="zh-CN"/>
        </w:rPr>
      </w:pPr>
      <w:r>
        <w:rPr>
          <w:rFonts w:hint="eastAsia"/>
          <w:b/>
          <w:bCs/>
          <w:lang w:val="zh-CN"/>
        </w:rPr>
        <w:t>深化农村综合改革</w:t>
      </w:r>
      <w:r>
        <w:rPr>
          <w:rFonts w:hint="eastAsia"/>
          <w:b/>
          <w:bCs/>
          <w:lang w:val="en-US" w:eastAsia="zh-CN"/>
        </w:rPr>
        <w:t xml:space="preserve">   </w:t>
      </w:r>
      <w:r>
        <w:rPr>
          <w:rFonts w:hint="eastAsia"/>
          <w:lang w:val="zh-CN"/>
        </w:rPr>
        <w:t>推动党组织建设下沉。推行“三个在先”机制，推进党组织延伸到自然村一级，成立党支部（党小组）1041个，有效提升党的组织覆盖和工作覆盖。推动村民自治下沉。在20户以上自然村成立党群理事会。推动公共服务下沉。完成18个镇和80个试点村“一门式一网式”政务服务模式综合窗口的设立、人员的招聘培训和服务事项标准版的录入及系统配置工作，实现市、镇、村“一门式一网式”政务服务全面覆盖，打通服务群众“最后一千米”。推动涉农资金整合。成立涉农资金整合工作领导小组，制定下发《南雄市涉农资金统筹整合实施方案（暂行）》，协调各部门做好前期建设工作。推进农村土地整合。农村土地确权登记颁证工作基本完成，为创建现代农业产业园基地提供保障。制定下发《南雄市农村土地预流转工作方案》，各镇（街道）按照不低于土地确权面积10%的比例开展土地预流转工作。培育新型农业经营项目和经营主体。积极争取上级项目资金，申报并组织实施农产品初加工补助项目。制定《南雄市特色农业发展扶持奖励资金管理办法》（征求意见稿），对南雄市符合申报条件的新型农业经营主体进行扶持。积极探索农村“三变改革”，在湖口镇张屋村开展“三变改革五大合作”试点工作。通过整合农村土地、山林、劳动力等资源，进行集中开发或投资入股经营主体，让“死资源”变成“活资产”，撬动农业农村发展，增加农民收入。推进党员联系农户力促农村垃圾保洁机制改革。各镇（街道）根据《南雄市村（社区）党员包户落实农村生活垃圾常态化保洁机制活动方案》，制定具体实施方案，完善“村民公约”和“门前三包”，继续推行“户收集、村集中、镇转运、县处理”的农村卫生保洁模式。探索建立镇干部包村、村干部包组、党员包户的责任体系和群众评议等制度，并纳入党建工作考核。实行镇（街道）驻村干部、村（社区）“两委”干部、农村党员包干联系若干农户，让党员负责宣传、监督和引导村民形成良好生活习惯。</w:t>
      </w:r>
    </w:p>
    <w:p w14:paraId="14C8D116">
      <w:pPr>
        <w:bidi w:val="0"/>
        <w:rPr>
          <w:rFonts w:hint="eastAsia"/>
          <w:lang w:val="zh-CN"/>
        </w:rPr>
      </w:pPr>
      <w:r>
        <w:rPr>
          <w:rFonts w:hint="eastAsia"/>
          <w:b/>
          <w:bCs/>
          <w:lang w:val="zh-CN"/>
        </w:rPr>
        <w:t>推进教师“县管校聘”改革</w:t>
      </w:r>
      <w:r>
        <w:rPr>
          <w:rFonts w:hint="eastAsia"/>
          <w:b/>
          <w:bCs/>
          <w:lang w:val="en-US" w:eastAsia="zh-CN"/>
        </w:rPr>
        <w:t xml:space="preserve">   </w:t>
      </w:r>
      <w:r>
        <w:rPr>
          <w:rFonts w:hint="eastAsia"/>
          <w:lang w:val="zh-CN"/>
        </w:rPr>
        <w:t>南雄作为韶关试点改革地区之一，经过“校内聘任”“跨校竞聘”“组织调剂”，完善各项配套政策，确保公平公正，积极稳妥推进“县管校聘”改革，保证教师队伍稳定，全面完成教师聘任工作。有3817名教职工参与，校际交流179人，农村学校到城区学校交流137人，城区学校到农村学校交流45人，合计交流361人。解决教师配置不合理现象，均衡超编学校与缺编学校的师资、学科配置，转变教师队伍精神面貌。</w:t>
      </w:r>
    </w:p>
    <w:p w14:paraId="3A443B82">
      <w:pPr>
        <w:bidi w:val="0"/>
        <w:rPr>
          <w:rFonts w:hint="eastAsia"/>
          <w:lang w:val="zh-CN"/>
        </w:rPr>
      </w:pPr>
      <w:r>
        <w:rPr>
          <w:rFonts w:hint="eastAsia"/>
          <w:b/>
          <w:bCs/>
          <w:lang w:val="zh-CN"/>
        </w:rPr>
        <w:t>深化医疗卫生领域改革</w:t>
      </w:r>
      <w:r>
        <w:rPr>
          <w:rFonts w:hint="eastAsia"/>
          <w:b/>
          <w:bCs/>
          <w:lang w:val="en-US" w:eastAsia="zh-CN"/>
        </w:rPr>
        <w:t xml:space="preserve">   </w:t>
      </w:r>
      <w:r>
        <w:rPr>
          <w:rFonts w:hint="eastAsia"/>
          <w:lang w:val="zh-CN"/>
        </w:rPr>
        <w:t>南雄是全省15个医共体试点县之一，积极先行先试，开展医疗共同体试点工作。成立以市人民医院为牵头单位的第一医共体，成员单位包括10家镇卫生院及辖区内卫生站；以市中医院和市妇计院为牵头单位的第二医共体，成员单位包括9家镇卫生院及辖区内村卫生站，推动城市优质医疗资源向农村下沉。建立健全医共体各项运作制度，成立深化医药卫生体制改革工作领导小组和市医管委，明确医改工作目标、部门职责及工作进程。先后出台《南雄市深化医药卫生体制综合改革实施方案》《南雄市县域医疗共同体工作实施方案（试行）》《南雄市医院管理委员会工作制度》等系列文件。引进80名医疗专业技术人员，解决卫生人才需求，强化人才科技保障。打造黄坑、澜河卫生院影像中心试点医院，为医共体内实现信息互联互通，资源技术共享奠定基础。实施分级诊疗制度，建立“基层首诊、双向转诊、急慢分治、上下联动”的分级诊疗机制，市直医疗机构与各乡镇卫生院（社区卫生服务中心）签订分级诊疗转诊协议，制定上转下转疾病病名清单。2018年，全市转诊病人2512人，其中上转病人数2496人，下转病人16人。深入开展家庭医生签约服务工作，全市组建73个家庭医生服务团队，为16.33万人进行家庭医生签约服务，签约率51%；开展0至6岁儿童和高血压患者等重点人群签约服务，签约服务8.25万人，签约率72%；全年有偿签约服务2.29万人，其中贫困人口1.66万人，重度残疾6321人，实现贫困人口、重度残疾人群签约全覆盖。</w:t>
      </w:r>
    </w:p>
    <w:p w14:paraId="47A8C7E7">
      <w:pPr>
        <w:bidi w:val="0"/>
        <w:rPr>
          <w:rFonts w:hint="eastAsia"/>
          <w:lang w:val="zh-CN"/>
        </w:rPr>
      </w:pPr>
      <w:r>
        <w:rPr>
          <w:rFonts w:hint="eastAsia"/>
          <w:b/>
          <w:bCs/>
          <w:lang w:val="zh-CN"/>
        </w:rPr>
        <w:t>持续深化党的建设制度改革</w:t>
      </w:r>
      <w:r>
        <w:rPr>
          <w:rFonts w:hint="eastAsia"/>
          <w:b/>
          <w:bCs/>
          <w:lang w:val="en-US" w:eastAsia="zh-CN"/>
        </w:rPr>
        <w:t xml:space="preserve"> </w:t>
      </w:r>
      <w:r>
        <w:rPr>
          <w:rFonts w:hint="eastAsia"/>
          <w:lang w:val="zh-CN"/>
        </w:rPr>
        <w:t>加强村（社区）干部队伍建设，落实“青苗”培养工程，实行“村推镇选县考察”的培养选拔制度，推行村（社区）党员干部定期培训制度。全面完成镇级党校挂牌工作，开展204期课程，培训党员1.35万人次。以党组织书记为重点，健全村（社区）“两委”干部绩效考核办法，发挥考核工作“指挥棒”作用，切实让党建工作责任和压力传达到基层党组织末梢。实施政绩档案管理和考验性管理制度，记录干部取得的突出政绩和业绩，明确纳入考验性管理的17种情形，突出注重实绩的干事创业导向。建立健全派驻巡察协调联动机制。推进全市派驻与巡察工作深度融合，整合纪检监察室、综合派驻组、市委巡察机构和镇（街）纪委力量，实现“巡前预检、巡中对接、巡后促改”的立体监督网络，推动监督触角不断向基层延伸。加强扶贫领域监督执纪问责工作，构建扶贫领域专项治理长效机制。规范对扶贫项目各环节的监管，形成财政局拨款，扶贫办审批项目，镇级报账，镇村管理使用的四级责任制和检查监督机制。强化农村集体“三资”管理和“三务”公开，将公开公示情况纳入检查验收。抓好以案促改，督促镇（街）及有关部门强化监管、堵塞漏洞，完善扶贫资金管理使用、驻镇村干部管理等方面的工作制度。</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1FFA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65DF3E8">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7440" cy="3657600"/>
                  <wp:effectExtent l="0" t="0" r="3810" b="0"/>
                  <wp:docPr id="92" name="图片 92" descr="南雄年鉴2019_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南雄年鉴2019_0069"/>
                          <pic:cNvPicPr>
                            <a:picLocks noChangeAspect="1"/>
                          </pic:cNvPicPr>
                        </pic:nvPicPr>
                        <pic:blipFill>
                          <a:blip r:embed="rId81"/>
                          <a:stretch>
                            <a:fillRect/>
                          </a:stretch>
                        </pic:blipFill>
                        <pic:spPr>
                          <a:xfrm>
                            <a:off x="0" y="0"/>
                            <a:ext cx="6187440" cy="3657600"/>
                          </a:xfrm>
                          <a:prstGeom prst="rect">
                            <a:avLst/>
                          </a:prstGeom>
                        </pic:spPr>
                      </pic:pic>
                    </a:graphicData>
                  </a:graphic>
                </wp:inline>
              </w:drawing>
            </w:r>
          </w:p>
        </w:tc>
      </w:tr>
      <w:tr w14:paraId="180E2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7EEE752F">
            <w:pPr>
              <w:spacing w:beforeLines="0" w:afterLines="0"/>
              <w:ind w:firstLine="420" w:firstLineChars="200"/>
              <w:jc w:val="left"/>
              <w:rPr>
                <w:rFonts w:hint="eastAsia" w:ascii="宋体" w:hAnsi="宋体" w:eastAsia="宋体" w:cs="宋体"/>
                <w:kern w:val="2"/>
                <w:sz w:val="21"/>
                <w:szCs w:val="21"/>
                <w:lang w:val="zh-CN" w:eastAsia="zh-CN" w:bidi="ar-SA"/>
              </w:rPr>
            </w:pPr>
            <w:r>
              <w:rPr>
                <w:rFonts w:hint="eastAsia"/>
              </w:rPr>
              <w:t>南雄市珠玑镇角湾村召开党员大会（市委</w:t>
            </w:r>
            <w:r>
              <w:rPr>
                <w:rFonts w:hint="eastAsia"/>
                <w:lang w:val="en-US" w:eastAsia="zh-CN"/>
              </w:rPr>
              <w:t>办</w:t>
            </w:r>
            <w:r>
              <w:rPr>
                <w:rFonts w:hint="eastAsia"/>
              </w:rPr>
              <w:t>供）</w:t>
            </w:r>
          </w:p>
        </w:tc>
      </w:tr>
    </w:tbl>
    <w:p w14:paraId="05A26184">
      <w:pPr>
        <w:pStyle w:val="2"/>
        <w:bidi w:val="0"/>
        <w:rPr>
          <w:rFonts w:hint="eastAsia"/>
        </w:rPr>
      </w:pPr>
      <w:r>
        <w:rPr>
          <w:rFonts w:hint="eastAsia"/>
        </w:rPr>
        <w:t>大事记</w:t>
      </w:r>
    </w:p>
    <w:p w14:paraId="3BE13284">
      <w:pPr>
        <w:pStyle w:val="3"/>
        <w:bidi w:val="0"/>
        <w:rPr>
          <w:rFonts w:hint="eastAsia"/>
          <w:lang w:val="zh-CN"/>
        </w:rPr>
      </w:pPr>
      <w:r>
        <w:rPr>
          <w:rFonts w:hint="eastAsia"/>
          <w:lang w:val="zh-CN"/>
        </w:rPr>
        <w:t>一月</w:t>
      </w:r>
    </w:p>
    <w:p w14:paraId="18542A74">
      <w:pPr>
        <w:bidi w:val="0"/>
        <w:rPr>
          <w:rFonts w:hint="eastAsia"/>
          <w:lang w:val="zh-CN"/>
        </w:rPr>
      </w:pPr>
      <w:r>
        <w:rPr>
          <w:rFonts w:hint="eastAsia"/>
          <w:b/>
          <w:bCs/>
          <w:lang w:val="zh-CN"/>
        </w:rPr>
        <w:t>8—9日</w:t>
      </w:r>
      <w:r>
        <w:rPr>
          <w:rFonts w:hint="eastAsia"/>
          <w:b/>
          <w:bCs/>
          <w:lang w:val="en-US" w:eastAsia="zh-CN"/>
        </w:rPr>
        <w:t xml:space="preserve">   </w:t>
      </w:r>
      <w:r>
        <w:rPr>
          <w:rFonts w:hint="eastAsia"/>
          <w:lang w:val="zh-CN"/>
        </w:rPr>
        <w:t>南雄市第十五届人民代表大会第三次会议召开，依法补选马绍椿、张益平同志为韶关市第十四届人民代表大会代表，选举徐建坤同志为南雄市首届监察委员会主任，并审议通过有关人事任免事项。</w:t>
      </w:r>
    </w:p>
    <w:p w14:paraId="28761CA0">
      <w:pPr>
        <w:bidi w:val="0"/>
        <w:rPr>
          <w:rFonts w:hint="eastAsia"/>
          <w:lang w:val="zh-CN"/>
        </w:rPr>
      </w:pPr>
      <w:r>
        <w:rPr>
          <w:rFonts w:hint="eastAsia"/>
          <w:b/>
          <w:bCs/>
          <w:lang w:val="zh-CN"/>
        </w:rPr>
        <w:t>10日</w:t>
      </w:r>
      <w:r>
        <w:rPr>
          <w:rFonts w:hint="eastAsia"/>
          <w:lang w:val="zh-CN"/>
        </w:rPr>
        <w:t>南雄市监察委员会挂牌成立，南雄市委书记王碧安为监察委员会揭牌。 </w:t>
      </w:r>
    </w:p>
    <w:p w14:paraId="7B56C1AA">
      <w:pPr>
        <w:bidi w:val="0"/>
        <w:rPr>
          <w:rFonts w:hint="eastAsia"/>
          <w:lang w:val="zh-CN"/>
        </w:rPr>
      </w:pPr>
      <w:r>
        <w:rPr>
          <w:rFonts w:hint="eastAsia"/>
          <w:b/>
          <w:bCs/>
          <w:lang w:val="zh-CN"/>
        </w:rPr>
        <w:t>24日</w:t>
      </w:r>
      <w:r>
        <w:rPr>
          <w:rFonts w:hint="eastAsia"/>
          <w:b/>
          <w:bCs/>
          <w:lang w:val="en-US" w:eastAsia="zh-CN"/>
        </w:rPr>
        <w:t xml:space="preserve">   </w:t>
      </w:r>
      <w:r>
        <w:rPr>
          <w:rFonts w:hint="eastAsia"/>
          <w:lang w:val="zh-CN"/>
        </w:rPr>
        <w:t>《中国影像方志》摄制组走进南雄，先后前往广州会馆、珠玑古巷和梅关古道，对南雄市的姓氏文化、红色文化以及采茶戏等内容进行拍摄。《中国影像方志》南雄篇共分为地名记、地理记、红色记、文化记、美食记、人物记、古村记、音律记、当代记九个篇章。</w:t>
      </w:r>
    </w:p>
    <w:p w14:paraId="3EC66A14">
      <w:pPr>
        <w:pStyle w:val="3"/>
        <w:bidi w:val="0"/>
        <w:rPr>
          <w:rFonts w:hint="eastAsia"/>
          <w:lang w:val="zh-CN"/>
        </w:rPr>
      </w:pPr>
      <w:r>
        <w:rPr>
          <w:rFonts w:hint="eastAsia"/>
          <w:lang w:val="zh-CN"/>
        </w:rPr>
        <w:t>二月</w:t>
      </w:r>
    </w:p>
    <w:p w14:paraId="67FB599F">
      <w:pPr>
        <w:bidi w:val="0"/>
        <w:rPr>
          <w:rFonts w:hint="eastAsia"/>
          <w:lang w:val="zh-CN"/>
        </w:rPr>
      </w:pPr>
      <w:r>
        <w:rPr>
          <w:rFonts w:hint="eastAsia"/>
          <w:b/>
          <w:bCs/>
          <w:lang w:val="zh-CN"/>
        </w:rPr>
        <w:t>2日</w:t>
      </w:r>
      <w:r>
        <w:rPr>
          <w:rFonts w:hint="eastAsia"/>
          <w:b/>
          <w:bCs/>
          <w:lang w:val="en-US" w:eastAsia="zh-CN"/>
        </w:rPr>
        <w:t xml:space="preserve"> </w:t>
      </w:r>
      <w:r>
        <w:rPr>
          <w:rFonts w:hint="eastAsia"/>
          <w:lang w:val="en-US" w:eastAsia="zh-CN"/>
        </w:rPr>
        <w:t xml:space="preserve"> </w:t>
      </w:r>
      <w:r>
        <w:rPr>
          <w:rFonts w:hint="eastAsia"/>
          <w:lang w:val="zh-CN"/>
        </w:rPr>
        <w:t>中国共产党南雄市第十三届委员会召开第五次全体会议，深入学习贯彻党的十九大、十九届二中全会、中央经济工作会议、中央农村工作会议精神，贯彻省委十二届二次、三次全会精神和韶关市委十二届五次、六次全会精神，总结2017年、部署2018年工作，动员全市党员干部群众不忘初心、牢记使命，为奋力开创南雄振兴崛起新局面、实现人民美好生活而努力奋斗。</w:t>
      </w:r>
    </w:p>
    <w:p w14:paraId="46FFF99C">
      <w:pPr>
        <w:bidi w:val="0"/>
        <w:rPr>
          <w:rFonts w:hint="eastAsia"/>
          <w:lang w:val="zh-CN"/>
        </w:rPr>
      </w:pPr>
      <w:r>
        <w:rPr>
          <w:rFonts w:hint="eastAsia"/>
          <w:b/>
          <w:bCs/>
          <w:lang w:val="zh-CN"/>
        </w:rPr>
        <w:t>是日</w:t>
      </w:r>
      <w:r>
        <w:rPr>
          <w:rFonts w:hint="eastAsia"/>
          <w:b/>
          <w:bCs/>
          <w:lang w:val="en-US" w:eastAsia="zh-CN"/>
        </w:rPr>
        <w:t xml:space="preserve">   </w:t>
      </w:r>
      <w:r>
        <w:rPr>
          <w:rFonts w:hint="eastAsia"/>
          <w:lang w:val="zh-CN"/>
        </w:rPr>
        <w:t>南雄市与中国能源建设集团韶关电力有限公司举行犁牛坪三期项目签约仪式，签订《南雄犁牛坪三期100MW风电项目合作开发协议书》《中国能源建设集团投资有限公司与南雄市浈江电业有限责任公司投资框架协议》。南雄市委书记王碧安，市委副书记、市长林小龙参加仪式。</w:t>
      </w:r>
    </w:p>
    <w:p w14:paraId="737DE68B">
      <w:pPr>
        <w:bidi w:val="0"/>
        <w:rPr>
          <w:rFonts w:hint="eastAsia"/>
          <w:lang w:val="zh-CN"/>
        </w:rPr>
      </w:pPr>
      <w:r>
        <w:rPr>
          <w:rFonts w:hint="eastAsia"/>
          <w:b/>
          <w:bCs/>
          <w:lang w:val="zh-CN"/>
        </w:rPr>
        <w:t>6日</w:t>
      </w:r>
      <w:r>
        <w:rPr>
          <w:rFonts w:hint="eastAsia"/>
          <w:b/>
          <w:bCs/>
          <w:lang w:val="en-US" w:eastAsia="zh-CN"/>
        </w:rPr>
        <w:t xml:space="preserve">   </w:t>
      </w:r>
      <w:r>
        <w:rPr>
          <w:rFonts w:hint="eastAsia"/>
          <w:lang w:val="zh-CN"/>
        </w:rPr>
        <w:t>南雄市十五届人民代表大会常务委员会第16次会议召开，任命焦晓松同志为南雄市人民政府副市长。</w:t>
      </w:r>
    </w:p>
    <w:p w14:paraId="2A2536D6">
      <w:pPr>
        <w:bidi w:val="0"/>
        <w:rPr>
          <w:rFonts w:hint="eastAsia"/>
          <w:lang w:val="zh-CN"/>
        </w:rPr>
      </w:pPr>
      <w:r>
        <w:rPr>
          <w:rFonts w:hint="eastAsia"/>
          <w:b/>
          <w:bCs/>
          <w:lang w:val="zh-CN"/>
        </w:rPr>
        <w:t>9日</w:t>
      </w:r>
      <w:r>
        <w:rPr>
          <w:rFonts w:hint="eastAsia"/>
          <w:b/>
          <w:bCs/>
          <w:lang w:val="en-US" w:eastAsia="zh-CN"/>
        </w:rPr>
        <w:t xml:space="preserve">   </w:t>
      </w:r>
      <w:r>
        <w:rPr>
          <w:rFonts w:hint="eastAsia"/>
          <w:lang w:val="zh-CN"/>
        </w:rPr>
        <w:t>中国共产党南雄市第十三届纪律检查委员会以电视电话形式召开第三次全体会议，学习贯彻党的十九大、十九届中央纪委二次全会、十二届省纪委二次全会和十二届韶关市纪委三次全会精神，总结2017年全市党风廉政建设和反腐败工作，部署2018年任务。各镇（街道）设分会场。</w:t>
      </w:r>
    </w:p>
    <w:p w14:paraId="4694E306">
      <w:pPr>
        <w:bidi w:val="0"/>
        <w:rPr>
          <w:rFonts w:hint="eastAsia"/>
          <w:lang w:val="zh-CN"/>
        </w:rPr>
      </w:pPr>
      <w:r>
        <w:rPr>
          <w:rFonts w:hint="eastAsia"/>
          <w:b/>
          <w:bCs/>
          <w:lang w:val="zh-CN"/>
        </w:rPr>
        <w:t>是日</w:t>
      </w:r>
      <w:r>
        <w:rPr>
          <w:rFonts w:hint="eastAsia"/>
          <w:b/>
          <w:bCs/>
          <w:lang w:val="en-US" w:eastAsia="zh-CN"/>
        </w:rPr>
        <w:t xml:space="preserve">   </w:t>
      </w:r>
      <w:r>
        <w:rPr>
          <w:rFonts w:hint="eastAsia"/>
          <w:lang w:val="zh-CN"/>
        </w:rPr>
        <w:t>南雄市举行人民武装部政委任职大会，宣布夏小辉同志任职南雄市人民武装部政委和党委书记。</w:t>
      </w:r>
    </w:p>
    <w:p w14:paraId="15FEB88E">
      <w:pPr>
        <w:bidi w:val="0"/>
        <w:rPr>
          <w:rFonts w:hint="eastAsia"/>
          <w:lang w:val="zh-CN"/>
        </w:rPr>
      </w:pPr>
      <w:r>
        <w:rPr>
          <w:rFonts w:hint="eastAsia"/>
          <w:b/>
          <w:bCs/>
          <w:lang w:val="zh-CN"/>
        </w:rPr>
        <w:t>24日</w:t>
      </w:r>
      <w:r>
        <w:rPr>
          <w:rFonts w:hint="eastAsia"/>
          <w:b/>
          <w:bCs/>
          <w:lang w:val="en-US" w:eastAsia="zh-CN"/>
        </w:rPr>
        <w:t xml:space="preserve">   </w:t>
      </w:r>
      <w:r>
        <w:rPr>
          <w:rFonts w:hint="eastAsia"/>
          <w:lang w:val="zh-CN"/>
        </w:rPr>
        <w:t>南雄市召开四级干部开春动员会，动员全市上下迅速从春节氛围中收心归位，以崭新的姿态、饱满的热情、务实的作风，全力以赴投入到新一年的各项工作中，努力开创南雄振兴崛起新局面。</w:t>
      </w:r>
    </w:p>
    <w:p w14:paraId="2340D529">
      <w:pPr>
        <w:bidi w:val="0"/>
        <w:rPr>
          <w:rFonts w:hint="eastAsia"/>
          <w:lang w:val="zh-CN"/>
        </w:rPr>
      </w:pPr>
      <w:r>
        <w:rPr>
          <w:rFonts w:hint="eastAsia"/>
          <w:b/>
          <w:bCs/>
          <w:lang w:val="zh-CN"/>
        </w:rPr>
        <w:t>28日</w:t>
      </w:r>
      <w:r>
        <w:rPr>
          <w:rFonts w:hint="eastAsia"/>
          <w:b/>
          <w:bCs/>
          <w:lang w:val="en-US" w:eastAsia="zh-CN"/>
        </w:rPr>
        <w:t xml:space="preserve">   </w:t>
      </w:r>
      <w:r>
        <w:rPr>
          <w:rFonts w:hint="eastAsia"/>
          <w:lang w:val="zh-CN"/>
        </w:rPr>
        <w:t>韶关《非遗印记》栏目组到南亩镇官田村对“省级非物质文化遗产——茶花灯”取景拍摄，详细记录茶花灯制作、表演全过程，并采访茶花灯传承人。</w:t>
      </w:r>
    </w:p>
    <w:p w14:paraId="04C34C9D">
      <w:pPr>
        <w:bidi w:val="0"/>
        <w:rPr>
          <w:rFonts w:hint="eastAsia"/>
          <w:lang w:val="zh-CN"/>
        </w:rPr>
      </w:pPr>
      <w:r>
        <w:rPr>
          <w:rFonts w:hint="eastAsia"/>
          <w:b/>
          <w:bCs/>
          <w:lang w:val="zh-CN"/>
        </w:rPr>
        <w:t>是日</w:t>
      </w:r>
      <w:r>
        <w:rPr>
          <w:rFonts w:hint="eastAsia"/>
          <w:b/>
          <w:bCs/>
          <w:lang w:val="en-US" w:eastAsia="zh-CN"/>
        </w:rPr>
        <w:t xml:space="preserve">   </w:t>
      </w:r>
      <w:r>
        <w:rPr>
          <w:rFonts w:hint="eastAsia"/>
          <w:lang w:val="zh-CN"/>
        </w:rPr>
        <w:t>南雄市人民医院对接粤北地区首例使用直升机进行救护。因两名患者伤情严重，南雄市人民医院请求支援，得到韶关市120急救指挥中心同意并立即派出直升机进行航空救护，这是粤北地区首例使用直升机进行航空救护运转急救病人的实战操作。</w:t>
      </w:r>
    </w:p>
    <w:p w14:paraId="4C807E3B">
      <w:pPr>
        <w:pStyle w:val="3"/>
        <w:bidi w:val="0"/>
        <w:rPr>
          <w:rFonts w:hint="eastAsia"/>
          <w:lang w:val="zh-CN"/>
        </w:rPr>
      </w:pPr>
      <w:r>
        <w:rPr>
          <w:rFonts w:hint="eastAsia"/>
          <w:lang w:val="zh-CN"/>
        </w:rPr>
        <w:t>三月</w:t>
      </w:r>
    </w:p>
    <w:p w14:paraId="6B0C3E07">
      <w:pPr>
        <w:bidi w:val="0"/>
        <w:rPr>
          <w:rFonts w:hint="eastAsia"/>
          <w:lang w:val="zh-CN"/>
        </w:rPr>
      </w:pPr>
      <w:r>
        <w:rPr>
          <w:rFonts w:hint="eastAsia"/>
          <w:b/>
          <w:bCs/>
          <w:lang w:val="zh-CN"/>
        </w:rPr>
        <w:t>11日</w:t>
      </w:r>
      <w:r>
        <w:rPr>
          <w:rFonts w:hint="eastAsia"/>
          <w:b/>
          <w:bCs/>
          <w:lang w:val="en-US" w:eastAsia="zh-CN"/>
        </w:rPr>
        <w:t xml:space="preserve">   </w:t>
      </w:r>
      <w:r>
        <w:rPr>
          <w:rFonts w:hint="eastAsia"/>
          <w:lang w:val="zh-CN"/>
        </w:rPr>
        <w:t>南雄市委书记王碧安主持召开市委理论学习中心组会议，专题学习传达习近平总书记参加十三届全国人大一次会议广东代表团审议中的重要讲话精神。</w:t>
      </w:r>
    </w:p>
    <w:p w14:paraId="71C4F0F0">
      <w:pPr>
        <w:bidi w:val="0"/>
        <w:rPr>
          <w:rFonts w:hint="eastAsia"/>
          <w:lang w:val="zh-CN"/>
        </w:rPr>
      </w:pPr>
      <w:r>
        <w:rPr>
          <w:rFonts w:hint="eastAsia"/>
          <w:b/>
          <w:bCs/>
          <w:lang w:val="zh-CN"/>
        </w:rPr>
        <w:t>13日</w:t>
      </w:r>
      <w:r>
        <w:rPr>
          <w:rFonts w:hint="eastAsia"/>
          <w:b/>
          <w:bCs/>
          <w:lang w:val="en-US" w:eastAsia="zh-CN"/>
        </w:rPr>
        <w:t xml:space="preserve">   </w:t>
      </w:r>
      <w:r>
        <w:rPr>
          <w:rFonts w:hint="eastAsia"/>
          <w:lang w:val="zh-CN"/>
        </w:rPr>
        <w:t>南雄市召开巡视工作动员会，广东省委第十二巡视组组长张培忠作动员讲话。</w:t>
      </w:r>
    </w:p>
    <w:p w14:paraId="1B5FE2C5">
      <w:pPr>
        <w:bidi w:val="0"/>
        <w:rPr>
          <w:rFonts w:hint="eastAsia"/>
          <w:lang w:val="zh-CN"/>
        </w:rPr>
      </w:pPr>
      <w:r>
        <w:rPr>
          <w:rFonts w:hint="eastAsia"/>
          <w:b/>
          <w:bCs/>
          <w:lang w:val="zh-CN"/>
        </w:rPr>
        <w:t>14日</w:t>
      </w:r>
      <w:r>
        <w:rPr>
          <w:rFonts w:hint="eastAsia"/>
          <w:b/>
          <w:bCs/>
          <w:lang w:val="en-US" w:eastAsia="zh-CN"/>
        </w:rPr>
        <w:t xml:space="preserve">   </w:t>
      </w:r>
      <w:r>
        <w:rPr>
          <w:rFonts w:hint="eastAsia"/>
          <w:lang w:val="zh-CN"/>
        </w:rPr>
        <w:t>广东省发改委主任何宁卡调研南雄市县域经济创新和红色旅游发展情况。</w:t>
      </w:r>
    </w:p>
    <w:p w14:paraId="55D5C5E5">
      <w:pPr>
        <w:bidi w:val="0"/>
        <w:rPr>
          <w:rFonts w:hint="eastAsia"/>
          <w:lang w:val="zh-CN"/>
        </w:rPr>
      </w:pPr>
      <w:r>
        <w:rPr>
          <w:rFonts w:hint="eastAsia"/>
          <w:b/>
          <w:bCs/>
          <w:lang w:val="zh-CN"/>
        </w:rPr>
        <w:t>24日</w:t>
      </w:r>
      <w:r>
        <w:rPr>
          <w:rFonts w:hint="eastAsia"/>
          <w:b/>
          <w:bCs/>
          <w:lang w:val="en-US" w:eastAsia="zh-CN"/>
        </w:rPr>
        <w:t xml:space="preserve">   </w:t>
      </w:r>
      <w:r>
        <w:rPr>
          <w:rFonts w:hint="eastAsia"/>
          <w:lang w:val="zh-CN"/>
        </w:rPr>
        <w:t>上午南雄市油山镇举行“重走长征路·再创新辉煌——2018广东省红色旅游系列活动启动仪式”。南雄籍开国少将彭显伦后人和原南雄县委书记、烈士彭显模同志后人、老游击队战士代表、新闻媒体、旅行社代表、徒步爱好者等2300多人参加活动。</w:t>
      </w:r>
    </w:p>
    <w:p w14:paraId="64F6ABEC">
      <w:pPr>
        <w:bidi w:val="0"/>
        <w:rPr>
          <w:rFonts w:hint="eastAsia"/>
          <w:lang w:val="zh-CN"/>
        </w:rPr>
      </w:pPr>
      <w:r>
        <w:rPr>
          <w:rFonts w:hint="eastAsia"/>
          <w:b/>
          <w:bCs/>
          <w:lang w:val="zh-CN"/>
        </w:rPr>
        <w:t>27—28日</w:t>
      </w:r>
      <w:r>
        <w:rPr>
          <w:rFonts w:hint="eastAsia"/>
          <w:b/>
          <w:bCs/>
          <w:lang w:val="en-US" w:eastAsia="zh-CN"/>
        </w:rPr>
        <w:t xml:space="preserve">   </w:t>
      </w:r>
      <w:r>
        <w:rPr>
          <w:rFonts w:hint="eastAsia"/>
          <w:lang w:val="zh-CN"/>
        </w:rPr>
        <w:t>中国人民政治协商会议南雄市第十届委员会第三次会议召开。</w:t>
      </w:r>
    </w:p>
    <w:p w14:paraId="6A8334CC">
      <w:pPr>
        <w:bidi w:val="0"/>
        <w:rPr>
          <w:rFonts w:hint="eastAsia"/>
          <w:lang w:val="zh-CN"/>
        </w:rPr>
      </w:pPr>
      <w:r>
        <w:rPr>
          <w:rFonts w:hint="eastAsia"/>
          <w:b/>
          <w:bCs/>
          <w:lang w:val="zh-CN"/>
        </w:rPr>
        <w:t>28—29日</w:t>
      </w:r>
      <w:r>
        <w:rPr>
          <w:rFonts w:hint="eastAsia"/>
          <w:b/>
          <w:bCs/>
          <w:lang w:val="en-US" w:eastAsia="zh-CN"/>
        </w:rPr>
        <w:t xml:space="preserve">   </w:t>
      </w:r>
      <w:r>
        <w:rPr>
          <w:rFonts w:hint="eastAsia"/>
          <w:lang w:val="zh-CN"/>
        </w:rPr>
        <w:t>南雄市十五届人民代表大会第四次会议召开，大会依法选举肖丽琼等8名市人大常委会委员，表决通过市政府工作报告、市人民法院工作报告和市人民检察院工作报告。</w:t>
      </w:r>
    </w:p>
    <w:p w14:paraId="084CCA33">
      <w:pPr>
        <w:bidi w:val="0"/>
        <w:rPr>
          <w:rFonts w:hint="eastAsia"/>
          <w:lang w:val="zh-CN"/>
        </w:rPr>
      </w:pPr>
      <w:r>
        <w:rPr>
          <w:rFonts w:hint="eastAsia"/>
          <w:b/>
          <w:bCs/>
          <w:lang w:val="zh-CN"/>
        </w:rPr>
        <w:t>30日</w:t>
      </w:r>
      <w:r>
        <w:rPr>
          <w:rFonts w:hint="eastAsia"/>
          <w:b/>
          <w:bCs/>
          <w:lang w:val="en-US" w:eastAsia="zh-CN"/>
        </w:rPr>
        <w:t xml:space="preserve">   </w:t>
      </w:r>
      <w:r>
        <w:rPr>
          <w:rFonts w:hint="eastAsia"/>
          <w:lang w:val="zh-CN"/>
        </w:rPr>
        <w:t>南雄市组织100多名外出乡贤回家“省亲”并召开2018年外出乡贤经贸座谈会。</w:t>
      </w:r>
    </w:p>
    <w:p w14:paraId="3392CAE2">
      <w:pPr>
        <w:pStyle w:val="3"/>
        <w:bidi w:val="0"/>
        <w:rPr>
          <w:rFonts w:hint="eastAsia"/>
          <w:lang w:val="zh-CN"/>
        </w:rPr>
      </w:pPr>
      <w:r>
        <w:rPr>
          <w:rFonts w:hint="eastAsia"/>
          <w:lang w:val="zh-CN"/>
        </w:rPr>
        <w:t>四月</w:t>
      </w:r>
    </w:p>
    <w:p w14:paraId="5E34CD0B">
      <w:pPr>
        <w:bidi w:val="0"/>
        <w:rPr>
          <w:rFonts w:hint="eastAsia"/>
          <w:lang w:val="zh-CN"/>
        </w:rPr>
      </w:pPr>
      <w:r>
        <w:rPr>
          <w:rFonts w:hint="eastAsia"/>
          <w:b/>
          <w:bCs/>
          <w:lang w:val="zh-CN"/>
        </w:rPr>
        <w:t>2日</w:t>
      </w:r>
      <w:r>
        <w:rPr>
          <w:rFonts w:hint="eastAsia"/>
          <w:b/>
          <w:bCs/>
          <w:lang w:val="en-US" w:eastAsia="zh-CN"/>
        </w:rPr>
        <w:t xml:space="preserve">   </w:t>
      </w:r>
      <w:r>
        <w:rPr>
          <w:rFonts w:hint="eastAsia"/>
          <w:lang w:val="zh-CN"/>
        </w:rPr>
        <w:t>南雄市国税局、地税局共同举行“联合办税服务厅进驻公共服务中心”启用仪式，在韶关率先开启国地税共同进驻公共服务中心的办税新模式。</w:t>
      </w:r>
    </w:p>
    <w:p w14:paraId="324B131A">
      <w:pPr>
        <w:bidi w:val="0"/>
        <w:rPr>
          <w:rFonts w:hint="eastAsia"/>
          <w:lang w:val="zh-CN"/>
        </w:rPr>
      </w:pPr>
      <w:r>
        <w:rPr>
          <w:rFonts w:hint="eastAsia"/>
          <w:b/>
          <w:bCs/>
          <w:lang w:val="zh-CN"/>
        </w:rPr>
        <w:t>4日</w:t>
      </w:r>
      <w:r>
        <w:rPr>
          <w:rFonts w:hint="eastAsia"/>
          <w:b/>
          <w:bCs/>
          <w:lang w:val="en-US" w:eastAsia="zh-CN"/>
        </w:rPr>
        <w:t xml:space="preserve">   </w:t>
      </w:r>
      <w:r>
        <w:rPr>
          <w:rFonts w:hint="eastAsia"/>
          <w:lang w:val="zh-CN"/>
        </w:rPr>
        <w:t>南雄市在烈士陵园举行陈召南烈士遗骸安放仪式，缅怀革命先辈，传承革命精神。</w:t>
      </w:r>
    </w:p>
    <w:p w14:paraId="00ED23CA">
      <w:pPr>
        <w:bidi w:val="0"/>
        <w:rPr>
          <w:rFonts w:hint="eastAsia"/>
          <w:lang w:val="zh-CN"/>
        </w:rPr>
      </w:pPr>
      <w:r>
        <w:rPr>
          <w:rFonts w:hint="eastAsia"/>
          <w:b/>
          <w:bCs/>
          <w:lang w:val="zh-CN"/>
        </w:rPr>
        <w:t>11日</w:t>
      </w:r>
      <w:r>
        <w:rPr>
          <w:rFonts w:hint="eastAsia"/>
          <w:b/>
          <w:bCs/>
          <w:lang w:val="en-US" w:eastAsia="zh-CN"/>
        </w:rPr>
        <w:t xml:space="preserve">   </w:t>
      </w:r>
      <w:r>
        <w:rPr>
          <w:rFonts w:hint="eastAsia"/>
          <w:lang w:val="zh-CN"/>
        </w:rPr>
        <w:t>南雄市与广东省风力发电有限公司正式签订朱安村风电场项目，项目总投资额约为10亿元。南雄市委副书记、市长林小龙参加签约仪式。</w:t>
      </w:r>
    </w:p>
    <w:p w14:paraId="56954317">
      <w:pPr>
        <w:bidi w:val="0"/>
        <w:rPr>
          <w:rFonts w:hint="eastAsia"/>
          <w:lang w:val="zh-CN"/>
        </w:rPr>
      </w:pPr>
      <w:r>
        <w:rPr>
          <w:rFonts w:hint="eastAsia"/>
          <w:b/>
          <w:bCs/>
          <w:lang w:val="zh-CN"/>
        </w:rPr>
        <w:t>16日</w:t>
      </w:r>
      <w:r>
        <w:rPr>
          <w:rFonts w:hint="eastAsia"/>
          <w:b/>
          <w:bCs/>
          <w:lang w:val="en-US" w:eastAsia="zh-CN"/>
        </w:rPr>
        <w:t xml:space="preserve">   </w:t>
      </w:r>
      <w:r>
        <w:rPr>
          <w:rFonts w:hint="eastAsia"/>
          <w:lang w:val="zh-CN"/>
        </w:rPr>
        <w:t>南雄市召开市委理论学习中心组学习（扩大）会议。广东省委宣传部《习近平谈治国理政》第二卷宣讲团成员、广东省人民政府参事室特聘参事、《羊城晚报》副总编辑周建平应邀在会上作专题辅导报告。</w:t>
      </w:r>
    </w:p>
    <w:p w14:paraId="060B7924">
      <w:pPr>
        <w:bidi w:val="0"/>
        <w:rPr>
          <w:rFonts w:hint="eastAsia"/>
          <w:lang w:val="zh-CN"/>
        </w:rPr>
      </w:pPr>
      <w:r>
        <w:rPr>
          <w:rFonts w:hint="eastAsia"/>
          <w:b/>
          <w:bCs/>
          <w:lang w:val="zh-CN"/>
        </w:rPr>
        <w:t>17日</w:t>
      </w:r>
      <w:r>
        <w:rPr>
          <w:rFonts w:hint="eastAsia"/>
          <w:b/>
          <w:bCs/>
          <w:lang w:val="en-US" w:eastAsia="zh-CN"/>
        </w:rPr>
        <w:t xml:space="preserve">   </w:t>
      </w:r>
      <w:r>
        <w:rPr>
          <w:rFonts w:hint="eastAsia"/>
          <w:lang w:val="zh-CN"/>
        </w:rPr>
        <w:t>广东省老区建设促进会会长陈开枝到南雄市调研指导老区新农村建设工作，并召开座谈会深入交流。</w:t>
      </w:r>
    </w:p>
    <w:p w14:paraId="51CDD4C4">
      <w:pPr>
        <w:bidi w:val="0"/>
        <w:rPr>
          <w:rFonts w:hint="eastAsia"/>
          <w:lang w:val="zh-CN"/>
        </w:rPr>
      </w:pPr>
      <w:r>
        <w:rPr>
          <w:rFonts w:hint="eastAsia"/>
          <w:b/>
          <w:bCs/>
          <w:lang w:val="zh-CN"/>
        </w:rPr>
        <w:t>是日</w:t>
      </w:r>
      <w:r>
        <w:rPr>
          <w:rFonts w:hint="eastAsia"/>
          <w:b/>
          <w:bCs/>
          <w:lang w:val="en-US" w:eastAsia="zh-CN"/>
        </w:rPr>
        <w:t xml:space="preserve">   </w:t>
      </w:r>
      <w:r>
        <w:rPr>
          <w:rFonts w:hint="eastAsia"/>
          <w:lang w:val="zh-CN"/>
        </w:rPr>
        <w:t>南雄市在梅关古道景区举行华南师范大学美术学院教学实习基地揭牌仪式，开创高校与地方合作的新型教育合作模式。南雄市委副书记、市长林小龙参加活动。</w:t>
      </w:r>
    </w:p>
    <w:p w14:paraId="3D8CFAE6">
      <w:pPr>
        <w:bidi w:val="0"/>
        <w:rPr>
          <w:rFonts w:hint="eastAsia"/>
          <w:lang w:val="zh-CN"/>
        </w:rPr>
      </w:pPr>
      <w:r>
        <w:rPr>
          <w:rFonts w:hint="eastAsia"/>
          <w:b/>
          <w:bCs/>
          <w:lang w:val="zh-CN"/>
        </w:rPr>
        <w:t>23日</w:t>
      </w:r>
      <w:r>
        <w:rPr>
          <w:rFonts w:hint="eastAsia"/>
          <w:b/>
          <w:bCs/>
          <w:lang w:val="en-US" w:eastAsia="zh-CN"/>
        </w:rPr>
        <w:t xml:space="preserve">   </w:t>
      </w:r>
      <w:r>
        <w:rPr>
          <w:rFonts w:hint="eastAsia"/>
          <w:lang w:val="zh-CN"/>
        </w:rPr>
        <w:t>南雄市举行海伦罗曼钢琴项目签约仪式。项目计划总投资3000万元，进一步加强南雄钢琴产业品牌建设，推动音乐艺术文化旅游发展。南雄市委副书记、市长林小龙参加签约仪式。</w:t>
      </w:r>
    </w:p>
    <w:p w14:paraId="3633189C">
      <w:pPr>
        <w:bidi w:val="0"/>
        <w:rPr>
          <w:rFonts w:hint="eastAsia"/>
          <w:lang w:val="zh-CN"/>
        </w:rPr>
      </w:pPr>
      <w:r>
        <w:rPr>
          <w:rFonts w:hint="eastAsia"/>
          <w:b/>
          <w:bCs/>
          <w:lang w:val="zh-CN"/>
        </w:rPr>
        <w:t>是日</w:t>
      </w:r>
      <w:r>
        <w:rPr>
          <w:rFonts w:hint="eastAsia"/>
          <w:b/>
          <w:bCs/>
          <w:lang w:val="en-US" w:eastAsia="zh-CN"/>
        </w:rPr>
        <w:t xml:space="preserve">   </w:t>
      </w:r>
      <w:r>
        <w:rPr>
          <w:rFonts w:hint="eastAsia"/>
          <w:lang w:val="zh-CN"/>
        </w:rPr>
        <w:t>南雄市在雄州公园举办党员干部职工读书活动暨“世界读书日”全民阅读活动启动仪式。</w:t>
      </w:r>
    </w:p>
    <w:p w14:paraId="3AA2BDD8">
      <w:pPr>
        <w:bidi w:val="0"/>
        <w:rPr>
          <w:rFonts w:hint="eastAsia"/>
          <w:lang w:val="zh-CN"/>
        </w:rPr>
      </w:pPr>
      <w:r>
        <w:rPr>
          <w:rFonts w:hint="eastAsia"/>
          <w:b/>
          <w:bCs/>
          <w:lang w:val="zh-CN"/>
        </w:rPr>
        <w:t>25—26日</w:t>
      </w:r>
      <w:r>
        <w:rPr>
          <w:rFonts w:hint="eastAsia"/>
          <w:b/>
          <w:bCs/>
          <w:lang w:val="en-US" w:eastAsia="zh-CN"/>
        </w:rPr>
        <w:t xml:space="preserve">   </w:t>
      </w:r>
      <w:r>
        <w:rPr>
          <w:rFonts w:hint="eastAsia"/>
          <w:lang w:val="zh-CN"/>
        </w:rPr>
        <w:t>广东省政协香港委员视察南雄市“推进美丽宜居乡村建设”工作。</w:t>
      </w:r>
    </w:p>
    <w:p w14:paraId="4724724C">
      <w:pPr>
        <w:bidi w:val="0"/>
        <w:rPr>
          <w:rFonts w:hint="eastAsia"/>
          <w:lang w:val="zh-CN"/>
        </w:rPr>
      </w:pPr>
      <w:r>
        <w:rPr>
          <w:rFonts w:hint="eastAsia"/>
          <w:b/>
          <w:bCs/>
          <w:lang w:val="zh-CN"/>
        </w:rPr>
        <w:t>27日</w:t>
      </w:r>
      <w:r>
        <w:rPr>
          <w:rFonts w:hint="eastAsia"/>
          <w:b/>
          <w:bCs/>
          <w:lang w:val="en-US" w:eastAsia="zh-CN"/>
        </w:rPr>
        <w:t xml:space="preserve">   </w:t>
      </w:r>
      <w:r>
        <w:rPr>
          <w:rFonts w:hint="eastAsia"/>
          <w:lang w:val="zh-CN"/>
        </w:rPr>
        <w:t>南雄市学习习近平总书记重要讲话精神专题研讨班开班。</w:t>
      </w:r>
    </w:p>
    <w:p w14:paraId="2F503A38">
      <w:pPr>
        <w:pStyle w:val="3"/>
        <w:bidi w:val="0"/>
        <w:rPr>
          <w:rFonts w:hint="eastAsia"/>
          <w:lang w:val="zh-CN"/>
        </w:rPr>
      </w:pPr>
      <w:r>
        <w:rPr>
          <w:rFonts w:hint="eastAsia"/>
          <w:lang w:val="zh-CN"/>
        </w:rPr>
        <w:t>五月</w:t>
      </w:r>
    </w:p>
    <w:p w14:paraId="556262A2">
      <w:pPr>
        <w:bidi w:val="0"/>
        <w:rPr>
          <w:rFonts w:hint="eastAsia"/>
          <w:lang w:val="zh-CN"/>
        </w:rPr>
      </w:pPr>
      <w:r>
        <w:rPr>
          <w:rFonts w:hint="eastAsia"/>
          <w:b/>
          <w:bCs/>
          <w:lang w:val="zh-CN"/>
        </w:rPr>
        <w:t>9日</w:t>
      </w:r>
      <w:r>
        <w:rPr>
          <w:rFonts w:hint="eastAsia"/>
          <w:b/>
          <w:bCs/>
          <w:lang w:val="en-US" w:eastAsia="zh-CN"/>
        </w:rPr>
        <w:t xml:space="preserve">   </w:t>
      </w:r>
      <w:r>
        <w:rPr>
          <w:rFonts w:hint="eastAsia"/>
          <w:lang w:val="zh-CN"/>
        </w:rPr>
        <w:t>南雄市举行精细化工产业知名品牌示范区“精益生产大赛”启动仪式，引导企业创新管理和提质增效，推动示范区建设。</w:t>
      </w:r>
    </w:p>
    <w:p w14:paraId="2B701FAB">
      <w:pPr>
        <w:bidi w:val="0"/>
        <w:rPr>
          <w:rFonts w:hint="eastAsia"/>
          <w:lang w:val="zh-CN"/>
        </w:rPr>
      </w:pPr>
      <w:r>
        <w:rPr>
          <w:rFonts w:hint="eastAsia"/>
          <w:b/>
          <w:bCs/>
          <w:lang w:val="zh-CN"/>
        </w:rPr>
        <w:t>11日</w:t>
      </w:r>
      <w:r>
        <w:rPr>
          <w:rFonts w:hint="eastAsia"/>
          <w:b/>
          <w:bCs/>
          <w:lang w:val="en-US" w:eastAsia="zh-CN"/>
        </w:rPr>
        <w:t xml:space="preserve">   </w:t>
      </w:r>
      <w:r>
        <w:rPr>
          <w:rFonts w:hint="eastAsia"/>
          <w:lang w:val="zh-CN"/>
        </w:rPr>
        <w:t>南雄市与陕西省汉中市南郑区在南雄市油山革命纪念园共同举行何挺颖烈士立碑仪式。</w:t>
      </w:r>
    </w:p>
    <w:p w14:paraId="3896DDEB">
      <w:pPr>
        <w:bidi w:val="0"/>
        <w:rPr>
          <w:rFonts w:hint="eastAsia"/>
          <w:lang w:val="zh-CN"/>
        </w:rPr>
      </w:pPr>
      <w:r>
        <w:rPr>
          <w:rFonts w:hint="eastAsia"/>
          <w:b/>
          <w:bCs/>
          <w:lang w:val="zh-CN"/>
        </w:rPr>
        <w:t>25日</w:t>
      </w:r>
      <w:r>
        <w:rPr>
          <w:rFonts w:hint="eastAsia"/>
          <w:b/>
          <w:bCs/>
          <w:lang w:val="en-US" w:eastAsia="zh-CN"/>
        </w:rPr>
        <w:t xml:space="preserve">   </w:t>
      </w:r>
      <w:r>
        <w:rPr>
          <w:rFonts w:hint="eastAsia"/>
          <w:lang w:val="zh-CN"/>
        </w:rPr>
        <w:t>南雄市召开“整县推进村镇生活污水处理基础设施PPP项目”专家评审会议并通过专家组评审。PPP模式即公私合营模式，适用于公益性较强的项目。在这个模式下，政府参与全过程经营，与社会主体建立起“利益共享、风险共担、全程合作”的共同体关系。在有效减轻政府财政负担的同时，减小社会主体的投资风险，实现合作双方都取得更有利的结果。</w:t>
      </w:r>
    </w:p>
    <w:p w14:paraId="008FC3AC">
      <w:pPr>
        <w:bidi w:val="0"/>
        <w:rPr>
          <w:rFonts w:hint="eastAsia"/>
          <w:lang w:val="zh-CN"/>
        </w:rPr>
      </w:pPr>
      <w:r>
        <w:rPr>
          <w:rFonts w:hint="eastAsia"/>
          <w:b/>
          <w:bCs/>
          <w:lang w:val="zh-CN"/>
        </w:rPr>
        <w:t>31日</w:t>
      </w:r>
      <w:r>
        <w:rPr>
          <w:rFonts w:hint="eastAsia"/>
          <w:b/>
          <w:bCs/>
          <w:lang w:val="en-US" w:eastAsia="zh-CN"/>
        </w:rPr>
        <w:t xml:space="preserve">   </w:t>
      </w:r>
      <w:r>
        <w:rPr>
          <w:rFonts w:hint="eastAsia"/>
          <w:lang w:val="zh-CN"/>
        </w:rPr>
        <w:t>南雄市与广州至信药业股份有限公司成功签约“南药大健康产业园”项目。这个项目计划三年内投资5亿元以上，创建一个规模种植面积1333.33公顷以上、年生产中药饮片超过5000吨，集“规模种植、加工研发、品牌流通、示范带动、产业展示、养生体验、休闲服务”于一体的现代农业产业园。南雄市委副书记、市长林小龙，广州至信药业、汇浦医药代表主要负责人出席签约仪式。</w:t>
      </w:r>
    </w:p>
    <w:p w14:paraId="52406057">
      <w:pPr>
        <w:pStyle w:val="3"/>
        <w:bidi w:val="0"/>
        <w:rPr>
          <w:rFonts w:hint="eastAsia"/>
          <w:lang w:val="zh-CN"/>
        </w:rPr>
      </w:pPr>
      <w:r>
        <w:rPr>
          <w:rFonts w:hint="eastAsia"/>
          <w:lang w:val="zh-CN"/>
        </w:rPr>
        <w:t>六月</w:t>
      </w:r>
    </w:p>
    <w:p w14:paraId="76EBC303">
      <w:pPr>
        <w:bidi w:val="0"/>
        <w:rPr>
          <w:rFonts w:hint="eastAsia"/>
          <w:lang w:val="zh-CN"/>
        </w:rPr>
      </w:pPr>
      <w:r>
        <w:rPr>
          <w:rFonts w:hint="eastAsia"/>
          <w:b/>
          <w:bCs/>
          <w:lang w:val="zh-CN"/>
        </w:rPr>
        <w:t>1日</w:t>
      </w:r>
      <w:r>
        <w:rPr>
          <w:rFonts w:hint="eastAsia"/>
          <w:b/>
          <w:bCs/>
          <w:lang w:val="en-US" w:eastAsia="zh-CN"/>
        </w:rPr>
        <w:t xml:space="preserve">   </w:t>
      </w:r>
      <w:r>
        <w:rPr>
          <w:rFonts w:hint="eastAsia"/>
          <w:lang w:val="zh-CN"/>
        </w:rPr>
        <w:t>南雄市举行市第三小学和古市镇中心幼儿园启用仪式，学校位于古市镇，总投资约7300万元，小学规划总占地面积2.67万平方米，建筑总面积5287平方米，能容纳12个班600名学生；幼儿园规划总占地面积3700平方米，建筑总面积1882平方米，能容纳9个班300名幼儿。古市镇中心小学更名为南雄市第三小学。南雄市委书记王碧安参加活动。</w:t>
      </w:r>
    </w:p>
    <w:p w14:paraId="2D8692E5">
      <w:pPr>
        <w:bidi w:val="0"/>
        <w:rPr>
          <w:rFonts w:hint="eastAsia"/>
          <w:lang w:val="zh-CN"/>
        </w:rPr>
      </w:pPr>
      <w:r>
        <w:rPr>
          <w:rFonts w:hint="eastAsia"/>
          <w:b/>
          <w:bCs/>
          <w:lang w:val="zh-CN"/>
        </w:rPr>
        <w:t>4日</w:t>
      </w:r>
      <w:r>
        <w:rPr>
          <w:rFonts w:hint="eastAsia"/>
          <w:b/>
          <w:bCs/>
          <w:lang w:val="en-US" w:eastAsia="zh-CN"/>
        </w:rPr>
        <w:t xml:space="preserve">   </w:t>
      </w:r>
      <w:r>
        <w:rPr>
          <w:rFonts w:hint="eastAsia"/>
          <w:lang w:val="zh-CN"/>
        </w:rPr>
        <w:t>南雄市人民政府与广东中烟工业有限责任公司韶关卷烟厂完成签约仪式，原南雄卷烟厂资产全部转移为南雄市人民政府所有。南雄市委书记王碧安，广东中烟公司党组成员、副总经理区广安，韶关卷烟厂党委书记、厂长何锦章参加活动。 </w:t>
      </w:r>
    </w:p>
    <w:p w14:paraId="582FC1DD">
      <w:pPr>
        <w:bidi w:val="0"/>
        <w:rPr>
          <w:rFonts w:hint="eastAsia"/>
          <w:lang w:val="zh-CN"/>
        </w:rPr>
      </w:pPr>
      <w:r>
        <w:rPr>
          <w:rFonts w:hint="eastAsia"/>
          <w:b/>
          <w:bCs/>
          <w:lang w:val="zh-CN"/>
        </w:rPr>
        <w:t>是日</w:t>
      </w:r>
      <w:r>
        <w:rPr>
          <w:rFonts w:hint="eastAsia"/>
          <w:b/>
          <w:bCs/>
          <w:lang w:val="en-US" w:eastAsia="zh-CN"/>
        </w:rPr>
        <w:t xml:space="preserve">   </w:t>
      </w:r>
      <w:r>
        <w:rPr>
          <w:rFonts w:hint="eastAsia"/>
          <w:lang w:val="zh-CN"/>
        </w:rPr>
        <w:t>南雄市人民医院医共体、南雄市中医院妇计院医共体揭牌仪式分别在市人民医院、市中医院举行。南雄市委副书记、市长林小龙参加仪式。</w:t>
      </w:r>
    </w:p>
    <w:p w14:paraId="79DDF1D3">
      <w:pPr>
        <w:bidi w:val="0"/>
        <w:rPr>
          <w:rFonts w:hint="eastAsia"/>
          <w:lang w:val="zh-CN"/>
        </w:rPr>
      </w:pPr>
      <w:r>
        <w:rPr>
          <w:rFonts w:hint="eastAsia"/>
          <w:b/>
          <w:bCs/>
          <w:lang w:val="zh-CN"/>
        </w:rPr>
        <w:t>是日</w:t>
      </w:r>
      <w:r>
        <w:rPr>
          <w:rFonts w:hint="eastAsia"/>
          <w:b/>
          <w:bCs/>
          <w:lang w:val="en-US" w:eastAsia="zh-CN"/>
        </w:rPr>
        <w:t xml:space="preserve">   </w:t>
      </w:r>
      <w:r>
        <w:rPr>
          <w:rFonts w:hint="eastAsia"/>
          <w:lang w:val="zh-CN"/>
        </w:rPr>
        <w:t>南雄市召开“一门式一网式”政务服务、“马上办”改革现场推进会议。南雄市委副书记、市长林小龙出席会议并讲话。</w:t>
      </w:r>
    </w:p>
    <w:p w14:paraId="6698305F">
      <w:pPr>
        <w:bidi w:val="0"/>
        <w:rPr>
          <w:rFonts w:hint="eastAsia"/>
          <w:lang w:val="zh-CN"/>
        </w:rPr>
      </w:pPr>
      <w:r>
        <w:rPr>
          <w:rFonts w:hint="eastAsia"/>
          <w:b/>
          <w:bCs/>
          <w:lang w:val="zh-CN"/>
        </w:rPr>
        <w:t>13—14日</w:t>
      </w:r>
      <w:r>
        <w:rPr>
          <w:rFonts w:hint="eastAsia"/>
          <w:b/>
          <w:bCs/>
          <w:lang w:val="en-US" w:eastAsia="zh-CN"/>
        </w:rPr>
        <w:t xml:space="preserve">   </w:t>
      </w:r>
      <w:r>
        <w:rPr>
          <w:rFonts w:hint="eastAsia"/>
          <w:lang w:val="zh-CN"/>
        </w:rPr>
        <w:t>中国老促会调研组到南雄市调研扶贫工作情况，深入了解革命老区脱贫攻坚进展情况。</w:t>
      </w:r>
    </w:p>
    <w:p w14:paraId="4C1B5697">
      <w:pPr>
        <w:bidi w:val="0"/>
        <w:rPr>
          <w:rFonts w:hint="eastAsia"/>
          <w:lang w:val="zh-CN"/>
        </w:rPr>
      </w:pPr>
      <w:r>
        <w:rPr>
          <w:rFonts w:hint="eastAsia"/>
          <w:b/>
          <w:bCs/>
          <w:lang w:val="zh-CN"/>
        </w:rPr>
        <w:t>15日</w:t>
      </w:r>
      <w:r>
        <w:rPr>
          <w:rFonts w:hint="eastAsia"/>
          <w:b/>
          <w:bCs/>
          <w:lang w:val="en-US" w:eastAsia="zh-CN"/>
        </w:rPr>
        <w:t xml:space="preserve">   </w:t>
      </w:r>
      <w:r>
        <w:rPr>
          <w:rFonts w:hint="eastAsia"/>
          <w:lang w:val="zh-CN"/>
        </w:rPr>
        <w:t>历时2年建成的北城大道举行通车仪式，南雄市委书记王碧安主持仪式。北城大道位于南雄市北城区，南起环城东路莲塘路口，北至新国道323线，横跨凌江，道路全长1.26千米，是北城区的主体框架道路，设计速度为60千米/小时，机动车道设置双向六车道，采用沥青砼路面，总投资8900万元，于2016年3月开工建设。</w:t>
      </w:r>
    </w:p>
    <w:p w14:paraId="3D017E73">
      <w:pPr>
        <w:bidi w:val="0"/>
        <w:rPr>
          <w:rFonts w:hint="eastAsia"/>
          <w:lang w:val="zh-CN"/>
        </w:rPr>
      </w:pPr>
      <w:r>
        <w:rPr>
          <w:rFonts w:hint="eastAsia"/>
          <w:b/>
          <w:bCs/>
          <w:lang w:val="zh-CN"/>
        </w:rPr>
        <w:t>17日</w:t>
      </w:r>
      <w:r>
        <w:rPr>
          <w:rFonts w:hint="eastAsia"/>
          <w:b/>
          <w:bCs/>
          <w:lang w:val="en-US" w:eastAsia="zh-CN"/>
        </w:rPr>
        <w:t xml:space="preserve">   </w:t>
      </w:r>
      <w:r>
        <w:rPr>
          <w:rFonts w:hint="eastAsia"/>
          <w:lang w:val="zh-CN"/>
        </w:rPr>
        <w:t>南雄市在珠玑古巷举办“珠玑穿越梦·端午华裳行”第二届中华传统服饰节。</w:t>
      </w:r>
    </w:p>
    <w:p w14:paraId="41A9BA65">
      <w:pPr>
        <w:bidi w:val="0"/>
        <w:rPr>
          <w:rFonts w:hint="eastAsia"/>
          <w:lang w:val="zh-CN"/>
        </w:rPr>
      </w:pPr>
      <w:r>
        <w:rPr>
          <w:rFonts w:hint="eastAsia"/>
          <w:b/>
          <w:bCs/>
          <w:lang w:val="zh-CN"/>
        </w:rPr>
        <w:t>21日</w:t>
      </w:r>
      <w:r>
        <w:rPr>
          <w:rFonts w:hint="eastAsia"/>
          <w:b/>
          <w:bCs/>
          <w:lang w:val="en-US" w:eastAsia="zh-CN"/>
        </w:rPr>
        <w:t xml:space="preserve">   </w:t>
      </w:r>
      <w:r>
        <w:rPr>
          <w:rFonts w:hint="eastAsia"/>
          <w:lang w:val="zh-CN"/>
        </w:rPr>
        <w:t>韶关市水田垦造工作现场会在南雄市召开，与会人员先后前往珠玑镇古田村、古市镇溪口村垦造水田项目点进行现场观摩。韶关市委副书记、市长殷焕明参加会议，并与县市（区）政府代表签订水田垦造责任书。</w:t>
      </w:r>
    </w:p>
    <w:p w14:paraId="338CFE44">
      <w:pPr>
        <w:bidi w:val="0"/>
        <w:rPr>
          <w:rFonts w:hint="eastAsia"/>
          <w:lang w:val="zh-CN"/>
        </w:rPr>
      </w:pPr>
      <w:r>
        <w:rPr>
          <w:rFonts w:hint="eastAsia"/>
          <w:b/>
          <w:bCs/>
          <w:lang w:val="zh-CN"/>
        </w:rPr>
        <w:t>23—24日</w:t>
      </w:r>
      <w:r>
        <w:rPr>
          <w:rFonts w:hint="eastAsia"/>
          <w:b/>
          <w:bCs/>
          <w:lang w:val="en-US" w:eastAsia="zh-CN"/>
        </w:rPr>
        <w:t xml:space="preserve">   </w:t>
      </w:r>
      <w:r>
        <w:rPr>
          <w:rFonts w:hint="eastAsia"/>
          <w:lang w:val="zh-CN"/>
        </w:rPr>
        <w:t>中央农村工作领导小组副组长兼办公室主任、农业农村部部长韩长赋到广东省调研“三农”工作，强调要深入学习贯彻习近平总书记“三农”思想，以乡村振兴战略为总抓手，做好农业农村各项工作。要加强谋划，加大投入，大力发展优势特色产业，深入推进农村人居环境整治，解决发展不平衡不充分问题，努力实现乡村全面振兴。广东省省长马兴瑞、副省长叶贞琴参加调研。韶关市委书记莫高义参加24日在韶调研活动。南雄市委书记王碧安参加在南雄的调研活动。</w:t>
      </w:r>
    </w:p>
    <w:p w14:paraId="21FAB8E1">
      <w:pPr>
        <w:bidi w:val="0"/>
        <w:rPr>
          <w:rFonts w:hint="eastAsia"/>
          <w:lang w:val="zh-CN"/>
        </w:rPr>
      </w:pPr>
      <w:r>
        <w:rPr>
          <w:rFonts w:hint="eastAsia"/>
          <w:b/>
          <w:bCs/>
          <w:lang w:val="zh-CN"/>
        </w:rPr>
        <w:t>24日</w:t>
      </w:r>
      <w:r>
        <w:rPr>
          <w:rFonts w:hint="eastAsia"/>
          <w:b/>
          <w:bCs/>
          <w:lang w:val="en-US" w:eastAsia="zh-CN"/>
        </w:rPr>
        <w:t xml:space="preserve">   </w:t>
      </w:r>
      <w:r>
        <w:rPr>
          <w:rFonts w:hint="eastAsia"/>
          <w:lang w:val="zh-CN"/>
        </w:rPr>
        <w:t>南雄市启动“中国梦·劳动美——新时代·新辉煌”——纪念改革开放40周年“嘉盛杯”散文大赛作家采风活动，邀请全国冰心散文奖得主、中国作家协会会员、广东省作家协会散文创作委员会主任张宇航等40名知名作家走进南雄，宣传、推介南雄。南雄市委书记王碧安为作家采风团授旗。</w:t>
      </w:r>
    </w:p>
    <w:p w14:paraId="4165052C">
      <w:pPr>
        <w:bidi w:val="0"/>
        <w:rPr>
          <w:rFonts w:hint="eastAsia"/>
          <w:lang w:val="zh-CN"/>
        </w:rPr>
      </w:pPr>
      <w:r>
        <w:rPr>
          <w:rFonts w:hint="eastAsia"/>
          <w:b/>
          <w:bCs/>
          <w:lang w:val="zh-CN"/>
        </w:rPr>
        <w:t>26日</w:t>
      </w:r>
      <w:r>
        <w:rPr>
          <w:rFonts w:hint="eastAsia"/>
          <w:b/>
          <w:bCs/>
          <w:lang w:val="en-US" w:eastAsia="zh-CN"/>
        </w:rPr>
        <w:t xml:space="preserve">   </w:t>
      </w:r>
      <w:r>
        <w:rPr>
          <w:rFonts w:hint="eastAsia"/>
          <w:lang w:val="zh-CN"/>
        </w:rPr>
        <w:t>广东中烟工业有限责任公司总经理唐健到邓坊镇邓坊村调研社会主义新农村建设和精准扶贫工作。南雄市委副书记、市长林小龙陪同调研。</w:t>
      </w:r>
    </w:p>
    <w:p w14:paraId="2388AD66">
      <w:pPr>
        <w:bidi w:val="0"/>
        <w:rPr>
          <w:rFonts w:hint="eastAsia"/>
          <w:lang w:val="zh-CN"/>
        </w:rPr>
      </w:pPr>
      <w:r>
        <w:rPr>
          <w:rFonts w:hint="eastAsia"/>
          <w:b/>
          <w:bCs/>
          <w:lang w:val="zh-CN"/>
        </w:rPr>
        <w:t>29日</w:t>
      </w:r>
      <w:r>
        <w:rPr>
          <w:rFonts w:hint="eastAsia"/>
          <w:b/>
          <w:bCs/>
          <w:lang w:val="en-US" w:eastAsia="zh-CN"/>
        </w:rPr>
        <w:t xml:space="preserve">   </w:t>
      </w:r>
      <w:r>
        <w:rPr>
          <w:rFonts w:hint="eastAsia"/>
          <w:lang w:val="zh-CN"/>
        </w:rPr>
        <w:t>全省抓党建促脱贫攻坚工作现场会在南雄召开。会议深入学习贯彻习近平总书记关于脱贫攻坚、乡村振兴的一系列重要指示要求，认真落实中组部抓党建促脱贫攻坚工作座谈会精神和全省乡村振兴工作会议、全省加强基层党组织建设工作会议精神，交流抓党建促脱贫攻坚工作经验做法，研究对策措施，推动工作落实。省委常委、组织部部长邹铭出席会议并讲话。</w:t>
      </w:r>
    </w:p>
    <w:p w14:paraId="7E93AC20">
      <w:pPr>
        <w:bidi w:val="0"/>
        <w:rPr>
          <w:rFonts w:hint="eastAsia"/>
          <w:lang w:val="zh-CN"/>
        </w:rPr>
      </w:pPr>
      <w:r>
        <w:rPr>
          <w:rFonts w:hint="eastAsia"/>
          <w:b/>
          <w:bCs/>
          <w:lang w:val="zh-CN"/>
        </w:rPr>
        <w:t>6月29日—9月6日</w:t>
      </w:r>
      <w:r>
        <w:rPr>
          <w:rFonts w:hint="eastAsia"/>
          <w:b/>
          <w:bCs/>
          <w:lang w:val="en-US" w:eastAsia="zh-CN"/>
        </w:rPr>
        <w:t xml:space="preserve">   </w:t>
      </w:r>
      <w:r>
        <w:rPr>
          <w:rFonts w:hint="eastAsia"/>
          <w:lang w:val="zh-CN"/>
        </w:rPr>
        <w:t>南雄市举办第二届职工男子篮球联赛。有40支代表队约400名运动员参加，历时两个多月126场比赛，南雄市教育系统队获得总决赛冠军。</w:t>
      </w:r>
    </w:p>
    <w:p w14:paraId="6A05DF4C">
      <w:pPr>
        <w:pStyle w:val="3"/>
        <w:bidi w:val="0"/>
        <w:rPr>
          <w:rFonts w:hint="eastAsia"/>
          <w:lang w:val="zh-CN"/>
        </w:rPr>
      </w:pPr>
      <w:r>
        <w:rPr>
          <w:rFonts w:hint="eastAsia"/>
          <w:lang w:val="zh-CN"/>
        </w:rPr>
        <w:t>七月</w:t>
      </w:r>
    </w:p>
    <w:p w14:paraId="09B5AA43">
      <w:pPr>
        <w:bidi w:val="0"/>
        <w:rPr>
          <w:rFonts w:hint="eastAsia"/>
          <w:lang w:val="zh-CN"/>
        </w:rPr>
      </w:pPr>
      <w:r>
        <w:rPr>
          <w:rFonts w:hint="eastAsia"/>
          <w:b/>
          <w:bCs/>
          <w:lang w:val="zh-CN"/>
        </w:rPr>
        <w:t>1日</w:t>
      </w:r>
      <w:r>
        <w:rPr>
          <w:rFonts w:hint="eastAsia"/>
          <w:b/>
          <w:bCs/>
          <w:lang w:val="en-US" w:eastAsia="zh-CN"/>
        </w:rPr>
        <w:t xml:space="preserve">   </w:t>
      </w:r>
      <w:r>
        <w:rPr>
          <w:rFonts w:hint="eastAsia"/>
          <w:lang w:val="zh-CN"/>
        </w:rPr>
        <w:t>南雄市庆祝中国共产党成立97周年暨“七一”表彰大会在南雄大会堂举行。</w:t>
      </w:r>
    </w:p>
    <w:p w14:paraId="796D9BE7">
      <w:pPr>
        <w:bidi w:val="0"/>
        <w:rPr>
          <w:rFonts w:hint="eastAsia"/>
          <w:lang w:val="zh-CN"/>
        </w:rPr>
      </w:pPr>
      <w:r>
        <w:rPr>
          <w:rFonts w:hint="eastAsia"/>
          <w:b/>
          <w:bCs/>
          <w:lang w:val="zh-CN"/>
        </w:rPr>
        <w:t>11日</w:t>
      </w:r>
      <w:r>
        <w:rPr>
          <w:rFonts w:hint="eastAsia"/>
          <w:b/>
          <w:bCs/>
          <w:lang w:val="en-US" w:eastAsia="zh-CN"/>
        </w:rPr>
        <w:t xml:space="preserve">   </w:t>
      </w:r>
      <w:r>
        <w:rPr>
          <w:rFonts w:hint="eastAsia"/>
          <w:lang w:val="zh-CN"/>
        </w:rPr>
        <w:t>南雄市举行广东衡光公司·中科院韩布兴院士南雄工作站签约仪式暨“绿色材料化学与技术的发展”主题讲座。</w:t>
      </w:r>
    </w:p>
    <w:p w14:paraId="54426769">
      <w:pPr>
        <w:bidi w:val="0"/>
        <w:rPr>
          <w:rFonts w:hint="eastAsia"/>
          <w:lang w:val="zh-CN"/>
        </w:rPr>
      </w:pPr>
      <w:r>
        <w:rPr>
          <w:rFonts w:hint="eastAsia"/>
          <w:b/>
          <w:bCs/>
          <w:lang w:val="zh-CN"/>
        </w:rPr>
        <w:t>12日</w:t>
      </w:r>
      <w:r>
        <w:rPr>
          <w:rFonts w:hint="eastAsia"/>
          <w:b/>
          <w:bCs/>
          <w:lang w:val="en-US" w:eastAsia="zh-CN"/>
        </w:rPr>
        <w:t xml:space="preserve">   </w:t>
      </w:r>
      <w:r>
        <w:rPr>
          <w:rFonts w:hint="eastAsia"/>
          <w:lang w:val="zh-CN"/>
        </w:rPr>
        <w:t>南雄市拉开2018年烟叶收购工作序幕，古市烟站在全市率先开磅收烟。南雄市委书记王碧安前往烟站了解烟叶开磅第一天的情况，并为第一磅烟开磅。</w:t>
      </w:r>
    </w:p>
    <w:p w14:paraId="38B5769A">
      <w:pPr>
        <w:bidi w:val="0"/>
        <w:rPr>
          <w:rFonts w:hint="eastAsia"/>
          <w:lang w:val="zh-CN"/>
        </w:rPr>
      </w:pPr>
      <w:r>
        <w:rPr>
          <w:rFonts w:hint="eastAsia"/>
          <w:b/>
          <w:bCs/>
          <w:lang w:val="zh-CN"/>
        </w:rPr>
        <w:t>20日</w:t>
      </w:r>
      <w:r>
        <w:rPr>
          <w:rFonts w:hint="eastAsia"/>
          <w:b/>
          <w:bCs/>
          <w:lang w:val="en-US" w:eastAsia="zh-CN"/>
        </w:rPr>
        <w:t xml:space="preserve">   </w:t>
      </w:r>
      <w:r>
        <w:rPr>
          <w:rFonts w:hint="eastAsia"/>
          <w:lang w:val="zh-CN"/>
        </w:rPr>
        <w:t>国家税务总局南雄市税务局挂牌成立，实现南雄国税、地税合并。</w:t>
      </w:r>
    </w:p>
    <w:p w14:paraId="4D14C008">
      <w:pPr>
        <w:bidi w:val="0"/>
        <w:rPr>
          <w:rFonts w:hint="eastAsia"/>
          <w:lang w:val="zh-CN"/>
        </w:rPr>
      </w:pPr>
      <w:r>
        <w:rPr>
          <w:rFonts w:hint="eastAsia"/>
          <w:b/>
          <w:bCs/>
          <w:lang w:val="zh-CN"/>
        </w:rPr>
        <w:t>是日</w:t>
      </w:r>
      <w:r>
        <w:rPr>
          <w:rFonts w:hint="eastAsia"/>
          <w:b/>
          <w:bCs/>
          <w:lang w:val="en-US" w:eastAsia="zh-CN"/>
        </w:rPr>
        <w:t xml:space="preserve">   </w:t>
      </w:r>
      <w:r>
        <w:rPr>
          <w:rFonts w:hint="eastAsia"/>
          <w:lang w:val="zh-CN"/>
        </w:rPr>
        <w:t>南雄市召开十五届人民代表大会常委会第二十次会议，审议通过《关于南雄市珠玑古巷改造提升工作情况的报告》。</w:t>
      </w:r>
    </w:p>
    <w:p w14:paraId="716AB691">
      <w:pPr>
        <w:bidi w:val="0"/>
        <w:rPr>
          <w:rFonts w:hint="eastAsia"/>
          <w:lang w:val="zh-CN"/>
        </w:rPr>
      </w:pPr>
      <w:r>
        <w:rPr>
          <w:rFonts w:hint="eastAsia"/>
          <w:b/>
          <w:bCs/>
          <w:lang w:val="zh-CN"/>
        </w:rPr>
        <w:t>23日</w:t>
      </w:r>
      <w:r>
        <w:rPr>
          <w:rFonts w:hint="eastAsia"/>
          <w:b/>
          <w:bCs/>
          <w:lang w:val="en-US" w:eastAsia="zh-CN"/>
        </w:rPr>
        <w:t xml:space="preserve">   </w:t>
      </w:r>
      <w:r>
        <w:rPr>
          <w:rFonts w:hint="eastAsia"/>
          <w:lang w:val="zh-CN"/>
        </w:rPr>
        <w:t>南雄市犁牛坪风电场二期项目（梓杉坳风电项目）成功并网投产，并举行庆典仪式。</w:t>
      </w:r>
    </w:p>
    <w:p w14:paraId="347B3349">
      <w:pPr>
        <w:pStyle w:val="3"/>
        <w:bidi w:val="0"/>
        <w:rPr>
          <w:rFonts w:hint="eastAsia"/>
          <w:lang w:val="zh-CN"/>
        </w:rPr>
      </w:pPr>
      <w:r>
        <w:rPr>
          <w:rFonts w:hint="eastAsia"/>
          <w:lang w:val="zh-CN"/>
        </w:rPr>
        <w:t>八月</w:t>
      </w:r>
    </w:p>
    <w:p w14:paraId="469E0F97">
      <w:pPr>
        <w:bidi w:val="0"/>
        <w:rPr>
          <w:rFonts w:hint="eastAsia"/>
          <w:lang w:val="zh-CN"/>
        </w:rPr>
      </w:pPr>
      <w:r>
        <w:rPr>
          <w:rFonts w:hint="eastAsia"/>
          <w:b/>
          <w:bCs/>
          <w:lang w:val="zh-CN"/>
        </w:rPr>
        <w:t>2日</w:t>
      </w:r>
      <w:r>
        <w:rPr>
          <w:rFonts w:hint="eastAsia"/>
          <w:b/>
          <w:bCs/>
          <w:lang w:val="en-US" w:eastAsia="zh-CN"/>
        </w:rPr>
        <w:t xml:space="preserve">   </w:t>
      </w:r>
      <w:r>
        <w:rPr>
          <w:rFonts w:hint="eastAsia"/>
          <w:lang w:val="zh-CN"/>
        </w:rPr>
        <w:t>南雄市召开珠玑文化特色小镇项目对接会，与保利华南实业有限公司—韶关区域及M.A.O设计团队就珠玑文化特色小镇建设相关事宜进行座谈。南雄市委书记王碧安，市委副书记、市长林小龙出席会议。</w:t>
      </w:r>
    </w:p>
    <w:p w14:paraId="695A3B9D">
      <w:pPr>
        <w:bidi w:val="0"/>
        <w:rPr>
          <w:rFonts w:hint="eastAsia"/>
          <w:lang w:val="zh-CN"/>
        </w:rPr>
      </w:pPr>
      <w:r>
        <w:rPr>
          <w:rFonts w:hint="eastAsia"/>
          <w:b/>
          <w:bCs/>
          <w:lang w:val="zh-CN"/>
        </w:rPr>
        <w:t>18日</w:t>
      </w:r>
      <w:r>
        <w:rPr>
          <w:rFonts w:hint="eastAsia"/>
          <w:b/>
          <w:bCs/>
          <w:lang w:val="en-US" w:eastAsia="zh-CN"/>
        </w:rPr>
        <w:t xml:space="preserve">   </w:t>
      </w:r>
      <w:r>
        <w:rPr>
          <w:rFonts w:hint="eastAsia"/>
          <w:lang w:val="zh-CN"/>
        </w:rPr>
        <w:t>南雄市举行首届“中国医师节”暨市中医院建院60周年合并重组20周年主题晚会。南雄市委副书记、市长林小龙出席晚会。</w:t>
      </w:r>
    </w:p>
    <w:p w14:paraId="60CF6FB2">
      <w:pPr>
        <w:bidi w:val="0"/>
        <w:rPr>
          <w:rFonts w:hint="eastAsia"/>
          <w:lang w:val="zh-CN"/>
        </w:rPr>
      </w:pPr>
      <w:r>
        <w:rPr>
          <w:rFonts w:hint="eastAsia"/>
          <w:b/>
          <w:bCs/>
          <w:lang w:val="zh-CN"/>
        </w:rPr>
        <w:t>22日</w:t>
      </w:r>
      <w:r>
        <w:rPr>
          <w:rFonts w:hint="eastAsia"/>
          <w:b/>
          <w:bCs/>
          <w:lang w:val="en-US" w:eastAsia="zh-CN"/>
        </w:rPr>
        <w:t xml:space="preserve">   </w:t>
      </w:r>
      <w:r>
        <w:rPr>
          <w:rFonts w:hint="eastAsia"/>
          <w:lang w:val="zh-CN"/>
        </w:rPr>
        <w:t>韶关市委副书记、市长殷焕明参加南雄市委常委班子巡视整改暨全面彻底肃清李嘉、万庆良恶劣影响专题民主生活会。</w:t>
      </w:r>
    </w:p>
    <w:p w14:paraId="1028C0D9">
      <w:pPr>
        <w:bidi w:val="0"/>
        <w:rPr>
          <w:rFonts w:hint="eastAsia"/>
          <w:lang w:val="zh-CN"/>
        </w:rPr>
      </w:pPr>
      <w:r>
        <w:rPr>
          <w:rFonts w:hint="eastAsia"/>
          <w:b/>
          <w:bCs/>
          <w:lang w:val="zh-CN"/>
        </w:rPr>
        <w:t>26—28日</w:t>
      </w:r>
      <w:r>
        <w:rPr>
          <w:rFonts w:hint="eastAsia"/>
          <w:b/>
          <w:bCs/>
          <w:lang w:val="en-US" w:eastAsia="zh-CN"/>
        </w:rPr>
        <w:t xml:space="preserve">   </w:t>
      </w:r>
      <w:r>
        <w:rPr>
          <w:rFonts w:hint="eastAsia"/>
          <w:lang w:val="zh-CN"/>
        </w:rPr>
        <w:t>举办南雄市第二届“乡贤杯”羽毛球赛，南雄在珠三角地区13个联谊会（商会）组成20支球队。经过3天40多场100多局比赛，A组南雄联谊1队战胜澳门联谊会队获得冠军；B组中山联谊队战胜深圳商会队获得冠军。</w:t>
      </w:r>
    </w:p>
    <w:p w14:paraId="300C128C">
      <w:pPr>
        <w:bidi w:val="0"/>
        <w:rPr>
          <w:rFonts w:hint="eastAsia"/>
          <w:lang w:val="zh-CN"/>
        </w:rPr>
      </w:pPr>
      <w:r>
        <w:rPr>
          <w:rFonts w:hint="eastAsia"/>
          <w:b/>
          <w:bCs/>
          <w:lang w:val="zh-CN"/>
        </w:rPr>
        <w:t>28日</w:t>
      </w:r>
      <w:r>
        <w:rPr>
          <w:rFonts w:hint="eastAsia"/>
          <w:b/>
          <w:bCs/>
          <w:lang w:val="en-US" w:eastAsia="zh-CN"/>
        </w:rPr>
        <w:t xml:space="preserve">   </w:t>
      </w:r>
      <w:r>
        <w:rPr>
          <w:rFonts w:hint="eastAsia"/>
          <w:lang w:val="zh-CN"/>
        </w:rPr>
        <w:t>南雄市召开实施乡村振兴战略暨打赢脱贫攻坚推进会议，现场为12名最可爱的脱贫攻坚人颁奖。</w:t>
      </w:r>
    </w:p>
    <w:p w14:paraId="296AC473">
      <w:pPr>
        <w:bidi w:val="0"/>
        <w:rPr>
          <w:rFonts w:hint="eastAsia"/>
          <w:lang w:val="zh-CN"/>
        </w:rPr>
      </w:pPr>
      <w:r>
        <w:rPr>
          <w:rFonts w:hint="eastAsia"/>
          <w:b/>
          <w:bCs/>
          <w:lang w:val="zh-CN"/>
        </w:rPr>
        <w:t>是日</w:t>
      </w:r>
      <w:r>
        <w:rPr>
          <w:rFonts w:hint="eastAsia"/>
          <w:b/>
          <w:bCs/>
          <w:lang w:val="en-US" w:eastAsia="zh-CN"/>
        </w:rPr>
        <w:t xml:space="preserve">   </w:t>
      </w:r>
      <w:r>
        <w:rPr>
          <w:rFonts w:hint="eastAsia"/>
          <w:lang w:val="zh-CN"/>
        </w:rPr>
        <w:t>南雄市与暨南大学签约“校地共建”，南雄校地共建实践育人基地成立，双方将围绕产业、组织、生态、文化、人才等“五大振兴”进行合作。南雄市委副书记、市长林小龙出席签约仪式。</w:t>
      </w:r>
    </w:p>
    <w:p w14:paraId="46F5E19E">
      <w:pPr>
        <w:bidi w:val="0"/>
        <w:rPr>
          <w:rFonts w:hint="eastAsia"/>
          <w:lang w:val="zh-CN"/>
        </w:rPr>
      </w:pPr>
      <w:r>
        <w:rPr>
          <w:rFonts w:hint="eastAsia"/>
          <w:b/>
          <w:bCs/>
          <w:lang w:val="zh-CN"/>
        </w:rPr>
        <w:t>29日</w:t>
      </w:r>
      <w:r>
        <w:rPr>
          <w:rFonts w:hint="eastAsia"/>
          <w:b/>
          <w:bCs/>
          <w:lang w:val="en-US" w:eastAsia="zh-CN"/>
        </w:rPr>
        <w:t xml:space="preserve">   </w:t>
      </w:r>
      <w:r>
        <w:rPr>
          <w:rFonts w:hint="eastAsia"/>
          <w:lang w:val="zh-CN"/>
        </w:rPr>
        <w:t>南雄市举行招商引资项目集体签约仪式，成功签约7个招商引资项目，总投资达13.6亿元，项目涉及教育、医疗、工业、农产品、田园综合体等方面。南雄市委副书记、市长林小龙出席签约仪式。</w:t>
      </w:r>
    </w:p>
    <w:p w14:paraId="36D9F7CC">
      <w:pPr>
        <w:bidi w:val="0"/>
        <w:rPr>
          <w:rFonts w:hint="eastAsia"/>
          <w:lang w:val="zh-CN"/>
        </w:rPr>
      </w:pPr>
      <w:r>
        <w:rPr>
          <w:rFonts w:hint="eastAsia"/>
          <w:b/>
          <w:bCs/>
          <w:lang w:val="zh-CN"/>
        </w:rPr>
        <w:t>30—31日</w:t>
      </w:r>
      <w:r>
        <w:rPr>
          <w:rFonts w:hint="eastAsia"/>
          <w:b/>
          <w:bCs/>
          <w:lang w:val="en-US" w:eastAsia="zh-CN"/>
        </w:rPr>
        <w:t xml:space="preserve">   </w:t>
      </w:r>
      <w:r>
        <w:rPr>
          <w:rFonts w:hint="eastAsia"/>
          <w:lang w:val="zh-CN"/>
        </w:rPr>
        <w:t>中国林业产业联合会常务副会长封加平到南雄调研生态林业建设工作。南雄市委副书记、市长林小龙陪同调研。</w:t>
      </w:r>
    </w:p>
    <w:p w14:paraId="1F5189E3">
      <w:pPr>
        <w:pStyle w:val="3"/>
        <w:bidi w:val="0"/>
        <w:rPr>
          <w:rFonts w:hint="eastAsia"/>
          <w:lang w:val="zh-CN"/>
        </w:rPr>
      </w:pPr>
      <w:r>
        <w:rPr>
          <w:rFonts w:hint="eastAsia"/>
          <w:lang w:val="zh-CN"/>
        </w:rPr>
        <w:t>九月</w:t>
      </w:r>
    </w:p>
    <w:p w14:paraId="34B8143D">
      <w:pPr>
        <w:bidi w:val="0"/>
        <w:rPr>
          <w:rFonts w:hint="eastAsia"/>
          <w:lang w:val="zh-CN"/>
        </w:rPr>
      </w:pPr>
      <w:r>
        <w:rPr>
          <w:rFonts w:hint="eastAsia"/>
          <w:b/>
          <w:bCs/>
          <w:lang w:val="zh-CN"/>
        </w:rPr>
        <w:t>5日</w:t>
      </w:r>
      <w:r>
        <w:rPr>
          <w:rFonts w:hint="eastAsia"/>
          <w:b/>
          <w:bCs/>
          <w:lang w:val="en-US" w:eastAsia="zh-CN"/>
        </w:rPr>
        <w:t xml:space="preserve">   </w:t>
      </w:r>
      <w:r>
        <w:rPr>
          <w:rFonts w:hint="eastAsia"/>
          <w:lang w:val="zh-CN"/>
        </w:rPr>
        <w:t>肇庆市委副书记张广宁到南雄市珠玑镇灵潭村、角湾村，实地考察调研新农村建设、精准扶贫、基层党建等工作。</w:t>
      </w:r>
    </w:p>
    <w:p w14:paraId="4518CBCA">
      <w:pPr>
        <w:bidi w:val="0"/>
        <w:rPr>
          <w:rFonts w:hint="eastAsia"/>
          <w:lang w:val="zh-CN"/>
        </w:rPr>
      </w:pPr>
      <w:r>
        <w:rPr>
          <w:rFonts w:hint="eastAsia"/>
          <w:b/>
          <w:bCs/>
          <w:lang w:val="zh-CN"/>
        </w:rPr>
        <w:t>7日</w:t>
      </w:r>
      <w:r>
        <w:rPr>
          <w:rFonts w:hint="eastAsia"/>
          <w:b/>
          <w:bCs/>
          <w:lang w:val="en-US" w:eastAsia="zh-CN"/>
        </w:rPr>
        <w:t xml:space="preserve">   </w:t>
      </w:r>
      <w:r>
        <w:rPr>
          <w:rFonts w:hint="eastAsia"/>
          <w:lang w:val="zh-CN"/>
        </w:rPr>
        <w:t>南雄市启动南粤古驿道沿线16个村庄的村史编纂工作，记述内容包括村史由来、区划沿变、地理位置、自然环境、政治经济、文化教育、宗族姓氏、家谱族规、古今人物、古迹遗存、民风民俗、民间艺术、传说故事和大事记等。</w:t>
      </w:r>
    </w:p>
    <w:p w14:paraId="60EB9ABD">
      <w:pPr>
        <w:bidi w:val="0"/>
        <w:rPr>
          <w:rFonts w:hint="eastAsia"/>
          <w:lang w:val="zh-CN"/>
        </w:rPr>
      </w:pPr>
      <w:r>
        <w:rPr>
          <w:rFonts w:hint="eastAsia"/>
          <w:b/>
          <w:bCs/>
          <w:lang w:val="zh-CN"/>
        </w:rPr>
        <w:t>10日</w:t>
      </w:r>
      <w:r>
        <w:rPr>
          <w:rFonts w:hint="eastAsia"/>
          <w:b/>
          <w:bCs/>
          <w:lang w:val="en-US" w:eastAsia="zh-CN"/>
        </w:rPr>
        <w:t xml:space="preserve">   </w:t>
      </w:r>
      <w:r>
        <w:rPr>
          <w:rFonts w:hint="eastAsia"/>
          <w:lang w:val="zh-CN"/>
        </w:rPr>
        <w:t>南雄市举行机关幼儿园雄中路、财贸幼儿园八一路两个新校区启用揭幕仪式。其中机关幼儿园雄中路新校区改造工程总投资800万元，可容纳15个教学班450名学生就读，校区还设有生活体验馆、科学启蒙室、木工坊、陶艺坊等多功能活动室；财贸幼儿园新校区总投资300万元，可容纳5个教学班150名幼儿就读。南雄市委书记王碧安，市委副书记、市长林小龙出席仪式。</w:t>
      </w:r>
    </w:p>
    <w:p w14:paraId="15A25028">
      <w:pPr>
        <w:bidi w:val="0"/>
        <w:rPr>
          <w:rFonts w:hint="eastAsia"/>
          <w:lang w:val="zh-CN"/>
        </w:rPr>
      </w:pPr>
      <w:r>
        <w:rPr>
          <w:rFonts w:hint="eastAsia"/>
          <w:b/>
          <w:bCs/>
          <w:lang w:val="zh-CN"/>
        </w:rPr>
        <w:t>21日</w:t>
      </w:r>
      <w:r>
        <w:rPr>
          <w:rFonts w:hint="eastAsia"/>
          <w:b/>
          <w:bCs/>
          <w:lang w:val="en-US" w:eastAsia="zh-CN"/>
        </w:rPr>
        <w:t xml:space="preserve">   </w:t>
      </w:r>
      <w:r>
        <w:rPr>
          <w:rFonts w:hint="eastAsia"/>
          <w:lang w:val="zh-CN"/>
        </w:rPr>
        <w:t>南雄市湖口镇张屋村举行“三变”改革股份合作社揭牌成立暨新农村建设奠基仪式。韶关市人大常委会副主任张平，南雄市委书记王碧安，市委副书记、市长林小龙出席仪式。 </w:t>
      </w:r>
    </w:p>
    <w:p w14:paraId="7AE75CFA">
      <w:pPr>
        <w:bidi w:val="0"/>
        <w:rPr>
          <w:rFonts w:hint="eastAsia"/>
          <w:lang w:val="zh-CN"/>
        </w:rPr>
      </w:pPr>
      <w:r>
        <w:rPr>
          <w:rFonts w:hint="eastAsia"/>
          <w:b/>
          <w:bCs/>
          <w:lang w:val="zh-CN"/>
        </w:rPr>
        <w:t>是日</w:t>
      </w:r>
      <w:r>
        <w:rPr>
          <w:rFonts w:hint="eastAsia"/>
          <w:b/>
          <w:bCs/>
          <w:lang w:val="en-US" w:eastAsia="zh-CN"/>
        </w:rPr>
        <w:t xml:space="preserve">   </w:t>
      </w:r>
      <w:r>
        <w:rPr>
          <w:rFonts w:hint="eastAsia"/>
          <w:lang w:val="zh-CN"/>
        </w:rPr>
        <w:t>南雄市委书记王碧安主持召开全市扫黑除恶专项斗争领导小组第6次全体成员（扩大）会议，强调要提高政治站位，压实责任，加大涉黑涉恶打击力度，以实际行动增强百姓幸福感和安全感。</w:t>
      </w:r>
    </w:p>
    <w:p w14:paraId="66F4D5B1">
      <w:pPr>
        <w:bidi w:val="0"/>
        <w:rPr>
          <w:rFonts w:hint="eastAsia"/>
          <w:lang w:val="zh-CN"/>
        </w:rPr>
      </w:pPr>
      <w:r>
        <w:rPr>
          <w:rFonts w:hint="eastAsia"/>
          <w:b/>
          <w:bCs/>
          <w:lang w:val="zh-CN"/>
        </w:rPr>
        <w:t>23日</w:t>
      </w:r>
      <w:r>
        <w:rPr>
          <w:rFonts w:hint="eastAsia"/>
          <w:b/>
          <w:bCs/>
          <w:lang w:val="en-US" w:eastAsia="zh-CN"/>
        </w:rPr>
        <w:t xml:space="preserve">   </w:t>
      </w:r>
      <w:r>
        <w:rPr>
          <w:rFonts w:hint="eastAsia"/>
          <w:lang w:val="zh-CN"/>
        </w:rPr>
        <w:t>韶关首届“中国农民丰收节”暨生态农业博览会（南雄分会场）活动在珠玑灵潭村拉开序幕，南雄市委书记王碧安，市委副书记、市长林小龙和韶关农业、旅游部门有关负责人参加活动。</w:t>
      </w:r>
    </w:p>
    <w:p w14:paraId="37A4EDD2">
      <w:pPr>
        <w:pStyle w:val="3"/>
        <w:bidi w:val="0"/>
        <w:rPr>
          <w:rFonts w:hint="eastAsia"/>
          <w:lang w:val="zh-CN"/>
        </w:rPr>
      </w:pPr>
      <w:r>
        <w:rPr>
          <w:rFonts w:hint="eastAsia"/>
          <w:lang w:val="zh-CN"/>
        </w:rPr>
        <w:t>十月</w:t>
      </w:r>
    </w:p>
    <w:p w14:paraId="4A5C329C">
      <w:pPr>
        <w:bidi w:val="0"/>
        <w:rPr>
          <w:rFonts w:hint="eastAsia"/>
          <w:lang w:val="zh-CN"/>
        </w:rPr>
      </w:pPr>
      <w:r>
        <w:rPr>
          <w:rFonts w:hint="eastAsia"/>
          <w:b/>
          <w:bCs/>
          <w:lang w:val="zh-CN"/>
        </w:rPr>
        <w:t>7日</w:t>
      </w:r>
      <w:r>
        <w:rPr>
          <w:rFonts w:hint="eastAsia"/>
          <w:b/>
          <w:bCs/>
          <w:lang w:val="en-US" w:eastAsia="zh-CN"/>
        </w:rPr>
        <w:t xml:space="preserve">   </w:t>
      </w:r>
      <w:r>
        <w:rPr>
          <w:rFonts w:hint="eastAsia"/>
          <w:lang w:val="zh-CN"/>
        </w:rPr>
        <w:t>中国共产党南雄市第十三届委员会第六次全体会议召开，表决通过《中共南雄市委关于深入学习贯彻落实新时代党的建设总要求努力把各级党组织锻造得更加坚强有力的实施意见》。</w:t>
      </w:r>
    </w:p>
    <w:p w14:paraId="27DF2CB1">
      <w:pPr>
        <w:bidi w:val="0"/>
        <w:rPr>
          <w:rFonts w:hint="eastAsia"/>
          <w:lang w:val="zh-CN"/>
        </w:rPr>
      </w:pPr>
      <w:r>
        <w:rPr>
          <w:rFonts w:hint="eastAsia"/>
          <w:b/>
          <w:bCs/>
          <w:lang w:val="zh-CN"/>
        </w:rPr>
        <w:t>是日</w:t>
      </w:r>
      <w:r>
        <w:rPr>
          <w:rFonts w:hint="eastAsia"/>
          <w:b/>
          <w:bCs/>
          <w:lang w:val="en-US" w:eastAsia="zh-CN"/>
        </w:rPr>
        <w:t xml:space="preserve">   </w:t>
      </w:r>
      <w:r>
        <w:rPr>
          <w:rFonts w:hint="eastAsia"/>
          <w:lang w:val="zh-CN"/>
        </w:rPr>
        <w:t>总投资达10亿元的指挥官现代农业田园综合体产业园-南雄示范基地奠基开工，这是2018年南雄市继投资1亿元的汇浦大健康产业园，以及8.8亿元的省级丝苗米现代农业产业园后的第三个农业产业园。南雄市委副书记、市长林小龙出席仪式。</w:t>
      </w:r>
    </w:p>
    <w:p w14:paraId="6093FE65">
      <w:pPr>
        <w:bidi w:val="0"/>
        <w:rPr>
          <w:rFonts w:hint="eastAsia"/>
          <w:lang w:val="zh-CN"/>
        </w:rPr>
      </w:pPr>
      <w:r>
        <w:rPr>
          <w:rFonts w:hint="eastAsia"/>
          <w:b/>
          <w:bCs/>
          <w:lang w:val="zh-CN"/>
        </w:rPr>
        <w:t>9日</w:t>
      </w:r>
      <w:r>
        <w:rPr>
          <w:rFonts w:hint="eastAsia"/>
          <w:b/>
          <w:bCs/>
          <w:lang w:val="en-US" w:eastAsia="zh-CN"/>
        </w:rPr>
        <w:t xml:space="preserve">   </w:t>
      </w:r>
      <w:r>
        <w:rPr>
          <w:rFonts w:hint="eastAsia"/>
          <w:lang w:val="zh-CN"/>
        </w:rPr>
        <w:t>位于南雄市珠玑古巷旅游景区内的广府人家训馆开馆，该馆上下两层共1430平方米展陈大厅，全面展示以“忠、孝、义、礼、勤、德、政”为内容的广府人优良家风家训，运用现代化手段展陈设计，为党员干部、人民群众和青少年学生提供一个修身养性、培德固本的重要精神场所。广东省委宣传部巡视员、省文明办主任顾作义等为广府人家训馆开馆揭幕。</w:t>
      </w:r>
    </w:p>
    <w:p w14:paraId="13C1C51D">
      <w:pPr>
        <w:bidi w:val="0"/>
        <w:rPr>
          <w:rFonts w:hint="eastAsia"/>
          <w:lang w:val="zh-CN"/>
        </w:rPr>
      </w:pPr>
      <w:r>
        <w:rPr>
          <w:rFonts w:hint="eastAsia"/>
          <w:b/>
          <w:bCs/>
          <w:lang w:val="zh-CN"/>
        </w:rPr>
        <w:t>12日</w:t>
      </w:r>
      <w:r>
        <w:rPr>
          <w:rFonts w:hint="eastAsia"/>
          <w:b/>
          <w:bCs/>
          <w:lang w:val="en-US" w:eastAsia="zh-CN"/>
        </w:rPr>
        <w:t xml:space="preserve">   </w:t>
      </w:r>
      <w:r>
        <w:rPr>
          <w:rFonts w:hint="eastAsia"/>
          <w:lang w:val="zh-CN"/>
        </w:rPr>
        <w:t>南雄市与同缘梦（深圳）控股有限公司签订乡村振兴产业基地项目战略合作协议，根据协议，双方将依托当地环境、人文、产业优势，以南雄市为中心，村为基础，打造以一村一品一产业为核心，构建教育、健康、农业、旅游大平台，并以当地农民土地流转租赁或保底分红入股等多种形式，实现乡村美、产业兴、农民富的战略目标。</w:t>
      </w:r>
    </w:p>
    <w:p w14:paraId="6FE33837">
      <w:pPr>
        <w:bidi w:val="0"/>
        <w:rPr>
          <w:rFonts w:hint="eastAsia"/>
          <w:lang w:val="zh-CN"/>
        </w:rPr>
      </w:pPr>
      <w:r>
        <w:rPr>
          <w:rFonts w:hint="eastAsia"/>
          <w:b/>
          <w:bCs/>
          <w:lang w:val="zh-CN"/>
        </w:rPr>
        <w:t>10月17日—11月1日</w:t>
      </w:r>
      <w:r>
        <w:rPr>
          <w:rFonts w:hint="eastAsia"/>
          <w:b/>
          <w:bCs/>
          <w:lang w:val="en-US" w:eastAsia="zh-CN"/>
        </w:rPr>
        <w:t xml:space="preserve">   </w:t>
      </w:r>
      <w:r>
        <w:rPr>
          <w:rFonts w:hint="eastAsia"/>
          <w:lang w:val="zh-CN"/>
        </w:rPr>
        <w:t>南雄市举办广东省第九届老年人体育健身大会。健身大会设广场舞、健身气功、门球、柔力球、气排球、网球、象棋、桥牌、乒乓球、钓鱼、太极拳（剑）、持杖健步走、健身球操等13个项目。来自全省21个地级以上市、省直、中央驻粤单位和台湾地区、澳门特别行政区等地33个代表团2410名运动员参加。在17日的开幕式上，广东省政协原副主席唐国忠、省人民政府副秘书长魏宏广、省体育局局长王禹平、韶关市人民政府副市长高冬瑞、省体育局原巡视员、省老年人体育协会常务副主席田新德等以及全省各地市代表团出席开幕式。这届大会遵循“体育健身、老有所乐、红色苏区、生态南雄”活动主题，经过16天比赛，各项赛事圆满结束。238个队次获得优胜奖，146个队次获得优秀奖。</w:t>
      </w:r>
    </w:p>
    <w:p w14:paraId="21C8995A">
      <w:pPr>
        <w:bidi w:val="0"/>
        <w:rPr>
          <w:rFonts w:hint="eastAsia"/>
          <w:lang w:val="zh-CN"/>
        </w:rPr>
      </w:pPr>
      <w:r>
        <w:rPr>
          <w:rFonts w:hint="eastAsia"/>
          <w:b/>
          <w:bCs/>
          <w:lang w:val="zh-CN"/>
        </w:rPr>
        <w:t>20日</w:t>
      </w:r>
      <w:r>
        <w:rPr>
          <w:rFonts w:hint="eastAsia"/>
          <w:b/>
          <w:bCs/>
          <w:lang w:val="en-US" w:eastAsia="zh-CN"/>
        </w:rPr>
        <w:t xml:space="preserve">   </w:t>
      </w:r>
      <w:r>
        <w:rPr>
          <w:rFonts w:hint="eastAsia"/>
          <w:lang w:val="zh-CN"/>
        </w:rPr>
        <w:t>南雄市首届禾花鱼节在雄州街道观新村举行。来自各地的游客纷纷下田抓鱼，亲身感受粤北山区农趣。为发展特色农旅产业，观新村养殖禾花鱼水稻面积20公顷，每亩稻田放禾花鱼苗800尾，水稻亩产800多斤，禾花鱼亩产30至50斤，禾花鱼卖48元一斤，推动产业发展，增加群众收入。</w:t>
      </w:r>
    </w:p>
    <w:p w14:paraId="1A0424AE">
      <w:pPr>
        <w:bidi w:val="0"/>
        <w:rPr>
          <w:rFonts w:hint="eastAsia"/>
          <w:lang w:val="zh-CN"/>
        </w:rPr>
      </w:pPr>
      <w:r>
        <w:rPr>
          <w:rFonts w:hint="eastAsia"/>
          <w:b/>
          <w:bCs/>
          <w:lang w:val="zh-CN"/>
        </w:rPr>
        <w:t>26日</w:t>
      </w:r>
      <w:r>
        <w:rPr>
          <w:rFonts w:hint="eastAsia"/>
          <w:b/>
          <w:bCs/>
          <w:lang w:val="en-US" w:eastAsia="zh-CN"/>
        </w:rPr>
        <w:t xml:space="preserve">   </w:t>
      </w:r>
      <w:r>
        <w:rPr>
          <w:rFonts w:hint="eastAsia"/>
          <w:lang w:val="zh-CN"/>
        </w:rPr>
        <w:t>南雄市召开农业大数据创新应用工作会议，要求各相关单位加强对农业大数据的创新应用，将智慧南雄综合管控系统与大数据遥感技术整合运用，实现全市数字资源信息共享，推动智慧城市建设。会议由市委书记王碧安主持。</w:t>
      </w:r>
    </w:p>
    <w:p w14:paraId="3A72E7BD">
      <w:pPr>
        <w:bidi w:val="0"/>
        <w:rPr>
          <w:rFonts w:hint="eastAsia"/>
          <w:lang w:val="zh-CN"/>
        </w:rPr>
      </w:pPr>
      <w:r>
        <w:rPr>
          <w:rFonts w:hint="eastAsia"/>
          <w:b/>
          <w:bCs/>
          <w:lang w:val="zh-CN"/>
        </w:rPr>
        <w:t>27日</w:t>
      </w:r>
      <w:r>
        <w:rPr>
          <w:rFonts w:hint="eastAsia"/>
          <w:b/>
          <w:bCs/>
          <w:lang w:val="en-US" w:eastAsia="zh-CN"/>
        </w:rPr>
        <w:t xml:space="preserve">   </w:t>
      </w:r>
      <w:r>
        <w:rPr>
          <w:rFonts w:hint="eastAsia"/>
          <w:lang w:val="zh-CN"/>
        </w:rPr>
        <w:t>广东省文化和旅游厅党组书记、厅长汪一洋到南雄市调研文化旅游建设情况，强调要加强传统文化的保护和传承，充分展示南雄特色文化，推动文化旅游融合发展。</w:t>
      </w:r>
    </w:p>
    <w:p w14:paraId="6E69B5EA">
      <w:pPr>
        <w:bidi w:val="0"/>
        <w:rPr>
          <w:rFonts w:hint="eastAsia"/>
          <w:lang w:val="zh-CN"/>
        </w:rPr>
      </w:pPr>
      <w:r>
        <w:rPr>
          <w:rFonts w:hint="eastAsia"/>
          <w:b/>
          <w:bCs/>
          <w:lang w:val="zh-CN"/>
        </w:rPr>
        <w:t>是日</w:t>
      </w:r>
      <w:r>
        <w:rPr>
          <w:rFonts w:hint="eastAsia"/>
          <w:b/>
          <w:bCs/>
          <w:lang w:val="en-US" w:eastAsia="zh-CN"/>
        </w:rPr>
        <w:t xml:space="preserve">   </w:t>
      </w:r>
      <w:r>
        <w:rPr>
          <w:rFonts w:hint="eastAsia"/>
          <w:lang w:val="zh-CN"/>
        </w:rPr>
        <w:t>韶关市政协主席王青西到油山镇上浆村实地调研新农村建设情况，并为上浆洋屋村文化活动室及上浆村文体广场揭幕。南雄市委书记王碧安陪同调研。</w:t>
      </w:r>
    </w:p>
    <w:p w14:paraId="76CEBB40">
      <w:pPr>
        <w:pStyle w:val="3"/>
        <w:bidi w:val="0"/>
        <w:rPr>
          <w:rFonts w:hint="eastAsia"/>
          <w:lang w:val="zh-CN"/>
        </w:rPr>
      </w:pPr>
      <w:r>
        <w:rPr>
          <w:rFonts w:hint="eastAsia"/>
          <w:lang w:val="zh-CN"/>
        </w:rPr>
        <w:t>十</w:t>
      </w:r>
      <w:r>
        <w:rPr>
          <w:rStyle w:val="10"/>
          <w:rFonts w:hint="eastAsia"/>
          <w:b/>
          <w:bCs/>
          <w:lang w:val="zh-CN"/>
        </w:rPr>
        <w:t>一</w:t>
      </w:r>
      <w:r>
        <w:rPr>
          <w:rFonts w:hint="eastAsia"/>
          <w:lang w:val="zh-CN"/>
        </w:rPr>
        <w:t>月</w:t>
      </w:r>
    </w:p>
    <w:p w14:paraId="49099EFB">
      <w:pPr>
        <w:bidi w:val="0"/>
        <w:rPr>
          <w:rFonts w:hint="eastAsia"/>
          <w:lang w:val="zh-CN"/>
        </w:rPr>
      </w:pPr>
      <w:r>
        <w:rPr>
          <w:rFonts w:hint="eastAsia"/>
          <w:b/>
          <w:bCs/>
          <w:lang w:val="zh-CN"/>
        </w:rPr>
        <w:t>2日</w:t>
      </w:r>
      <w:r>
        <w:rPr>
          <w:rFonts w:hint="eastAsia"/>
          <w:b/>
          <w:bCs/>
          <w:lang w:val="en-US" w:eastAsia="zh-CN"/>
        </w:rPr>
        <w:t xml:space="preserve">   </w:t>
      </w:r>
      <w:r>
        <w:rPr>
          <w:rFonts w:hint="eastAsia"/>
          <w:lang w:val="zh-CN"/>
        </w:rPr>
        <w:t>2018广东银杏文化旅游节在南雄市帽子峰省级森林公园开幕。这个活动的举办，是南雄坚持走生态发展之路的生动体现，进一步擦亮“银杏染秋”旅游品牌，积极推动南雄市全域旅游发展。</w:t>
      </w:r>
    </w:p>
    <w:p w14:paraId="5E7FD619">
      <w:pPr>
        <w:bidi w:val="0"/>
        <w:rPr>
          <w:rFonts w:hint="eastAsia"/>
          <w:lang w:val="zh-CN"/>
        </w:rPr>
      </w:pPr>
      <w:r>
        <w:rPr>
          <w:rFonts w:hint="eastAsia"/>
          <w:b/>
          <w:bCs/>
          <w:lang w:val="zh-CN"/>
        </w:rPr>
        <w:t>7日</w:t>
      </w:r>
      <w:r>
        <w:rPr>
          <w:rFonts w:hint="eastAsia"/>
          <w:b/>
          <w:bCs/>
          <w:lang w:val="en-US" w:eastAsia="zh-CN"/>
        </w:rPr>
        <w:t xml:space="preserve">   </w:t>
      </w:r>
      <w:r>
        <w:rPr>
          <w:rFonts w:hint="eastAsia"/>
          <w:lang w:val="zh-CN"/>
        </w:rPr>
        <w:t>南雄市举办主题为“同根·同源·同梦，爱家·爱乡·爱国”第五届姓氏文化旅游节暨2018年世界黎氏恳亲大会。姓氏文化旅游节为期两天，通过举办非遗民俗表演、后裔宗亲交流、姓氏文化研讨、祭祖恳亲、旅游观光、媒体采风、商贸洽谈和广府美食、粤剧展演等活动，大力弘扬中华优秀传统文化，来自海内外的两万多名珠玑巷后裔欢聚一堂，共享“吾家珠玑”这一独具地方特色的文化盛宴。</w:t>
      </w:r>
    </w:p>
    <w:p w14:paraId="6AA1777D">
      <w:pPr>
        <w:bidi w:val="0"/>
        <w:rPr>
          <w:rFonts w:hint="eastAsia"/>
          <w:lang w:val="zh-CN"/>
        </w:rPr>
      </w:pPr>
      <w:r>
        <w:rPr>
          <w:rFonts w:hint="eastAsia"/>
          <w:b/>
          <w:bCs/>
          <w:lang w:val="zh-CN"/>
        </w:rPr>
        <w:t>8—9日</w:t>
      </w:r>
      <w:r>
        <w:rPr>
          <w:rFonts w:hint="eastAsia"/>
          <w:b/>
          <w:bCs/>
          <w:lang w:val="en-US" w:eastAsia="zh-CN"/>
        </w:rPr>
        <w:t xml:space="preserve">   </w:t>
      </w:r>
      <w:r>
        <w:rPr>
          <w:rFonts w:hint="eastAsia"/>
          <w:lang w:val="zh-CN"/>
        </w:rPr>
        <w:t>广东省政协副主席林雄到南雄开展“推进我省乡村振兴战略落实”监督调研和古驿道调研。</w:t>
      </w:r>
    </w:p>
    <w:p w14:paraId="69CC6132">
      <w:pPr>
        <w:bidi w:val="0"/>
        <w:rPr>
          <w:rFonts w:hint="eastAsia"/>
          <w:lang w:val="zh-CN"/>
        </w:rPr>
      </w:pPr>
      <w:r>
        <w:rPr>
          <w:rFonts w:hint="eastAsia"/>
          <w:b/>
          <w:bCs/>
          <w:lang w:val="zh-CN"/>
        </w:rPr>
        <w:t>15日</w:t>
      </w:r>
      <w:r>
        <w:rPr>
          <w:rFonts w:hint="eastAsia"/>
          <w:b/>
          <w:bCs/>
          <w:lang w:val="en-US" w:eastAsia="zh-CN"/>
        </w:rPr>
        <w:t xml:space="preserve">   </w:t>
      </w:r>
      <w:r>
        <w:rPr>
          <w:rFonts w:hint="eastAsia"/>
          <w:lang w:val="zh-CN"/>
        </w:rPr>
        <w:t>南雄市召开市委理论学习中心组学习（扩大）会议，邀请暨南大学党委副书记兼纪委书记夏泉作《治国理政的起点：习近平的梁家河岁月》授课。</w:t>
      </w:r>
    </w:p>
    <w:p w14:paraId="1B8138A7">
      <w:pPr>
        <w:bidi w:val="0"/>
        <w:rPr>
          <w:rFonts w:hint="eastAsia"/>
          <w:lang w:val="zh-CN"/>
        </w:rPr>
      </w:pPr>
      <w:r>
        <w:rPr>
          <w:rFonts w:hint="eastAsia"/>
          <w:b/>
          <w:bCs/>
          <w:lang w:val="zh-CN"/>
        </w:rPr>
        <w:t>19—20日</w:t>
      </w:r>
      <w:r>
        <w:rPr>
          <w:rFonts w:hint="eastAsia"/>
          <w:b/>
          <w:bCs/>
          <w:lang w:val="en-US" w:eastAsia="zh-CN"/>
        </w:rPr>
        <w:t xml:space="preserve">   </w:t>
      </w:r>
      <w:r>
        <w:rPr>
          <w:rFonts w:hint="eastAsia"/>
          <w:lang w:val="zh-CN"/>
        </w:rPr>
        <w:t>农业农村部规划设计研究院总工程师齐飞到南雄市调研乡村振兴示范创建工作，强调要抓住乡村振兴战略历史机遇，主动作为，勇于创新，务实推动乡村振兴发展。 </w:t>
      </w:r>
    </w:p>
    <w:p w14:paraId="7332B922">
      <w:pPr>
        <w:bidi w:val="0"/>
        <w:rPr>
          <w:rFonts w:hint="eastAsia"/>
          <w:lang w:val="zh-CN"/>
        </w:rPr>
      </w:pPr>
      <w:r>
        <w:rPr>
          <w:rFonts w:hint="eastAsia"/>
          <w:b/>
          <w:bCs/>
          <w:lang w:val="zh-CN"/>
        </w:rPr>
        <w:t>22日</w:t>
      </w:r>
      <w:r>
        <w:rPr>
          <w:rFonts w:hint="eastAsia"/>
          <w:b/>
          <w:bCs/>
          <w:lang w:val="en-US" w:eastAsia="zh-CN"/>
        </w:rPr>
        <w:t xml:space="preserve">   </w:t>
      </w:r>
      <w:r>
        <w:rPr>
          <w:rFonts w:hint="eastAsia"/>
          <w:lang w:val="zh-CN"/>
        </w:rPr>
        <w:t>南雄市举行2018年烟叶工作总结暨2019年烟叶工作动员大会。南雄市委书记王碧安，市委副书记、市长林小龙，韶关市烟草专卖局（公司）局长（总经理）罗福命出席会议。</w:t>
      </w:r>
    </w:p>
    <w:p w14:paraId="51E0372C">
      <w:pPr>
        <w:bidi w:val="0"/>
        <w:rPr>
          <w:rFonts w:hint="eastAsia"/>
          <w:lang w:val="zh-CN"/>
        </w:rPr>
      </w:pPr>
      <w:r>
        <w:rPr>
          <w:rFonts w:hint="eastAsia"/>
          <w:b/>
          <w:bCs/>
          <w:lang w:val="zh-CN"/>
        </w:rPr>
        <w:t>是日</w:t>
      </w:r>
      <w:r>
        <w:rPr>
          <w:rFonts w:hint="eastAsia"/>
          <w:b/>
          <w:bCs/>
          <w:lang w:val="en-US" w:eastAsia="zh-CN"/>
        </w:rPr>
        <w:t xml:space="preserve">   </w:t>
      </w:r>
      <w:r>
        <w:rPr>
          <w:rFonts w:hint="eastAsia"/>
          <w:lang w:val="zh-CN"/>
        </w:rPr>
        <w:t>南雄中学杰出校友、港珠澳大桥“建设功臣”“南粤楷模”张宝兰回到母校看望师友，并为母校师生作《筑梦伶仃圆梦岛隧》的励志报告。</w:t>
      </w:r>
    </w:p>
    <w:p w14:paraId="337410DB">
      <w:pPr>
        <w:bidi w:val="0"/>
        <w:rPr>
          <w:rFonts w:hint="eastAsia"/>
          <w:lang w:val="zh-CN"/>
        </w:rPr>
      </w:pPr>
      <w:r>
        <w:rPr>
          <w:rFonts w:hint="eastAsia"/>
          <w:b/>
          <w:bCs/>
          <w:lang w:val="zh-CN"/>
        </w:rPr>
        <w:t>27日</w:t>
      </w:r>
      <w:r>
        <w:rPr>
          <w:rFonts w:hint="eastAsia"/>
          <w:b/>
          <w:bCs/>
          <w:lang w:val="en-US" w:eastAsia="zh-CN"/>
        </w:rPr>
        <w:t xml:space="preserve">   </w:t>
      </w:r>
      <w:r>
        <w:rPr>
          <w:rFonts w:hint="eastAsia"/>
          <w:lang w:val="zh-CN"/>
        </w:rPr>
        <w:t>南雄市委书记王碧安做客《改革新语》微访谈节目，围绕以习近平总书记视察广东重要讲话精神为根本遵循和强大动力，奋力开创韶关改革发展新局面，争当北部生态发展区高质量发展排头兵。主要抓好三大块工作，一是落实“在高水平生态保护中实现高质量发展”的要求；二是全面务实推动改革；三是推动“三个在先”机制，加强党的领导和党的建设。</w:t>
      </w:r>
    </w:p>
    <w:p w14:paraId="59076743">
      <w:pPr>
        <w:bidi w:val="0"/>
        <w:rPr>
          <w:rFonts w:hint="eastAsia"/>
          <w:lang w:val="zh-CN"/>
        </w:rPr>
      </w:pPr>
      <w:r>
        <w:rPr>
          <w:rFonts w:hint="eastAsia"/>
          <w:b/>
          <w:bCs/>
          <w:lang w:val="zh-CN"/>
        </w:rPr>
        <w:t>是日</w:t>
      </w:r>
      <w:r>
        <w:rPr>
          <w:rFonts w:hint="eastAsia"/>
          <w:b/>
          <w:bCs/>
          <w:lang w:val="en-US" w:eastAsia="zh-CN"/>
        </w:rPr>
        <w:t xml:space="preserve">   </w:t>
      </w:r>
      <w:r>
        <w:rPr>
          <w:rFonts w:hint="eastAsia"/>
          <w:lang w:val="zh-CN"/>
        </w:rPr>
        <w:t>南雄市“北山事件”红军烈士纪念碑在澜河镇白云村龙狮石村小组举行落成揭幕仪式。</w:t>
      </w:r>
    </w:p>
    <w:p w14:paraId="39EB8D72">
      <w:pPr>
        <w:bidi w:val="0"/>
        <w:rPr>
          <w:rFonts w:hint="eastAsia"/>
          <w:lang w:val="zh-CN"/>
        </w:rPr>
      </w:pPr>
      <w:r>
        <w:rPr>
          <w:rFonts w:hint="eastAsia"/>
          <w:b/>
          <w:bCs/>
          <w:lang w:val="zh-CN"/>
        </w:rPr>
        <w:t>30日</w:t>
      </w:r>
      <w:r>
        <w:rPr>
          <w:rFonts w:hint="eastAsia"/>
          <w:b/>
          <w:bCs/>
          <w:lang w:val="en-US" w:eastAsia="zh-CN"/>
        </w:rPr>
        <w:t xml:space="preserve">   </w:t>
      </w:r>
      <w:r>
        <w:rPr>
          <w:rFonts w:hint="eastAsia"/>
          <w:lang w:val="zh-CN"/>
        </w:rPr>
        <w:t>2018年韶关市产业项目集中动工暨招商引资项目集中签约仪式（南雄分会场）在南雄产业转移工业园一期举行，有4个产业项目在当日集中破土动工，3个项目集中签约，7个项目包括化工、涂料、新能源等各方面，总投资达8亿元，掀起南雄产业发展新热潮。南雄市委书记王碧安，市委副书记、市长林小龙出席仪式。 </w:t>
      </w:r>
    </w:p>
    <w:p w14:paraId="626C1079">
      <w:pPr>
        <w:bidi w:val="0"/>
        <w:rPr>
          <w:rFonts w:hint="eastAsia"/>
          <w:lang w:val="zh-CN"/>
        </w:rPr>
      </w:pPr>
      <w:r>
        <w:rPr>
          <w:rFonts w:hint="eastAsia"/>
          <w:b/>
          <w:bCs/>
          <w:lang w:val="zh-CN"/>
        </w:rPr>
        <w:t>是日</w:t>
      </w:r>
      <w:r>
        <w:rPr>
          <w:rFonts w:hint="eastAsia"/>
          <w:b/>
          <w:bCs/>
          <w:lang w:val="en-US" w:eastAsia="zh-CN"/>
        </w:rPr>
        <w:t xml:space="preserve">   </w:t>
      </w:r>
      <w:r>
        <w:rPr>
          <w:rFonts w:hint="eastAsia"/>
          <w:lang w:val="zh-CN"/>
        </w:rPr>
        <w:t>南雄市举办纪念改革开放四十周年“嘉盛杯”散文大赛颁奖及作品集《新时代新辉煌》发行仪式。中国作家协会会员、国家一级作家、广东省作家协会《粤海散文》执行主编东方莎莎，中国作家协会会员、国家一级作家宋晓琪，以及获奖的20多位省市作家欢聚一堂，畅谈改革开放40年南雄发展变化。南雄市委书记王碧安，市委副书记、市长林小龙出席仪式。 </w:t>
      </w:r>
    </w:p>
    <w:p w14:paraId="1C597113">
      <w:pPr>
        <w:pStyle w:val="3"/>
        <w:bidi w:val="0"/>
        <w:rPr>
          <w:rFonts w:hint="eastAsia"/>
          <w:lang w:val="zh-CN"/>
        </w:rPr>
      </w:pPr>
      <w:r>
        <w:rPr>
          <w:rFonts w:hint="eastAsia"/>
          <w:lang w:val="zh-CN"/>
        </w:rPr>
        <w:t>十二月</w:t>
      </w:r>
    </w:p>
    <w:p w14:paraId="3975F5FB">
      <w:pPr>
        <w:bidi w:val="0"/>
        <w:rPr>
          <w:rFonts w:hint="eastAsia"/>
          <w:lang w:val="zh-CN"/>
        </w:rPr>
      </w:pPr>
      <w:r>
        <w:rPr>
          <w:rFonts w:hint="eastAsia"/>
          <w:b/>
          <w:bCs/>
          <w:lang w:val="zh-CN"/>
        </w:rPr>
        <w:t>4日</w:t>
      </w:r>
      <w:r>
        <w:rPr>
          <w:rFonts w:hint="eastAsia"/>
          <w:b/>
          <w:bCs/>
          <w:lang w:val="en-US" w:eastAsia="zh-CN"/>
        </w:rPr>
        <w:t xml:space="preserve">   </w:t>
      </w:r>
      <w:r>
        <w:rPr>
          <w:rFonts w:hint="eastAsia"/>
          <w:lang w:val="zh-CN"/>
        </w:rPr>
        <w:t>南雄市举办生态文明建设的法治保障暨国家安全形势分析报告会，邀请韶关学院法学院院长韩登池、韶关市国家安全局副局长邓良德分别作《生态文明建设的法治保障》和《国家安全形势分析》专题辅导报告。</w:t>
      </w:r>
    </w:p>
    <w:p w14:paraId="15163092">
      <w:pPr>
        <w:bidi w:val="0"/>
        <w:rPr>
          <w:rFonts w:hint="eastAsia"/>
          <w:lang w:val="zh-CN"/>
        </w:rPr>
      </w:pPr>
      <w:r>
        <w:rPr>
          <w:rFonts w:hint="eastAsia"/>
          <w:b/>
          <w:bCs/>
          <w:lang w:val="zh-CN"/>
        </w:rPr>
        <w:t>是日</w:t>
      </w:r>
      <w:r>
        <w:rPr>
          <w:rFonts w:hint="eastAsia"/>
          <w:b/>
          <w:bCs/>
          <w:lang w:val="en-US" w:eastAsia="zh-CN"/>
        </w:rPr>
        <w:t xml:space="preserve">   </w:t>
      </w:r>
      <w:r>
        <w:rPr>
          <w:rFonts w:hint="eastAsia"/>
          <w:lang w:val="zh-CN"/>
        </w:rPr>
        <w:t>南雄市举行路地联勤联动工作站揭牌仪式，并开展“平安铁路线”粤赣边际交流活动，与江西省大余县签订广东韶关—江西赣州铁路护路边际联防工作协议，共同守护铁路安全。</w:t>
      </w:r>
    </w:p>
    <w:p w14:paraId="45F45ED5">
      <w:pPr>
        <w:bidi w:val="0"/>
        <w:rPr>
          <w:rFonts w:hint="eastAsia"/>
          <w:lang w:val="zh-CN"/>
        </w:rPr>
      </w:pPr>
      <w:r>
        <w:rPr>
          <w:rFonts w:hint="eastAsia"/>
          <w:b/>
          <w:bCs/>
          <w:lang w:val="zh-CN"/>
        </w:rPr>
        <w:t>5日</w:t>
      </w:r>
      <w:r>
        <w:rPr>
          <w:rFonts w:hint="eastAsia"/>
          <w:b/>
          <w:bCs/>
          <w:lang w:val="en-US" w:eastAsia="zh-CN"/>
        </w:rPr>
        <w:t xml:space="preserve">   </w:t>
      </w:r>
      <w:r>
        <w:rPr>
          <w:rFonts w:hint="eastAsia"/>
          <w:lang w:val="zh-CN"/>
        </w:rPr>
        <w:t>韶关市“数字政府”建设暨四级政务服务体系建设工作现场会在南雄召开。推进“数字政府”和四级政务服务体系建设，推行镇村事项标准化和“全市通办”服务模式，开展“一门式一网式”政务服务工作。韶关市委副书记、市长殷焕明参加会议。</w:t>
      </w:r>
    </w:p>
    <w:p w14:paraId="632F3C01">
      <w:pPr>
        <w:bidi w:val="0"/>
        <w:rPr>
          <w:rFonts w:hint="eastAsia"/>
          <w:lang w:val="zh-CN"/>
        </w:rPr>
      </w:pPr>
      <w:r>
        <w:rPr>
          <w:rFonts w:hint="eastAsia"/>
          <w:b/>
          <w:bCs/>
          <w:lang w:val="zh-CN"/>
        </w:rPr>
        <w:t>7日</w:t>
      </w:r>
      <w:r>
        <w:rPr>
          <w:rFonts w:hint="eastAsia"/>
          <w:b/>
          <w:bCs/>
          <w:lang w:val="en-US" w:eastAsia="zh-CN"/>
        </w:rPr>
        <w:t xml:space="preserve">   </w:t>
      </w:r>
      <w:r>
        <w:rPr>
          <w:rFonts w:hint="eastAsia"/>
          <w:lang w:val="zh-CN"/>
        </w:rPr>
        <w:t>南雄市融媒体中心在市广播电视台揭牌成立。以广播电视台为主体，将南雄广播、电视、政府网、南雄发布公众号、“大美南雄”客户端等县域公共媒体资源深度融合，建立“一次采集、多元生成、多种渠道传播”的融媒体采编流程，提升新闻采编效率，加强新闻传播效果。</w:t>
      </w:r>
    </w:p>
    <w:p w14:paraId="165DC88B">
      <w:pPr>
        <w:bidi w:val="0"/>
        <w:rPr>
          <w:rFonts w:hint="eastAsia"/>
          <w:lang w:val="zh-CN"/>
        </w:rPr>
      </w:pPr>
      <w:r>
        <w:rPr>
          <w:rFonts w:hint="eastAsia"/>
          <w:b/>
          <w:bCs/>
          <w:lang w:val="zh-CN"/>
        </w:rPr>
        <w:t>12日</w:t>
      </w:r>
      <w:r>
        <w:rPr>
          <w:rFonts w:hint="eastAsia"/>
          <w:b/>
          <w:bCs/>
          <w:lang w:val="en-US" w:eastAsia="zh-CN"/>
        </w:rPr>
        <w:t xml:space="preserve">   </w:t>
      </w:r>
      <w:r>
        <w:rPr>
          <w:rFonts w:hint="eastAsia"/>
          <w:lang w:val="zh-CN"/>
        </w:rPr>
        <w:t>南雄市新汽车客运站举行奠基仪式，新汽车客运站位于北城区火车站广场对面，占地面积45072.14平方米，工程建设总投资约1亿元。</w:t>
      </w:r>
    </w:p>
    <w:p w14:paraId="6FA7C7E8">
      <w:pPr>
        <w:bidi w:val="0"/>
        <w:rPr>
          <w:rFonts w:hint="eastAsia"/>
          <w:lang w:val="zh-CN"/>
        </w:rPr>
      </w:pPr>
      <w:r>
        <w:rPr>
          <w:rFonts w:hint="eastAsia"/>
          <w:b/>
          <w:bCs/>
          <w:lang w:val="zh-CN"/>
        </w:rPr>
        <w:t>15日</w:t>
      </w:r>
      <w:r>
        <w:rPr>
          <w:rFonts w:hint="eastAsia"/>
          <w:b/>
          <w:bCs/>
          <w:lang w:val="en-US" w:eastAsia="zh-CN"/>
        </w:rPr>
        <w:t xml:space="preserve">   </w:t>
      </w:r>
      <w:r>
        <w:rPr>
          <w:rFonts w:hint="eastAsia"/>
          <w:lang w:val="zh-CN"/>
        </w:rPr>
        <w:t>广东省首批省定“红色村”党建示范工程——南雄市水口镇水口村举行开工仪式，“红色村”项目规划包括：党建示范村项目、新农村建设、水口战役纪念馆、红色遗址修复、“139”圩镇综合改造提升项目等。 </w:t>
      </w:r>
    </w:p>
    <w:p w14:paraId="0D3D81FB">
      <w:pPr>
        <w:bidi w:val="0"/>
        <w:rPr>
          <w:rFonts w:hint="eastAsia"/>
          <w:lang w:val="zh-CN"/>
        </w:rPr>
      </w:pPr>
      <w:r>
        <w:rPr>
          <w:rFonts w:hint="eastAsia"/>
          <w:b/>
          <w:bCs/>
          <w:lang w:val="zh-CN"/>
        </w:rPr>
        <w:t>21日</w:t>
      </w:r>
      <w:r>
        <w:rPr>
          <w:rFonts w:hint="eastAsia"/>
          <w:b/>
          <w:bCs/>
          <w:lang w:val="en-US" w:eastAsia="zh-CN"/>
        </w:rPr>
        <w:t xml:space="preserve">   </w:t>
      </w:r>
      <w:r>
        <w:rPr>
          <w:rFonts w:hint="eastAsia"/>
          <w:lang w:val="zh-CN"/>
        </w:rPr>
        <w:t>南雄市人才驿站揭牌成立，驿站将为高层次人才提供津补贴申领、人才公寓入住、子女入学、配偶就业推荐、医疗保健等服务。同时出台《南雄市乡村振兴人才支持计划》《南雄市工业企业发展扶持办法》《南雄市急需紧缺人才选拔管理实施方案》等一系列人才引育和创新创业扶持政策，加大对高层次人才和急需短缺人才引育力度。</w:t>
      </w:r>
    </w:p>
    <w:p w14:paraId="0C36B0A4">
      <w:pPr>
        <w:bidi w:val="0"/>
        <w:rPr>
          <w:rFonts w:hint="eastAsia"/>
          <w:lang w:val="zh-CN"/>
        </w:rPr>
      </w:pPr>
      <w:r>
        <w:rPr>
          <w:rFonts w:hint="eastAsia"/>
          <w:b/>
          <w:bCs/>
          <w:lang w:val="zh-CN"/>
        </w:rPr>
        <w:t>28日</w:t>
      </w:r>
      <w:r>
        <w:rPr>
          <w:rFonts w:hint="eastAsia"/>
          <w:b/>
          <w:bCs/>
          <w:lang w:val="en-US" w:eastAsia="zh-CN"/>
        </w:rPr>
        <w:t xml:space="preserve">   </w:t>
      </w:r>
      <w:r>
        <w:rPr>
          <w:rFonts w:hint="eastAsia"/>
          <w:lang w:val="zh-CN"/>
        </w:rPr>
        <w:t>南雄市举办“广东省推进教育现代化先进市”成果展示暨2019年教育系统元旦文艺晚会。晚会上，韶关市教育局副局长梁丽娟宣读《广东省教育厅关于授予南雄市“广东省推进教育现代化先进市”称号的决定》。 </w:t>
      </w:r>
    </w:p>
    <w:p w14:paraId="28EBAB93">
      <w:pPr>
        <w:pStyle w:val="2"/>
        <w:bidi w:val="0"/>
        <w:rPr>
          <w:rFonts w:hint="eastAsia"/>
        </w:rPr>
      </w:pPr>
      <w:r>
        <w:rPr>
          <w:rFonts w:hint="eastAsia"/>
        </w:rPr>
        <w:t>年度关注</w:t>
      </w:r>
    </w:p>
    <w:p w14:paraId="11D2A79A">
      <w:pPr>
        <w:pStyle w:val="3"/>
        <w:bidi w:val="0"/>
        <w:rPr>
          <w:rFonts w:hint="eastAsia"/>
          <w:lang w:val="zh-CN"/>
        </w:rPr>
      </w:pPr>
      <w:r>
        <w:rPr>
          <w:rFonts w:hint="eastAsia"/>
          <w:lang w:val="zh-CN"/>
        </w:rPr>
        <w:t>全面推进广东省原中央苏区县域经济创新发展示范县工作</w:t>
      </w:r>
    </w:p>
    <w:p w14:paraId="21548243">
      <w:pPr>
        <w:bidi w:val="0"/>
        <w:rPr>
          <w:rFonts w:hint="eastAsia"/>
          <w:lang w:val="zh-CN"/>
        </w:rPr>
      </w:pPr>
      <w:r>
        <w:rPr>
          <w:rFonts w:hint="eastAsia"/>
          <w:lang w:val="zh-CN"/>
        </w:rPr>
        <w:t>南雄是广东韶关市唯一的原中央苏区县。2017年，南雄市创建广东省原中央苏区县域经济创新发展示范县获得省委、省政府批复。2018年，南雄本着“实事求是、发挥优势、率先示范、勇于探索”的原则，加快贯彻和落实广东省“五大”发展理念，全面推进原中央苏区创新发展示范县建设。</w:t>
      </w:r>
    </w:p>
    <w:p w14:paraId="1A0BA751">
      <w:pPr>
        <w:bidi w:val="0"/>
        <w:rPr>
          <w:rFonts w:hint="eastAsia"/>
          <w:b/>
          <w:bCs/>
          <w:lang w:val="zh-CN"/>
        </w:rPr>
      </w:pPr>
      <w:r>
        <w:rPr>
          <w:rFonts w:hint="eastAsia"/>
          <w:b/>
          <w:bCs/>
          <w:lang w:val="zh-CN"/>
        </w:rPr>
        <w:t>一、创新引领，提升经济发展质量</w:t>
      </w:r>
    </w:p>
    <w:p w14:paraId="76FA6DFD">
      <w:pPr>
        <w:bidi w:val="0"/>
        <w:rPr>
          <w:rFonts w:hint="eastAsia"/>
          <w:lang w:val="zh-CN"/>
        </w:rPr>
      </w:pPr>
      <w:r>
        <w:rPr>
          <w:rFonts w:hint="eastAsia"/>
          <w:lang w:val="zh-CN"/>
        </w:rPr>
        <w:t>创新发展产业园区，推动园区企业加快技术改造步伐。为3家企业申报获得促进经济发展专项（企业技术改造）资金129万元，组织13家企业申报认定“高新技术企业”等国家省市级平台。举办多场大型产学研活动，加强与珠三角地区科研机构的协同创新。通过广东省高新技术产业开发区申报第一轮评估，准备迎接省科技厅专家现场考核验收。完善园区基础设施配套，一期污水管网改造工程完工开始设备调试，完成消防应急救援中心项目一、二期综合楼主体部分建设，完成园区超高速无线局域网基站建设。加快园区招商引资步伐，重新整理编印《南雄投资指南》，重点引进新能源新材料项目。落实税收优惠。</w:t>
      </w:r>
    </w:p>
    <w:p w14:paraId="2FB9AD1A">
      <w:pPr>
        <w:bidi w:val="0"/>
        <w:rPr>
          <w:rFonts w:hint="eastAsia"/>
          <w:lang w:val="zh-CN"/>
        </w:rPr>
      </w:pPr>
      <w:r>
        <w:rPr>
          <w:rFonts w:hint="eastAsia"/>
          <w:lang w:val="zh-CN"/>
        </w:rPr>
        <w:t>创新产业发展新模式。完成珠玑姓氏文化小镇可行性论证报告的编制工作和帽子峰森林小镇部分绿化工作。制定实施《南雄市创建广东省全域旅游示范区三年行动计划》，建设一批二级旅游集散咨询中心，珠玑镇灵潭村获评2018年中国美丽休闲乡村。加快发展红色旅游，完成水口战役纪念地等5个红色旅游项目景点立项。培育发展“互联网+旅游”，开发建设智慧旅游服务平台并完成28家旅游企业上线。发展特色生态农业，编制《南雄市现代农业产业发展总体规划（2018-2025）（初稿）》。做大做强农业龙头企业，2018年南雄市有8家韶关市级龙头企业。加快电子商务进农村，打造3家示范电商企业，至2018年10月，农产品上行销售额达7890万元。</w:t>
      </w:r>
    </w:p>
    <w:p w14:paraId="1E39F5EC">
      <w:pPr>
        <w:bidi w:val="0"/>
        <w:rPr>
          <w:rFonts w:hint="eastAsia"/>
          <w:b/>
          <w:bCs/>
          <w:lang w:val="zh-CN"/>
        </w:rPr>
      </w:pPr>
      <w:r>
        <w:rPr>
          <w:rFonts w:hint="eastAsia"/>
          <w:b/>
          <w:bCs/>
          <w:lang w:val="zh-CN"/>
        </w:rPr>
        <w:t>二、协调发展，提升人居质量水平</w:t>
      </w:r>
    </w:p>
    <w:p w14:paraId="563B99FF">
      <w:pPr>
        <w:bidi w:val="0"/>
        <w:rPr>
          <w:rFonts w:hint="eastAsia"/>
          <w:lang w:val="zh-CN"/>
        </w:rPr>
      </w:pPr>
      <w:r>
        <w:rPr>
          <w:rFonts w:hint="eastAsia"/>
          <w:lang w:val="zh-CN"/>
        </w:rPr>
        <w:t>加强城市规划和基础设施建设。完成雄州公园基本建设、北城大道亮化工程建设和一江两岸景观改造提升工程示范段建设，启动崇贤大道、市一中至新G323线段及金叶大桥至河南桥段等项目施工。全面启动农村人居环境综合整治工作，68个省定贫困村下辖634个自然村全面完成村庄整治规划编制、“三清三拆”等5项工作。落实2018年县级危房改造资金安排1400万元。完善交通基础设施，南雄市X341线、X342线完成招投标工作，X343线完成施工图预算编制；开通全部城乡公交车辆；完善省际、市际、县际路线等汽车站客运网络，逐步完善农村客运网络售票功能。建设农村生活污水处理设施，基本完成5个污水厂的选址工作和PPP项目资格预审招标工作；推进村村通自来水工程，完成42个行政村20户以上自然村集中供水；完成中小河流治理工程河道治理482千米，完成病险山塘除险加固工程41宗，完成灌区节水改造工程中型灌区2宗、小型灌区6宗。推动新一轮农村电网升级改造，总投资1.26亿元，整体施工进度达72%；提升公共服务信息化水平，实施“光网雄州”工程。</w:t>
      </w:r>
    </w:p>
    <w:p w14:paraId="1B2FF058">
      <w:pPr>
        <w:bidi w:val="0"/>
        <w:rPr>
          <w:rFonts w:hint="eastAsia"/>
          <w:lang w:val="zh-CN"/>
        </w:rPr>
      </w:pPr>
      <w:r>
        <w:rPr>
          <w:rFonts w:hint="eastAsia"/>
          <w:lang w:val="zh-CN"/>
        </w:rPr>
        <w:t>促进基本公共服务均等化。基本完成南雄市新城小学搬迁改造工程，启动南雄市乌迳镇第二小学建设；完成南雄中学、黎灿学校信息化中心学校建设规划和市二小教育装备建设规划，提升农村中小学信息化水平。完成以镇为单位的学区建设，实行全镇“一张表”制度；完成小学同步课堂项目建设，实现优质教育资源共享；实施乡村教师支持计划，通过“校内聘任”“跨校竞聘”“组织调剂”等形式完成教师聘任工作。实施农村公交接送学生上下学试点工程，开通11个镇（街）94条校园公交专线，接送学生5500多人。建设南雄市人民医院综合住院大楼、第二人民医院；建设公建民营卫生站，2018年完成28家卫生站主体建设。完成前三季度租赁补贴发放97户约9万元，彩釉砖厂工矿棚户区和中山街城市棚户区项目基本完工。提高低保五保标准，2018年为五保老人缴纳新农合费用，保障五保老人的医疗问题。完成18个镇（街）残疾人专职委员上岗上班工作。图书馆文化馆建设顺利；建成156个行政村（社区）综合性文化服务中心；完成南粤雄关与古道部分文物修缮工程总工程量的70%，不可移动文物挂牌工作完成58%。深化精神文明建设，申报全国级文明单位1个，省级文明单位6个，韶关市级文明单位、文明镇、文明村等35个；开展文化惠民活动，举办送戏下乡文化惠民演出等文艺活动20余场。加快68个相对贫困村创建社会主义新农村示范村建设，有327个自然村进场施工，累计投入财政资金4亿多元。</w:t>
      </w:r>
    </w:p>
    <w:p w14:paraId="14532B47">
      <w:pPr>
        <w:bidi w:val="0"/>
        <w:rPr>
          <w:rFonts w:hint="eastAsia"/>
          <w:lang w:val="zh-CN"/>
        </w:rPr>
      </w:pPr>
      <w:r>
        <w:rPr>
          <w:rFonts w:hint="eastAsia"/>
          <w:lang w:val="zh-CN"/>
        </w:rPr>
        <w:t>提高城乡社会治理水平。制定《南雄市城管网格化管理工作方案》，安排7个网格长，执法队员按照网格化分工开展工作。推进中心城区智能化门禁系统全覆盖。召集义务巡防队员400多人，统一佩戴红袖章，开展全方位、多层次联防巡逻活动，提升治安水平。选取8个镇（街）人民调解委员会作为示范点，配备办公设施，改善调解室工作环境。完善人民调解委员会考核机制，将考核结果与人民调解工作相关经费挂钩。完成市级及雄州等8个镇（街）公共法律服务实体平台建设，组织232个村（社区）与55名律师签订法律顾问合同，实现法律顾问工作全覆盖。</w:t>
      </w:r>
    </w:p>
    <w:p w14:paraId="4F43AD7C">
      <w:pPr>
        <w:bidi w:val="0"/>
        <w:rPr>
          <w:rFonts w:hint="eastAsia"/>
          <w:b/>
          <w:bCs/>
          <w:lang w:val="zh-CN"/>
        </w:rPr>
      </w:pPr>
      <w:r>
        <w:rPr>
          <w:rFonts w:hint="eastAsia"/>
          <w:b/>
          <w:bCs/>
          <w:lang w:val="zh-CN"/>
        </w:rPr>
        <w:t>三、绿色发展，加强生态保护力度</w:t>
      </w:r>
    </w:p>
    <w:p w14:paraId="38BE0C52">
      <w:pPr>
        <w:bidi w:val="0"/>
        <w:rPr>
          <w:rFonts w:hint="eastAsia"/>
          <w:lang w:val="zh-CN"/>
        </w:rPr>
      </w:pPr>
      <w:r>
        <w:rPr>
          <w:rFonts w:hint="eastAsia"/>
          <w:lang w:val="zh-CN"/>
        </w:rPr>
        <w:t>严格执行《广东省生态发展区产业发展指导目录（2014年本）》，确保主体功能区空间管控。保护和修复山水林田湖生态，完成1.5万亩碳汇工程林的管护工作，完成31个省定扶贫村的绿化美化点招标工作。完成孔江湿地公园植被恢复重建和鸟类栖息生态环境改造修复两个生态项目。做好生态保护红线的调整工作，调整出帽子峰林场等重点旅游开发项目在生态保护红线范围内的区域，解决南雄市生活垃圾填埋场等重点项目在生态保护红线范围内的问题。落实2018年矿山地质环境恢复治理项目资金50万元。全市推广水稻、花生、黄烟测土配方施肥技术面积3.73万公顷，三大作物减施化肥587吨，减轻化肥对土壤的污染，达到全市化肥零增长预期目的。</w:t>
      </w:r>
    </w:p>
    <w:p w14:paraId="6D39A275">
      <w:pPr>
        <w:bidi w:val="0"/>
        <w:rPr>
          <w:rFonts w:hint="eastAsia"/>
          <w:b/>
          <w:bCs/>
          <w:lang w:val="zh-CN"/>
        </w:rPr>
      </w:pPr>
      <w:r>
        <w:rPr>
          <w:rFonts w:hint="eastAsia"/>
          <w:b/>
          <w:bCs/>
          <w:lang w:val="zh-CN"/>
        </w:rPr>
        <w:t>四、深化改革，加强机制体制创新</w:t>
      </w:r>
    </w:p>
    <w:p w14:paraId="3896E265">
      <w:pPr>
        <w:bidi w:val="0"/>
        <w:rPr>
          <w:rFonts w:hint="eastAsia"/>
          <w:lang w:val="zh-CN"/>
        </w:rPr>
      </w:pPr>
      <w:r>
        <w:rPr>
          <w:rFonts w:hint="eastAsia"/>
          <w:lang w:val="zh-CN"/>
        </w:rPr>
        <w:t>推进党的建设下沉，成立党（总）支部425个，自然村党支部（党小组）697个。推进村集体经济发展25个试点工作，基本完成10个。完成各市直部门权责清单更新工作，出台《南雄市人民政府部门权责清单（2018年版）》。推进镇村“一门市一网式”服务，完成18个镇（街）、80个试点村41个服务事项的录入。进一步简化投资项目审批事项，试行备案制投资项目，通过广东省投资项目在线审批监管平台统一办理，不设置任何前置条件。修订完善《南雄市市属国有企业人员公开招聘实施办法》，明确国有企业招聘主要方式。会同韶关市金融局对小额贷款公司和融资性担保公司进行现场财务检查，规范公司财务管理，控制金融风险。加快社会信用体系建设，建立双公示平台并上线运营，组织全市33个部门参与相关业务培训。</w:t>
      </w:r>
    </w:p>
    <w:p w14:paraId="17D1C320">
      <w:pPr>
        <w:bidi w:val="0"/>
        <w:rPr>
          <w:rFonts w:hint="eastAsia"/>
          <w:b/>
          <w:bCs/>
          <w:lang w:val="zh-CN"/>
        </w:rPr>
      </w:pPr>
      <w:r>
        <w:rPr>
          <w:rFonts w:hint="eastAsia"/>
          <w:b/>
          <w:bCs/>
          <w:lang w:val="zh-CN"/>
        </w:rPr>
        <w:t>五、借助外力，加强政策项目扶持</w:t>
      </w:r>
    </w:p>
    <w:p w14:paraId="44C5657B">
      <w:pPr>
        <w:bidi w:val="0"/>
        <w:rPr>
          <w:rFonts w:hint="eastAsia"/>
          <w:lang w:val="zh-CN"/>
        </w:rPr>
      </w:pPr>
      <w:r>
        <w:rPr>
          <w:rFonts w:hint="eastAsia"/>
          <w:lang w:val="zh-CN"/>
        </w:rPr>
        <w:t>政策对接。积极争取涉及国家、省级补助的南雄市公共服务项目的财政转移支付力度。医联体建设争取到省财政三年转移支付资金1.4亿元，市第二人民医院建设争取到省财政三年转移支付资金1.8亿元，公共文化服务方面争取到中央、省及韶关市三级财政支持737万元。围绕省级部门关于加大原中央苏区县、重点生态功能区转移支付增量政策，认真梳理全市财政收支情况，尽力争取增量转移支付和创新发展示范县建设资金。争取中央财政革命老区专项转移支付、彩票公益金、专项扶贫等资金的倾斜，争取2018年中央专项彩票公益金支持乡村学校少年宫项目补助资金28万元，争取到增量革命老区转移支付资金1000万元。推进涉农资金整合工作，制定《南雄市涉农资金统筹整合实施方案（试行）》，并组织各职能部门和镇（街道）进行项目库填报，2018年申报1000多个项目。</w:t>
      </w:r>
    </w:p>
    <w:p w14:paraId="66834A89">
      <w:pPr>
        <w:bidi w:val="0"/>
        <w:rPr>
          <w:rFonts w:hint="eastAsia"/>
          <w:lang w:val="zh-CN"/>
        </w:rPr>
      </w:pPr>
      <w:r>
        <w:rPr>
          <w:rFonts w:hint="eastAsia"/>
          <w:lang w:val="zh-CN"/>
        </w:rPr>
        <w:t>项目对接。争取到2018年省级湿地保护与恢复项目，省级野生动植物、湿地保护和宣传项目96万元。获批林下经济示范点建设资金170万元。完成梅关古道沿线新农村建设规划编制，完成珠玑段、角湾段等沿线立面改造工作60%以上。完成对广州会馆（西厢）修缮方案的编制工作，初步通过广东省古迹保护协会专家的审核。争取信息化中心学校建设资金和义务教育阶段寄宿制学校建设资金1800多万元。</w:t>
      </w:r>
    </w:p>
    <w:p w14:paraId="42F74661">
      <w:pPr>
        <w:pStyle w:val="3"/>
        <w:bidi w:val="0"/>
        <w:rPr>
          <w:rFonts w:hint="eastAsia"/>
          <w:lang w:val="zh-CN"/>
        </w:rPr>
      </w:pPr>
      <w:r>
        <w:rPr>
          <w:rFonts w:hint="eastAsia"/>
          <w:lang w:val="zh-CN"/>
        </w:rPr>
        <w:t>党建引领脱贫攻坚</w:t>
      </w:r>
    </w:p>
    <w:p w14:paraId="70C708C1">
      <w:pPr>
        <w:bidi w:val="0"/>
        <w:jc w:val="right"/>
        <w:rPr>
          <w:rFonts w:hint="eastAsia"/>
          <w:b/>
          <w:bCs/>
          <w:lang w:val="zh-CN"/>
        </w:rPr>
      </w:pPr>
      <w:r>
        <w:rPr>
          <w:rFonts w:hint="eastAsia"/>
          <w:b/>
          <w:bCs/>
          <w:lang w:val="zh-CN"/>
        </w:rPr>
        <w:t>——广东省抓党建促脱贫攻坚工作现场会在南雄召开</w:t>
      </w:r>
    </w:p>
    <w:p w14:paraId="40DC9555">
      <w:pPr>
        <w:bidi w:val="0"/>
        <w:rPr>
          <w:rFonts w:hint="eastAsia"/>
          <w:lang w:val="zh-CN"/>
        </w:rPr>
      </w:pPr>
      <w:r>
        <w:rPr>
          <w:rFonts w:hint="eastAsia"/>
          <w:lang w:val="zh-CN"/>
        </w:rPr>
        <w:t>2018年6月29日，广东省抓党建促脱贫攻坚工作现场会在南雄召开。广东省委常委、组织部部长邹铭及省委组织部、省扶贫办、省民政厅相关负责人以及有省定贫困村的14个地级市的市委常委、组织部长参加会议，并先后前往南雄市电子商务公共服务中心、珠玑镇角湾村、灵潭村，了解察看南雄党建促扶贫工作。</w:t>
      </w:r>
    </w:p>
    <w:p w14:paraId="780BDD1F">
      <w:pPr>
        <w:bidi w:val="0"/>
        <w:rPr>
          <w:rFonts w:hint="eastAsia"/>
          <w:lang w:val="zh-CN"/>
        </w:rPr>
      </w:pPr>
      <w:r>
        <w:rPr>
          <w:rFonts w:hint="eastAsia"/>
          <w:lang w:val="zh-CN"/>
        </w:rPr>
        <w:t>南雄市深入学习贯彻习近平总书记关于脱贫攻坚、乡村振兴的一系列重要指示要求，扎实推进基层党组织建设三年行动计划落实，立足“围绕发展抓党建、抓好党建促发展”总体思路，努力把党的组织优势转化为扶贫优势、发展优势，促进精准脱贫。</w:t>
      </w:r>
    </w:p>
    <w:p w14:paraId="76F89162">
      <w:pPr>
        <w:bidi w:val="0"/>
        <w:rPr>
          <w:rFonts w:hint="eastAsia"/>
          <w:lang w:val="zh-CN"/>
        </w:rPr>
      </w:pPr>
      <w:r>
        <w:rPr>
          <w:rFonts w:hint="eastAsia"/>
          <w:b/>
          <w:bCs/>
          <w:lang w:val="zh-CN"/>
        </w:rPr>
        <w:t>发展电商服务精准脱贫</w:t>
      </w:r>
      <w:r>
        <w:rPr>
          <w:rFonts w:hint="eastAsia"/>
          <w:b/>
          <w:bCs/>
          <w:lang w:val="en-US" w:eastAsia="zh-CN"/>
        </w:rPr>
        <w:t xml:space="preserve">   </w:t>
      </w:r>
      <w:r>
        <w:rPr>
          <w:rFonts w:hint="eastAsia"/>
          <w:lang w:val="zh-CN"/>
        </w:rPr>
        <w:t>南雄电子商务公共服务中心于2016年建成运营，为切实发挥电商园在脱贫攻坚中的关键作用，南雄市着力构建“党建+电商+扶贫”模式，成立电商园中心党支部，带领入驻企业党支部和党员代表带头发展电商。采取送种苗、党员致富能手一对一帮扶、技术培训解决贫困户技术欠缺问题；通过“互联网+”抱团营销解决贫困户产品销售难问题；与金融部门沟通协调，制定一系列电子商务创业扶持政策解决贫困户资金匮乏问题。坚持党支部与电商同建，党员与电商同管，政策与电商同频，激励引导基层组织带头发展电商、各级党员干部领先融入电商、党员骨干率先实践电商。切实发挥了电商在脱贫攻坚中的关键作用。</w:t>
      </w:r>
    </w:p>
    <w:p w14:paraId="1E3F81F3">
      <w:pPr>
        <w:bidi w:val="0"/>
        <w:rPr>
          <w:rFonts w:hint="eastAsia"/>
          <w:lang w:val="zh-CN"/>
        </w:rPr>
      </w:pPr>
      <w:r>
        <w:rPr>
          <w:rFonts w:hint="eastAsia"/>
          <w:b/>
          <w:bCs/>
          <w:lang w:val="zh-CN"/>
        </w:rPr>
        <w:t>“五大振兴”助推精准扶贫</w:t>
      </w:r>
      <w:r>
        <w:rPr>
          <w:rFonts w:hint="eastAsia"/>
          <w:b/>
          <w:bCs/>
          <w:lang w:val="en-US" w:eastAsia="zh-CN"/>
        </w:rPr>
        <w:t xml:space="preserve">   </w:t>
      </w:r>
      <w:r>
        <w:rPr>
          <w:rFonts w:hint="eastAsia"/>
          <w:lang w:val="zh-CN"/>
        </w:rPr>
        <w:t>珠玑镇角湾村曾经是软弱涣散村，2016年被列为省定贫困村，南雄市在开展扶贫工作以来，以提升组织力为重点，强化基层党组织领导核心作用，把贫困村党组织建设成带领乡亲脱贫奔康的坚强战斗堡垒。一是实施“头雁工程”推动组织振兴，选优配强党总支部书记，切实转变工作作风，带领广大党员在乡村振兴中当好组织者、推动者、先行者，实现“强集体”“富农民”。二是开展“招商引林”推动产业振兴，成立农业专业合作社，建立农村电子商务服务站，通过土地流转、参股分红、吸纳就业等模式，发展油菜花、油茶、果树种植、优质蜜蜂养殖、改建水力发电、新建光伏发电等带领群众脱贫致富。三是实施“青苗培养工程”推动人才振兴，采用流动党员“乡情联心”机制和培养农村党员致富带头人等方式，注重把党员培养成致富带头人，以“一对一”结对子的方式，为困难群众提供技能帮扶、上门指导。四是开展文体便民推动文化振兴，建设标准化村级卫生站和便民理发室，对65岁以上的老人免费理发，群众基本用药到村卫生站免费领取。同时开展平安创建、扶贫济困、孝老敬亲等活动，使乡风民风变得更加和谐。五是开展环境整治推动生态振兴，开展“三清三拆”和新农村建设工作，采取“党员包户”的方式，带动全体村民积极参与农村生活垃圾常态化保洁行动，共建美丽宜居乡村。</w:t>
      </w:r>
    </w:p>
    <w:p w14:paraId="15031C35">
      <w:pPr>
        <w:bidi w:val="0"/>
        <w:rPr>
          <w:rFonts w:hint="eastAsia"/>
          <w:lang w:val="zh-CN"/>
        </w:rPr>
      </w:pPr>
      <w:r>
        <w:rPr>
          <w:rFonts w:hint="eastAsia"/>
          <w:b/>
          <w:bCs/>
          <w:lang w:val="zh-CN"/>
        </w:rPr>
        <w:t>“三个在先”引领精准脱贫</w:t>
      </w:r>
      <w:r>
        <w:rPr>
          <w:rFonts w:hint="eastAsia"/>
          <w:b/>
          <w:bCs/>
          <w:lang w:val="en-US" w:eastAsia="zh-CN"/>
        </w:rPr>
        <w:t xml:space="preserve">   </w:t>
      </w:r>
      <w:r>
        <w:rPr>
          <w:rFonts w:hint="eastAsia"/>
          <w:b w:val="0"/>
          <w:bCs w:val="0"/>
          <w:lang w:val="zh-CN"/>
        </w:rPr>
        <w:t>珠</w:t>
      </w:r>
      <w:r>
        <w:rPr>
          <w:rFonts w:hint="eastAsia"/>
          <w:lang w:val="zh-CN"/>
        </w:rPr>
        <w:t>玑镇灵潭村是红色革命老区，也是2016年省定贫困村，南雄市切实强化“党建引领脱贫”理念，推行党组织优化设置在先、党组织领导决策在先、党员作用发挥在先的“三个在先”机制。优化党组织设置，加强党的领导，充分发挥党员在脱贫攻坚中的先锋模范作用，组织党员深入教育宣传和组织发动群众，推动物质脱贫与精神脱贫齐步走。灵潭村建立村级第一家集体资产经营管理公司——济福生态农业有限公司，形成光伏发电、腐竹加工厂、现代烤烟房、集体种植、农机服务队、农家乐六大扶贫产业，采用“租金+薪金+股金”利益模式将贫困户连在产业链上，并充分调动群众主体作用开展新农村建设，探索出“党建+”脱贫致富与新农村建设相结合的路子，取得明显成效。村集体经济收入由2015年的1.5万元提高到2018年的100万元，村民收入明显提高，提前完成精准扶贫工作。经过两年多脱贫攻坚工作，灵潭村面貌焕然一新，获评“2018年中国美丽休闲乡村”。</w:t>
      </w:r>
    </w:p>
    <w:p w14:paraId="561AAA7C">
      <w:pPr>
        <w:pStyle w:val="3"/>
        <w:bidi w:val="0"/>
        <w:rPr>
          <w:rFonts w:hint="eastAsia"/>
          <w:lang w:val="zh-CN"/>
        </w:rPr>
      </w:pPr>
      <w:r>
        <w:rPr>
          <w:rFonts w:hint="eastAsia"/>
          <w:lang w:val="zh-CN"/>
        </w:rPr>
        <w:t>老有所乐，科学健身</w:t>
      </w:r>
    </w:p>
    <w:p w14:paraId="39153566">
      <w:pPr>
        <w:bidi w:val="0"/>
        <w:jc w:val="right"/>
        <w:rPr>
          <w:rFonts w:hint="eastAsia"/>
          <w:b/>
          <w:bCs/>
          <w:lang w:val="zh-CN"/>
        </w:rPr>
      </w:pPr>
      <w:r>
        <w:rPr>
          <w:rFonts w:hint="eastAsia"/>
          <w:b/>
          <w:bCs/>
          <w:lang w:val="zh-CN"/>
        </w:rPr>
        <w:t>——广东省第九届老年人体育健身大会在南雄举办</w:t>
      </w:r>
    </w:p>
    <w:p w14:paraId="0938B9F0">
      <w:pPr>
        <w:bidi w:val="0"/>
        <w:rPr>
          <w:rFonts w:hint="eastAsia"/>
          <w:lang w:val="zh-CN"/>
        </w:rPr>
      </w:pPr>
      <w:r>
        <w:rPr>
          <w:rFonts w:hint="eastAsia"/>
          <w:lang w:val="zh-CN"/>
        </w:rPr>
        <w:t>为践行“以人民为中心”的发展理念，倡导科学健身、文明生活新风尚，2018年10月17日—11月1日，由广东省体育局主办，省老龄办协办，省老年人体育协会、南雄市人民政府、韶关市体育局承办的广东省第九届老年人体育健身大会在南雄市举办。来自全省21个地级以上市、省直、中央驻粤单位和台湾地区、澳门特别行政区等地的33个代表团2410名运动员参加。健身大会设广场舞、健身气功、门球、柔力球、气排球、网球、象棋、桥牌、乒乓球、钓鱼、太极拳（剑）、持杖健步走、健身球操等13个项目。</w:t>
      </w:r>
    </w:p>
    <w:p w14:paraId="1EB34AD8">
      <w:pPr>
        <w:bidi w:val="0"/>
        <w:rPr>
          <w:rFonts w:hint="eastAsia"/>
          <w:lang w:val="zh-CN"/>
        </w:rPr>
      </w:pPr>
      <w:r>
        <w:rPr>
          <w:rFonts w:hint="eastAsia"/>
          <w:lang w:val="zh-CN"/>
        </w:rPr>
        <w:t>10月17日上午，广东省第九届老年人体育健身大会开幕式在南雄市体育馆举行。广东省政协原副主席唐国忠、省人民政府副秘书长魏宏广、省体育局局长王禹平、省体育局副局长麦良、韶关市人民政府副市长高冬瑞、省体育局原巡视员、省老年人体育协会常务副主席田新德、上海市老年人体育协会主席韩秀芳、河南省老年人体育协会副主席王书义、南雄市委书记王碧安、市委副书记、市长林小龙等领导以及全省各地市代表团出席开幕式。</w:t>
      </w:r>
    </w:p>
    <w:p w14:paraId="0B986770">
      <w:pPr>
        <w:bidi w:val="0"/>
        <w:rPr>
          <w:rFonts w:hint="eastAsia"/>
          <w:lang w:val="zh-CN"/>
        </w:rPr>
      </w:pPr>
      <w:r>
        <w:rPr>
          <w:rFonts w:hint="eastAsia"/>
          <w:lang w:val="zh-CN"/>
        </w:rPr>
        <w:t>这届大会遵循“体育健身、老有所乐、红色苏区、生态南雄”活动主题，经过16天比赛，各项赛事圆满结束。获得各项目优秀奖分别有：湛江、东莞、深圳、河源、揭阳、广州、汕尾获得广场舞自选套路优秀奖；湛江、东莞、深圳、广州、河源、汕头、江门、汕尾、惠州、中山代表队获得健身气功集体项目优秀奖；潮州、肇庆、河源、清远、台湾高雄、汕头、茂名、佛山代表队获得门球项目五人团体赛优秀奖；澳门英豪、惠州、佛山、河源、汕头、台湾高雄、茂名石化代表队获得门球项目混合双人赛优秀奖；梅州、中山、汕尾、阳江代表队获柔力球项目规定套路优秀奖；江门、茂名、梅州、汕头代表队获柔力球项目健身套路优秀奖；河源、肇庆、茂名、中山、梅州、阳江代表队获柔力球项目自选套路优秀奖；韶关、广州、深圳、省老干中心、汕头、深圳、惠州、茂名代表队获钓鱼项目团体优秀奖；珠海、省老干中心、中山、东莞代表队获桥牌项目优秀奖；江门、珠海、中山、省老干中心、茂名、揭阳代表队获象棋项目优秀奖；广州、揭阳、惠州江门、惠州、省老干中心、茂名、东莞代表队获乒乓球项目团体优秀奖；珠江水利、广技师、茂名、汕头代表队分别获气排球项目男子、女子组优秀奖；汕头、省老干中心、茂名、佛山代表队获网球项目优秀奖；深圳、湛江、河源、揭阳、佛山、广州、梅州、江门、潮州、汕尾代表队获集体42式太极剑优秀奖；持杖健步走项目中，珠海、深圳、韶关、江门代表队获4×400米场地接力优秀奖，佛山、江门、汕头、深圳代表队代表队获手杖操优秀奖，佛山、茂名、肇庆、江门代表队获户外穿越优秀奖。健身球操项目中，惠州、深圳、广州、河源、阳江、潮州代表队获自选套路优胜奖，珠海、佛山、茂名、潮州、中山代表队获健身套路优胜奖，惠州、深圳、珠海、广州、揭阳代表队获规定套路优胜奖。在这届老年人健身大会中，238个队次获得优胜奖，146个队次获得优秀奖。大会还分别授予广州市、深圳市、珠海市、汕头市、韶关市、河源市、惠州市、汕尾市、东莞市、江门市、阳江市、茂名市最佳组织奖；分别授予韶关市体育局、南雄市人民政府特殊贡献奖；向28个参赛代表团颁发体育道德风尚奖。活动的举办，增强老年人健身意识，提高他们的参与度和获得感，老有所为，老有所乐，也是贯彻全民健身国家战略，推进“健康广东”创建的重要举措。</w:t>
      </w:r>
    </w:p>
    <w:p w14:paraId="2E14A7BE">
      <w:pPr>
        <w:pStyle w:val="3"/>
        <w:bidi w:val="0"/>
        <w:rPr>
          <w:rFonts w:hint="eastAsia"/>
          <w:lang w:val="zh-CN"/>
        </w:rPr>
      </w:pPr>
      <w:r>
        <w:rPr>
          <w:rFonts w:hint="eastAsia"/>
          <w:lang w:val="zh-CN"/>
        </w:rPr>
        <w:t>重走长征路再创新辉煌</w:t>
      </w:r>
    </w:p>
    <w:p w14:paraId="256CE82A">
      <w:pPr>
        <w:bidi w:val="0"/>
        <w:jc w:val="right"/>
        <w:rPr>
          <w:rFonts w:hint="eastAsia"/>
          <w:b/>
          <w:bCs/>
          <w:lang w:val="zh-CN"/>
        </w:rPr>
      </w:pPr>
      <w:r>
        <w:rPr>
          <w:rFonts w:hint="eastAsia"/>
          <w:b/>
          <w:bCs/>
          <w:lang w:val="zh-CN"/>
        </w:rPr>
        <w:t>——2018广东省红色旅游系列活动在南雄启动</w:t>
      </w:r>
    </w:p>
    <w:p w14:paraId="13AACE28">
      <w:pPr>
        <w:bidi w:val="0"/>
        <w:rPr>
          <w:rFonts w:hint="eastAsia"/>
          <w:lang w:val="zh-CN"/>
        </w:rPr>
      </w:pPr>
      <w:r>
        <w:rPr>
          <w:rFonts w:hint="eastAsia"/>
          <w:lang w:val="zh-CN"/>
        </w:rPr>
        <w:t>3月24日，“重走长征路·再创新辉煌”——2018广东省红色旅游系列活动启动仪式在南雄市油山镇举行。本次活动由广东省旅游局、韶关市人民政府共同主办。南雄籍开国少将彭显伦后人和南雄县委原书记、烈士彭显模后人、游击队老战士代表及省、市、县有关部门、社会各界团队等2300多人参加活动。</w:t>
      </w:r>
    </w:p>
    <w:p w14:paraId="7031209D">
      <w:pPr>
        <w:bidi w:val="0"/>
        <w:rPr>
          <w:rFonts w:hint="eastAsia"/>
          <w:lang w:val="zh-CN"/>
        </w:rPr>
      </w:pPr>
      <w:r>
        <w:rPr>
          <w:rFonts w:hint="eastAsia"/>
          <w:lang w:val="zh-CN"/>
        </w:rPr>
        <w:t>活动仪式在唱响长征组歌中启动，随后，彭显伦少将之子彭勃现场讲述油山先辈革命故事；彭显伦少将之女彭汇生带领宣读“长征精神誓词”，共忆峥嵘岁月；少先队员向彭显伦和彭显模后人、老游击战士代表敬献红领巾；省、市有关领导为重走长征路各纵队旗手授旗。</w:t>
      </w:r>
    </w:p>
    <w:p w14:paraId="1DBF2476">
      <w:pPr>
        <w:bidi w:val="0"/>
        <w:rPr>
          <w:rFonts w:hint="eastAsia"/>
          <w:lang w:val="zh-CN"/>
        </w:rPr>
      </w:pPr>
      <w:r>
        <w:rPr>
          <w:rFonts w:hint="eastAsia"/>
          <w:lang w:val="zh-CN"/>
        </w:rPr>
        <w:t>仪式结束后，军号声响起，全体参加活动人员从油山上朔礼堂出发（出征门），经夹河口、坪田坳、油山革命纪念碑、大岭下会议旧址，到达终点粤赣界碑处（凯旋门），全长线路约20千米。一路上，老游击战士和革命先辈后人高举红旗，引领各纵队重走长征路，体验长征艰难险阻。沿途设有油山革命纪念碑现场教学、红色宣传雕塑、“忆苦思甜”红军餐、红军长征露营情景再现、</w:t>
      </w:r>
      <w:r>
        <w:rPr>
          <w:rFonts w:hint="eastAsia"/>
          <w:lang w:val="en-US" w:eastAsia="zh-CN"/>
        </w:rPr>
        <w:t>党的</w:t>
      </w:r>
      <w:r>
        <w:rPr>
          <w:rFonts w:hint="eastAsia"/>
          <w:lang w:val="zh-CN"/>
        </w:rPr>
        <w:t>十九大精神宜传和长征题材快板表演等活动和场景，让活动参与者深刻感受红军长征的精神内涵和南雄深厚的红色底蕴。</w:t>
      </w:r>
    </w:p>
    <w:p w14:paraId="2325E295">
      <w:pPr>
        <w:bidi w:val="0"/>
        <w:rPr>
          <w:rFonts w:hint="eastAsia"/>
          <w:lang w:val="zh-CN"/>
        </w:rPr>
      </w:pPr>
      <w:r>
        <w:rPr>
          <w:rFonts w:hint="eastAsia"/>
          <w:lang w:val="zh-CN"/>
        </w:rPr>
        <w:t>南雄是韶关市唯一的原中央苏区县，也是红军长征进入广东的第一站。在油山，留下众多革命遗址、旧址。1928年南雄县成立苏维埃政府，驻地设在油山镇上朔村；中央红军四到南雄，多次转战油山；中央红军主力长征后，1935年3月，留守中央苏区的项英、陈毅率部突围来到油山，开展艰苦卓绝的三年游击战争，建立以油山为中心的赣粤边游击区。油山革命老区涌现出一批革命志士和英雄人物。</w:t>
      </w:r>
    </w:p>
    <w:p w14:paraId="72D9B1A4">
      <w:pPr>
        <w:bidi w:val="0"/>
        <w:rPr>
          <w:rFonts w:hint="eastAsia"/>
          <w:lang w:val="zh-CN"/>
        </w:rPr>
      </w:pPr>
      <w:r>
        <w:rPr>
          <w:rFonts w:hint="eastAsia"/>
          <w:lang w:val="zh-CN"/>
        </w:rPr>
        <w:t>“重走长征路再创新辉煌”2018广东省红色旅游系列活动在南雄启动，目的就是要弘扬长征精神，传承红色基因，激励全市上下不忘初心、牢记使命，砥砺前行，同心聚力，共创苏区南雄美好明天。</w:t>
      </w:r>
    </w:p>
    <w:p w14:paraId="6C0DAF84">
      <w:pPr>
        <w:pStyle w:val="3"/>
        <w:bidi w:val="0"/>
        <w:rPr>
          <w:rFonts w:hint="eastAsia"/>
          <w:lang w:val="zh-CN"/>
        </w:rPr>
      </w:pPr>
      <w:r>
        <w:rPr>
          <w:rFonts w:hint="eastAsia"/>
          <w:lang w:val="zh-CN"/>
        </w:rPr>
        <w:t>“三变改革”助推乡村振兴</w:t>
      </w:r>
    </w:p>
    <w:p w14:paraId="47287198">
      <w:pPr>
        <w:bidi w:val="0"/>
        <w:rPr>
          <w:rFonts w:hint="eastAsia"/>
          <w:lang w:val="zh-CN"/>
        </w:rPr>
      </w:pPr>
      <w:r>
        <w:rPr>
          <w:rFonts w:hint="eastAsia"/>
          <w:lang w:val="zh-CN"/>
        </w:rPr>
        <w:t>根据党的十九大乡村振兴战略和2018年中央一号文件精神，为加快脱贫致富步伐，实现乡村振兴目标，南雄市大胆探索“三变”改革，通过改革创新，盘活土地、劳动力、资产、自然风光等要素，让资源变资本、资金变股金、村民变股民，大力推进乡村振兴工作。2018年，将湖口镇湖口村委会张屋村定为试点村，切实推进“三变改革”工作。通过两个多月的努力，9月21日，南雄市、镇领导与湖口镇张屋村村民和外出乡贤一起见证村“三变”改革股份合作社揭牌成立暨新农村建设奠基。</w:t>
      </w:r>
    </w:p>
    <w:p w14:paraId="5B1DF096">
      <w:pPr>
        <w:bidi w:val="0"/>
        <w:rPr>
          <w:rFonts w:hint="eastAsia"/>
          <w:lang w:val="zh-CN"/>
        </w:rPr>
      </w:pPr>
      <w:r>
        <w:rPr>
          <w:rFonts w:hint="eastAsia"/>
          <w:lang w:val="zh-CN"/>
        </w:rPr>
        <w:t>这是南雄市成立的首个村“三变”改革股份合作社，也是实施乡村振兴战略的积极探索和大胆尝试。这一探索和尝试，以增加农民收入为核心，以深化农村产权制度改革为主线，通过开展资产变资源、资金变股金、农民变股民的“三变改革”，盘活“三资”，惠及“三农”，增加集体经济，提高农民财产性收入，实现乡村振兴。</w:t>
      </w:r>
    </w:p>
    <w:p w14:paraId="20044711">
      <w:pPr>
        <w:bidi w:val="0"/>
        <w:rPr>
          <w:rFonts w:hint="eastAsia"/>
          <w:lang w:val="zh-CN"/>
        </w:rPr>
      </w:pPr>
      <w:r>
        <w:rPr>
          <w:rFonts w:hint="eastAsia"/>
          <w:lang w:val="zh-CN"/>
        </w:rPr>
        <w:t>湖口镇张屋村召开家长会，选举成立“三变改革五大合作”理事会，按照“资源变资产、资金变股金、农民变股东”的要求，开展农村集体产权制度改革，组建资产股份合作社；开展土地承包“三权分置”，组建土地股份合作社；开展全域旅游和民宿，组建旅游股份合作社：开展充分就业村社建设，组建劳务股份合作社；开展农村金融制度改革和精准扶贫，组建置业股份合作社；下一步组建由村级集体经济组织发起、广大农户共同投资入股的“农旅投资发展有限公司”。张屋村各大合作社成立后将分工合作，肩负起开展农村集体产权制度改革、土地承包“三权分置”、充分就业、村社建设等职责。通过“三变”改革，张屋村旱坡地的租金每亩每年由50元增至100元，水田由300元增至400元，这两类土地的分红标准则分别为利润的10%和15%。“村里每家每户都有股份，都有租金和分红。”张屋村理事会理事长张学兵介绍说，经初步计算，每年全村村民的土地租金和分红将达到17万元左右。</w:t>
      </w:r>
    </w:p>
    <w:p w14:paraId="0D3EF90C">
      <w:pPr>
        <w:pStyle w:val="3"/>
        <w:bidi w:val="0"/>
        <w:rPr>
          <w:rFonts w:hint="eastAsia"/>
          <w:lang w:val="zh-CN"/>
        </w:rPr>
      </w:pPr>
      <w:r>
        <w:rPr>
          <w:rFonts w:hint="eastAsia"/>
          <w:lang w:val="zh-CN"/>
        </w:rPr>
        <w:t>南雄市珠玑镇灵潭村获评“2018年中国美丽休闲乡村”</w:t>
      </w:r>
    </w:p>
    <w:p w14:paraId="69A9C9AB">
      <w:pPr>
        <w:bidi w:val="0"/>
        <w:rPr>
          <w:rFonts w:hint="eastAsia"/>
          <w:lang w:val="zh-CN"/>
        </w:rPr>
      </w:pPr>
      <w:r>
        <w:rPr>
          <w:rFonts w:hint="eastAsia"/>
          <w:lang w:val="zh-CN"/>
        </w:rPr>
        <w:t>灵潭村地处南雄市珠玑镇中北部，是省级新农村示范片试点村，下辖11个村小组，共518户2079人，其中贫困户44户119人。2016年被列为新时期精准扶贫精准脱贫省定相对贫困村。全村旅游资源丰富，区位交通便利。作为广东省纪委监委的帮扶联系村，灵潭村通过乡村旅游带动群众增收致富，经过两年多的发展，昔日被称为“泥潭”村的贫困村发生翻天覆地的变化。2018年10月，灵潭村被评为“2018年中国美丽休闲乡村”，中央电视台焦点访谈将其作为美丽乡村建设的典型，给予报道宣传。</w:t>
      </w:r>
    </w:p>
    <w:p w14:paraId="556C1A58">
      <w:pPr>
        <w:bidi w:val="0"/>
        <w:rPr>
          <w:rFonts w:hint="eastAsia"/>
          <w:lang w:val="zh-CN"/>
        </w:rPr>
      </w:pPr>
      <w:r>
        <w:rPr>
          <w:rFonts w:hint="eastAsia"/>
          <w:b/>
          <w:bCs/>
          <w:lang w:val="zh-CN"/>
        </w:rPr>
        <w:t>完善基础设施，夯实乡村旅游。</w:t>
      </w:r>
      <w:r>
        <w:rPr>
          <w:rFonts w:hint="eastAsia"/>
          <w:lang w:val="zh-CN"/>
        </w:rPr>
        <w:t>坚持规划先行，编制《灵潭村旅游发展规划》《灵潭村景观风貌规划》《灵潭村村庄整治规划》等，指导灵潭村民科学高效发展旅游业，助推村民脱贫致富，为后期招商引资和灵潭村旅游资源的合理科学开发奠定基础。灵潭村统筹各方力量投入乡村旅游基础设施和配套设施建设，2018年完成对前围、黄屋、田兰、恒丰等村民房屋立面改造，治理山塘、池塘18口，新修农田水利设施约10千米，改造道路7.8千米，修建桥梁4座，新建污水处理生态湿地360平方米，休闲广场5个，公共厕所4间，改造房屋外立面8.48万平方米，绿化美化面积约2.5万平方米。全村人居环境有效改善，为乡村旅游发展奠定基础，激发村民投身发展乡村旅游的积极性，推动灵潭村乡村旅游蓬勃发展。</w:t>
      </w:r>
    </w:p>
    <w:p w14:paraId="691396D9">
      <w:pPr>
        <w:bidi w:val="0"/>
        <w:rPr>
          <w:rFonts w:hint="eastAsia"/>
          <w:lang w:val="zh-CN"/>
        </w:rPr>
      </w:pPr>
      <w:r>
        <w:rPr>
          <w:rFonts w:hint="eastAsia"/>
          <w:b/>
          <w:bCs/>
          <w:lang w:val="zh-CN"/>
        </w:rPr>
        <w:t>渲染红色印记，发展乡村旅游。</w:t>
      </w:r>
      <w:r>
        <w:rPr>
          <w:rFonts w:hint="eastAsia"/>
          <w:lang w:val="zh-CN"/>
        </w:rPr>
        <w:t>灵潭村作为革命老区村，红色文化底蕴深厚。灵潭“鸳鸯围”是南雄农民大暴动的策源地，广东陆军总医院曾在灵潭村驻扎四年，哺育出钟蛟蟠等抗日英烈。红色印记是灵潭村景点特色，把原村党组织办公大楼改造修缮成灵潭村新时代文明实践站，并注入红色基因，将其打造成为党员党性教育基地。保护修复一批革命遗址遗迹，开展鸳鸯围修复工程，新建钟蛟蟠事迹馆，布展钟蛟蟠烈士革命事迹，完善田兰红色公园建设，设置红色景观雕塑，建设红色廉政馆等。传承红色基因，讲好灵潭故事。通过聘请红色文化规划专家进行调研，在灵潭村现有的红色遗址布局下，精心规划出一条精品红色线路，推动形成红色文化宣教区，聘请讲师进行红色文化授课和形体礼仪学习，传播红色历史，播撒正能量。</w:t>
      </w:r>
    </w:p>
    <w:p w14:paraId="59DD2C62">
      <w:pPr>
        <w:bidi w:val="0"/>
        <w:rPr>
          <w:rFonts w:hint="eastAsia"/>
          <w:lang w:val="zh-CN"/>
        </w:rPr>
      </w:pPr>
      <w:r>
        <w:rPr>
          <w:rFonts w:hint="eastAsia"/>
          <w:b/>
          <w:bCs/>
          <w:lang w:val="zh-CN"/>
        </w:rPr>
        <w:t>发展特色产业，助力乡村旅游。</w:t>
      </w:r>
      <w:r>
        <w:rPr>
          <w:rFonts w:hint="eastAsia"/>
          <w:lang w:val="zh-CN"/>
        </w:rPr>
        <w:t>灵潭村坚持因地制宜，在特色产业上大做文章，按照发展壮大村集体经济、带动群众脱贫致富的帮扶思路，规划集体种植、烤烟房、农业服务队、光伏电站等特色产业，构建“租金+薪金+股金”利益联结机制，探索出一条脱贫致富与乡村旅游相结合的新路子。灵潭村素有“腐竹之乡”之称，为了将具有数百年历史的灵潭腐竹技艺和蕴藏其后的乡土历史保存下来，灵潭村一方面通过带动村民大力种植黄豆，发展绿色种植业，另一方面创办“灵潭腐竹食品发展有限公司”，以扩大腐竹的生产规模，壮大集体经济。因地制宜，以农耕为主题，打造集观赏、品尝、游玩为一体的体验式“农家乐”项目，同时聘请当地贫困户作为服务人员，村民也吃上“旅游饭”。灵潭村特色产业形成一条集农业生产、农产品加工、乡村旅游为一体的产业链。2018年9月23日，中国首个农民丰收节南雄分会场在灵潭村启动，开展磨豆腐、打麻糍、割稻谷、石斛种植、捉泥鳅等丰富多彩的农事活动，设置农副产品销售点，当地农民展销各自家中丰收的农土特产品，吸引游客前来观光体验，促进乡村旅游发展。</w:t>
      </w:r>
    </w:p>
    <w:p w14:paraId="1B1BA60D">
      <w:pPr>
        <w:pStyle w:val="3"/>
        <w:bidi w:val="0"/>
        <w:rPr>
          <w:rFonts w:hint="eastAsia"/>
          <w:lang w:val="zh-CN"/>
        </w:rPr>
      </w:pPr>
      <w:r>
        <w:rPr>
          <w:rFonts w:hint="eastAsia"/>
          <w:lang w:val="zh-CN"/>
        </w:rPr>
        <w:t>南雄市被评为广东省推进教育现代化先进市</w:t>
      </w:r>
    </w:p>
    <w:p w14:paraId="3F4FF457">
      <w:pPr>
        <w:bidi w:val="0"/>
        <w:rPr>
          <w:rFonts w:hint="eastAsia"/>
          <w:lang w:val="zh-CN"/>
        </w:rPr>
      </w:pPr>
      <w:r>
        <w:rPr>
          <w:rFonts w:hint="eastAsia"/>
          <w:lang w:val="zh-CN"/>
        </w:rPr>
        <w:t>2018年12月28日，南雄市举行成功创建“广东省推进教育现代化先进市”成果展示暨2019年教育系统元旦文艺晚会。晚会上，韶关市教育局副局长梁丽娟宣读《广东省教育厅关于授予南雄市“广东省推进教育现代化先进市”称号的决定》。</w:t>
      </w:r>
    </w:p>
    <w:p w14:paraId="37AD0765">
      <w:pPr>
        <w:bidi w:val="0"/>
        <w:rPr>
          <w:rFonts w:hint="eastAsia"/>
          <w:lang w:val="zh-CN"/>
        </w:rPr>
      </w:pPr>
      <w:r>
        <w:rPr>
          <w:rFonts w:hint="eastAsia"/>
          <w:lang w:val="zh-CN"/>
        </w:rPr>
        <w:t>南雄市全面贯彻落实党的十九大精神，遵循“打苏区牌、走生态路，主动融入珠三角，加快建设粤北门户城市”总体思路，大力推进南雄经济社会实现跨越发展，紧紧把握创建广东省推进教育现代化先进市的新机遇，坚持教育优先发展，积极实施“人才强市”“科教兴市”战略，切实围绕质量和公平两个核心，以立德树人为根本，以教育现代化为目标，以优质均衡发展为方向，以强化教育治理体系和能力建设为保障，全面改善学校办学条件，提升学校办学水平，深入推动南雄教育均衡优质标准化发展，教育现代化建设取得显著成效。</w:t>
      </w:r>
    </w:p>
    <w:p w14:paraId="06860E0B">
      <w:pPr>
        <w:bidi w:val="0"/>
        <w:rPr>
          <w:rFonts w:hint="eastAsia"/>
          <w:b/>
          <w:bCs/>
          <w:lang w:val="zh-CN"/>
        </w:rPr>
      </w:pPr>
      <w:r>
        <w:rPr>
          <w:rFonts w:hint="eastAsia"/>
          <w:b/>
          <w:bCs/>
          <w:lang w:val="zh-CN"/>
        </w:rPr>
        <w:t>一、突出战略引领，落实教育优先发展</w:t>
      </w:r>
    </w:p>
    <w:p w14:paraId="34043A57">
      <w:pPr>
        <w:bidi w:val="0"/>
        <w:rPr>
          <w:rFonts w:hint="eastAsia"/>
          <w:lang w:val="zh-CN"/>
        </w:rPr>
      </w:pPr>
      <w:r>
        <w:rPr>
          <w:rFonts w:hint="eastAsia"/>
          <w:b/>
          <w:bCs/>
          <w:lang w:val="zh-CN"/>
        </w:rPr>
        <w:t>树立教育优先理念。</w:t>
      </w:r>
      <w:r>
        <w:rPr>
          <w:rFonts w:hint="eastAsia"/>
          <w:lang w:val="zh-CN"/>
        </w:rPr>
        <w:t>教育是促进南雄实现跨越发展、推进社会主义现代化的重要基石，在全市社会经济发展中具有先导性、全局性、基础性的战略地位。在谋划南雄发展大计中，南雄市牢固树立“抓教育就是抓生产力、抓可持续发展、抓科学发展”先进理念，始终坚持教育优先发展，把教育纳入南雄经济社会发展总体规划。积极履行教育职责，切实做到“教育发展优先规划、教育经费优先投入、教育用地优先保障、教育人才优先引进、教师福利优先落实、教育问题优先解决”。</w:t>
      </w:r>
    </w:p>
    <w:p w14:paraId="4D093499">
      <w:pPr>
        <w:bidi w:val="0"/>
        <w:rPr>
          <w:rFonts w:hint="eastAsia"/>
          <w:lang w:val="zh-CN"/>
        </w:rPr>
      </w:pPr>
      <w:r>
        <w:rPr>
          <w:rFonts w:hint="eastAsia"/>
          <w:b/>
          <w:bCs/>
          <w:lang w:val="zh-CN"/>
        </w:rPr>
        <w:t>构筑教育现代化体系。</w:t>
      </w:r>
      <w:r>
        <w:rPr>
          <w:rFonts w:hint="eastAsia"/>
          <w:lang w:val="zh-CN"/>
        </w:rPr>
        <w:t>先后出台《南雄市中长期教育改革和发展规划纲要（2011—2020）》《南雄市国民经济和社会发展第十三个五年规划纲要》《南雄市“十三五”教育发展规划》等政策文件，建立和完善教育优先发展工作机制；出台《南雄市中小学校（幼儿园）基础设施建设方案》《南雄市农村改革发展三年行动项目规划表》《南雄市区教育设施专项规划（2016—2020年）》《南雄市学前教育三年行动计划》《南雄市创建广东省推进教育现代化先进县实施方案（2015—2020年）》等一系列举措，构建教育现代化目标体系，为确保全市教育优先发展、推进教育现代化建设提供政策和组织保障。</w:t>
      </w:r>
    </w:p>
    <w:p w14:paraId="29D1928F">
      <w:pPr>
        <w:bidi w:val="0"/>
        <w:rPr>
          <w:rFonts w:hint="eastAsia"/>
          <w:lang w:val="zh-CN"/>
        </w:rPr>
      </w:pPr>
      <w:r>
        <w:rPr>
          <w:rFonts w:hint="eastAsia"/>
          <w:b/>
          <w:bCs/>
          <w:lang w:val="zh-CN"/>
        </w:rPr>
        <w:t>构建教育发展机制。</w:t>
      </w:r>
      <w:r>
        <w:rPr>
          <w:rFonts w:hint="eastAsia"/>
          <w:lang w:val="zh-CN"/>
        </w:rPr>
        <w:t>成立以南雄市委副书记、市长为组长的教育工作领导小组，负责统筹组织、指导协调全市教育发展工作。把教育工作进行分解，层层落实单位职责。建立市四套班子领导成员、市直单位联系挂钩学校工作制度，将教育工作纳入镇（街道）和相关职能部门绩效考核，合力构建“党委统揽、政府负责、教育牵头、镇（街道）主创、部门支持、社会参与”的工作机制。同时，营造“党以重教为先，政以兴教为本，师以从教为荣，民以助教为乐”的良好氛围。</w:t>
      </w:r>
    </w:p>
    <w:p w14:paraId="191FA759">
      <w:pPr>
        <w:bidi w:val="0"/>
        <w:rPr>
          <w:rFonts w:hint="eastAsia"/>
          <w:lang w:val="zh-CN"/>
        </w:rPr>
      </w:pPr>
      <w:r>
        <w:rPr>
          <w:rFonts w:hint="eastAsia"/>
          <w:b/>
          <w:bCs/>
          <w:lang w:val="zh-CN"/>
        </w:rPr>
        <w:t>优先保障教育经费支出。</w:t>
      </w:r>
      <w:r>
        <w:rPr>
          <w:rFonts w:hint="eastAsia"/>
          <w:lang w:val="zh-CN"/>
        </w:rPr>
        <w:t>认真落实“以县为主”的义务教育管理体制，不断加大教育经费统筹力度，优先保障教育经费投入，切实做到“三个确保”，即：确保一般公共预算教育支出逐年只增不减，确保按在校学生人数平均的一般公共预算教育支出逐年只增不减，确保教师年均总收入逐年增长，提高教育经费保障能力和水平。</w:t>
      </w:r>
    </w:p>
    <w:p w14:paraId="743868FA">
      <w:pPr>
        <w:bidi w:val="0"/>
        <w:rPr>
          <w:rFonts w:hint="eastAsia"/>
          <w:b/>
          <w:bCs/>
          <w:lang w:val="zh-CN"/>
        </w:rPr>
      </w:pPr>
      <w:r>
        <w:rPr>
          <w:rFonts w:hint="eastAsia"/>
          <w:b/>
          <w:bCs/>
          <w:lang w:val="zh-CN"/>
        </w:rPr>
        <w:t>二、实施“五大”工程，提升教育发展水平</w:t>
      </w:r>
    </w:p>
    <w:p w14:paraId="4B1511C5">
      <w:pPr>
        <w:bidi w:val="0"/>
        <w:rPr>
          <w:rFonts w:hint="eastAsia"/>
          <w:lang w:val="zh-CN"/>
        </w:rPr>
      </w:pPr>
      <w:r>
        <w:rPr>
          <w:rFonts w:hint="eastAsia"/>
          <w:b/>
          <w:bCs/>
          <w:lang w:val="zh-CN"/>
        </w:rPr>
        <w:t>义务教育优质均衡发展工程。</w:t>
      </w:r>
      <w:r>
        <w:rPr>
          <w:rFonts w:hint="eastAsia"/>
          <w:lang w:val="zh-CN"/>
        </w:rPr>
        <w:t>优化城乡义务教育学校布局，推行“一镇一学区、全镇一张表”的小学阶段学区管理建设，坚持城乡义务教育一体化发展标准，优化农村义务教育学校布局，投入资金近6000万元，完成35所薄弱学校改造、30所寄宿制学校建设，综合办学实力显著提升；深入实施城区学校扩容提质工程，投入1.3亿元，搬迁重建南雄市实验中学、南雄市第三小学，升级改造南雄市第二小学、铺背小学，大幅增加城区学校优质学位容量，切实满足人民群众对城区优质教育的需求。</w:t>
      </w:r>
    </w:p>
    <w:p w14:paraId="35BC5B89">
      <w:pPr>
        <w:bidi w:val="0"/>
        <w:rPr>
          <w:rFonts w:hint="eastAsia"/>
          <w:lang w:val="zh-CN"/>
        </w:rPr>
      </w:pPr>
      <w:r>
        <w:rPr>
          <w:rFonts w:hint="eastAsia"/>
          <w:b/>
          <w:bCs/>
          <w:lang w:val="zh-CN"/>
        </w:rPr>
        <w:t>学前教育普惠健康发展工程。</w:t>
      </w:r>
      <w:r>
        <w:rPr>
          <w:rFonts w:hint="eastAsia"/>
          <w:lang w:val="zh-CN"/>
        </w:rPr>
        <w:t>投入2706万元，完成财贸幼儿园改造、古市镇中心幼儿园新建、机关幼儿园总园新园建设。着力抓好镇中心幼儿园和村级幼儿园建设，不断优化公办幼儿园办园格局；实施幼儿园学区管理、民办幼儿园资金奖补管理办法和普惠性幼儿园认定细则，发挥机关幼儿园品牌示范作用，引导和扶持全市民办幼儿园改善办园条件，提升办园水平和保教质量。</w:t>
      </w:r>
    </w:p>
    <w:p w14:paraId="454F28E3">
      <w:pPr>
        <w:bidi w:val="0"/>
        <w:rPr>
          <w:rFonts w:hint="eastAsia"/>
          <w:lang w:val="zh-CN"/>
        </w:rPr>
      </w:pPr>
      <w:r>
        <w:rPr>
          <w:rFonts w:hint="eastAsia"/>
          <w:b/>
          <w:bCs/>
          <w:lang w:val="zh-CN"/>
        </w:rPr>
        <w:t>高中教育优质特色发展工程。</w:t>
      </w:r>
      <w:r>
        <w:rPr>
          <w:rFonts w:hint="eastAsia"/>
          <w:lang w:val="zh-CN"/>
        </w:rPr>
        <w:t>争取中央苏区县财政专项资金5000万元，对南雄中学、南雄市第一中学、黄坑中学等3所普通高中进行全面升级改造，完善教育教学设备、运动场地及消防安全等其他设施建设，全面提升普通高中办学水平；启动实施高中阶段教育提升攻坚计划，加强学校内涵发展，扎实开展高中多样化课程建设，推进学校办学模式多元化和育人方式多样化，促进高中教育优质特色向前发展。</w:t>
      </w:r>
    </w:p>
    <w:p w14:paraId="479C8B9F">
      <w:pPr>
        <w:bidi w:val="0"/>
        <w:rPr>
          <w:rFonts w:hint="eastAsia"/>
          <w:lang w:val="zh-CN"/>
        </w:rPr>
      </w:pPr>
      <w:r>
        <w:rPr>
          <w:rFonts w:hint="eastAsia"/>
          <w:b/>
          <w:bCs/>
          <w:lang w:val="zh-CN"/>
        </w:rPr>
        <w:t>中职教育融合提升发展工程。</w:t>
      </w:r>
      <w:r>
        <w:rPr>
          <w:rFonts w:hint="eastAsia"/>
          <w:lang w:val="zh-CN"/>
        </w:rPr>
        <w:t>以创建省级职业与成人教育示范性县为目标，投入261万元实施南校区新建综合楼工程，不断改善中职教育办学水平；积极创新办学理念，深入推行“教学工厂”“企业校区”“校企双制”“生产实训一体化教学车间”等产教融合的培养模式，形成切合南雄区域产业发展需求的职业培训体系，培养大批与产业对接、与企业连通、与需求对应的技能型人才，增强职业教育办学活力、服务能力和吸引力。</w:t>
      </w:r>
    </w:p>
    <w:p w14:paraId="633A93BA">
      <w:pPr>
        <w:bidi w:val="0"/>
        <w:rPr>
          <w:rFonts w:hint="eastAsia"/>
          <w:lang w:val="zh-CN"/>
        </w:rPr>
      </w:pPr>
      <w:r>
        <w:rPr>
          <w:rFonts w:hint="eastAsia"/>
          <w:b/>
          <w:bCs/>
          <w:lang w:val="zh-CN"/>
        </w:rPr>
        <w:t>特殊教育优质融合发展工程。</w:t>
      </w:r>
      <w:r>
        <w:rPr>
          <w:rFonts w:hint="eastAsia"/>
          <w:lang w:val="zh-CN"/>
        </w:rPr>
        <w:t>投入150多万元完成特殊教育学校多功能教学楼扩建和运动场设施改造工程，办好南雄市特殊教育学校，推进特殊教育优质融合发展。通过加大普通学校接纳残疾儿童经费投入，全面推行特殊教育全纳教育；积极探索残疾儿童医教融合、送教上门服务的有效方法，加强随班就读管理力度和个别化指导工作，切实提高残疾学生入学率，充分保障特殊学生受教育权利。</w:t>
      </w:r>
    </w:p>
    <w:p w14:paraId="52D6DE6E">
      <w:pPr>
        <w:bidi w:val="0"/>
        <w:rPr>
          <w:rFonts w:hint="eastAsia"/>
          <w:b/>
          <w:bCs/>
          <w:lang w:val="zh-CN"/>
        </w:rPr>
      </w:pPr>
      <w:r>
        <w:rPr>
          <w:rFonts w:hint="eastAsia"/>
          <w:b/>
          <w:bCs/>
          <w:lang w:val="zh-CN"/>
        </w:rPr>
        <w:t>三、致力“五化”建设，高位发展教育内涵</w:t>
      </w:r>
    </w:p>
    <w:p w14:paraId="6E025703">
      <w:pPr>
        <w:bidi w:val="0"/>
        <w:rPr>
          <w:rFonts w:hint="eastAsia"/>
          <w:lang w:val="zh-CN"/>
        </w:rPr>
      </w:pPr>
      <w:r>
        <w:rPr>
          <w:rFonts w:hint="eastAsia"/>
          <w:b/>
          <w:bCs/>
          <w:lang w:val="zh-CN"/>
        </w:rPr>
        <w:t>建设教师队伍现代化。</w:t>
      </w:r>
      <w:r>
        <w:rPr>
          <w:rFonts w:hint="eastAsia"/>
          <w:lang w:val="zh-CN"/>
        </w:rPr>
        <w:t>全面推进“县管校聘”，建立“教师发展中心”，增强教育发展活力，实现教师由“学校人”向“系统人”转变。推进校长职级制改革，实现学校“去行政化”，建立和完善以职级制为核心的中小学校长管理体制和运行机制。实施强师工程，加快培养名教师、名校长、学科带头人。出台《南雄市中小学（幼儿园）教师学历提升工程实施方案（2016-2018年）》，促进教师专业成长。坚持德才兼备，扎实开展“不忘初心、牢记使命”主题教育，加强师德师风建设，倾力打造一支德艺双馨的高素质教师队伍。</w:t>
      </w:r>
    </w:p>
    <w:p w14:paraId="65654562">
      <w:pPr>
        <w:bidi w:val="0"/>
        <w:rPr>
          <w:rFonts w:hint="eastAsia"/>
          <w:lang w:val="zh-CN"/>
        </w:rPr>
      </w:pPr>
      <w:r>
        <w:rPr>
          <w:rFonts w:hint="eastAsia"/>
          <w:b/>
          <w:bCs/>
          <w:lang w:val="zh-CN"/>
        </w:rPr>
        <w:t>增强治理能力现代化。</w:t>
      </w:r>
      <w:r>
        <w:rPr>
          <w:rFonts w:hint="eastAsia"/>
          <w:lang w:val="zh-CN"/>
        </w:rPr>
        <w:t>深入实施依法治教，强化教育督导，推进教育治理现代化；全面推进现代学校制度建设，切实规范办学行为，每所学校拥有“一校一章程”，打造独具特色校园文化，如界址中学“诚信文化”、坪田中学“银杏文化”、南雄市第一小学“三红文化”等，中小学校的办学风格日益彰显，依法治教治校的现代化管理能力不断增强。</w:t>
      </w:r>
    </w:p>
    <w:p w14:paraId="1A69C1D7">
      <w:pPr>
        <w:bidi w:val="0"/>
        <w:rPr>
          <w:rFonts w:hint="eastAsia"/>
          <w:b w:val="0"/>
          <w:bCs w:val="0"/>
          <w:lang w:val="zh-CN"/>
        </w:rPr>
      </w:pPr>
      <w:r>
        <w:rPr>
          <w:rFonts w:hint="eastAsia"/>
          <w:b/>
          <w:bCs/>
          <w:lang w:val="zh-CN"/>
        </w:rPr>
        <w:t>发展现代化素质教育。</w:t>
      </w:r>
      <w:r>
        <w:rPr>
          <w:rFonts w:hint="eastAsia"/>
          <w:lang w:val="zh-CN"/>
        </w:rPr>
        <w:t>坚持立德树人根本任务，加强对学生进行社会主义核心价值观教育，不断创新教育教学方法，提升教育教学质量，认真贯彻落实学校体卫艺工作条例，不断促进学生德智体美劳全面发</w:t>
      </w:r>
      <w:r>
        <w:rPr>
          <w:rFonts w:hint="eastAsia"/>
          <w:b w:val="0"/>
          <w:bCs w:val="0"/>
          <w:lang w:val="zh-CN"/>
        </w:rPr>
        <w:t>展。</w:t>
      </w:r>
    </w:p>
    <w:p w14:paraId="317ADFF2">
      <w:pPr>
        <w:bidi w:val="0"/>
        <w:rPr>
          <w:rFonts w:hint="eastAsia"/>
          <w:lang w:val="zh-CN"/>
        </w:rPr>
      </w:pPr>
      <w:r>
        <w:rPr>
          <w:rFonts w:hint="eastAsia"/>
          <w:b/>
          <w:bCs/>
          <w:lang w:val="zh-CN"/>
        </w:rPr>
        <w:t>优化教育现代化环境。</w:t>
      </w:r>
      <w:r>
        <w:rPr>
          <w:rFonts w:hint="eastAsia"/>
          <w:lang w:val="zh-CN"/>
        </w:rPr>
        <w:t>坚持全面从严治党，切实加强教育系统党建工作，加强政风行风学风建设，引导广大党员干部、教师懂法守法、诚实守信、党群一心，共谋南雄教育发展。健全控辍保学机制，落实随迁子女入学政策，完善贫困残疾学生资助保障体系，关爱留守儿童成长，促进教育更加公平。</w:t>
      </w:r>
    </w:p>
    <w:p w14:paraId="1DF3DD36">
      <w:pPr>
        <w:bidi w:val="0"/>
        <w:rPr>
          <w:rFonts w:hint="eastAsia"/>
          <w:lang w:val="zh-CN"/>
        </w:rPr>
      </w:pPr>
      <w:r>
        <w:rPr>
          <w:rFonts w:hint="eastAsia"/>
          <w:b/>
          <w:bCs/>
          <w:lang w:val="zh-CN"/>
        </w:rPr>
        <w:t>推进教育信息现代化。</w:t>
      </w:r>
      <w:r>
        <w:rPr>
          <w:rFonts w:hint="eastAsia"/>
          <w:lang w:val="zh-CN"/>
        </w:rPr>
        <w:t>投入9000多万元资金，加强中小学校、幼儿园信息化硬件建设。按省级标准配置计算机网络教室、多媒体教室等教育信息技术基础设施设备。全市中小学校、幼儿园宽带接入城区达到1000M、乡镇达到500M、教学点达到100M以上，并建立校园网，建成网络多媒体课室，配备多媒体教学平台，实现教学资源“班班通”。强化教师教育科研与信息技术能力培养，深入开展“一师一优课、一课一名师”活动，促进中小学教师教育信息化应用技能不断提升。</w:t>
      </w:r>
    </w:p>
    <w:p w14:paraId="1DEA40D0">
      <w:pPr>
        <w:pStyle w:val="3"/>
        <w:bidi w:val="0"/>
        <w:rPr>
          <w:rFonts w:hint="eastAsia"/>
          <w:lang w:val="zh-CN"/>
        </w:rPr>
      </w:pPr>
      <w:r>
        <w:rPr>
          <w:rFonts w:hint="eastAsia"/>
          <w:lang w:val="zh-CN"/>
        </w:rPr>
        <w:t>2018年十件民生实事落实情况</w:t>
      </w:r>
    </w:p>
    <w:p w14:paraId="71405DAA">
      <w:pPr>
        <w:bidi w:val="0"/>
        <w:rPr>
          <w:rFonts w:hint="eastAsia"/>
          <w:lang w:val="zh-CN"/>
        </w:rPr>
      </w:pPr>
      <w:r>
        <w:rPr>
          <w:rFonts w:hint="eastAsia"/>
          <w:lang w:val="zh-CN"/>
        </w:rPr>
        <w:t>2018年，在南雄市十五届人民代表大会四次会议上，市政府承诺要办好“完成68个省定贫困村新农村建设”“异地改造建成机关幼儿园总园”等十件民生实事。其中，“完成68个省定贫困村新农村建设”“异地改造建成机关幼儿园总园”“全面启动镇村污水处理设施建设”等9件实事基本完成目标任务，“启动河南桥南桥头至羊角桥北沿江路段绿道工程”受国家金融政策调整影响，暂缓实施。</w:t>
      </w:r>
    </w:p>
    <w:p w14:paraId="4C1839AD">
      <w:pPr>
        <w:bidi w:val="0"/>
        <w:rPr>
          <w:rFonts w:hint="eastAsia"/>
          <w:lang w:val="zh-CN"/>
        </w:rPr>
      </w:pPr>
      <w:r>
        <w:rPr>
          <w:rFonts w:hint="eastAsia"/>
          <w:b/>
          <w:bCs/>
          <w:lang w:val="zh-CN"/>
        </w:rPr>
        <w:t>（一）“完成68个省定贫困村新农村建设”落实情况。</w:t>
      </w:r>
      <w:r>
        <w:rPr>
          <w:rFonts w:hint="eastAsia"/>
          <w:lang w:val="zh-CN"/>
        </w:rPr>
        <w:t>68个省定贫困村新农村建设采用EPC模式，按照既定目标，全面完成勘察、规划、设计、验线等工作，并全部进场施工，基本完成基础设施建设，累计投入资金9.14亿元，其中，使用省级拨付专项资金6.03亿元，使用韶关市拨付专项资金2645万元，使用社会筹措资金2.02亿元，使用村民投入资金8275万元，省定贫困村新农村建设初见成效。</w:t>
      </w:r>
    </w:p>
    <w:p w14:paraId="1D23E626">
      <w:pPr>
        <w:bidi w:val="0"/>
        <w:rPr>
          <w:rFonts w:hint="eastAsia"/>
          <w:lang w:val="zh-CN"/>
        </w:rPr>
      </w:pPr>
      <w:r>
        <w:rPr>
          <w:rFonts w:hint="eastAsia"/>
          <w:b/>
          <w:bCs/>
          <w:lang w:val="zh-CN"/>
        </w:rPr>
        <w:t>（二）“异地改造建成机关幼儿园总园”落实情况。</w:t>
      </w:r>
      <w:r>
        <w:rPr>
          <w:rFonts w:hint="eastAsia"/>
          <w:lang w:val="zh-CN"/>
        </w:rPr>
        <w:t>南雄市机关幼儿园总园改造工程，总占地面积7390平方米，建筑面积约5444平方米。主要建设内容为旧综合楼、新综合楼、教学楼的改（新）建及水电安装（包括泵房、消防系统），计划总投资800万元。2018年9月，相关建设内容全部完成，购置一批教学、生活设施设备，已投入使用。</w:t>
      </w:r>
    </w:p>
    <w:p w14:paraId="2A276FF9">
      <w:pPr>
        <w:bidi w:val="0"/>
        <w:rPr>
          <w:rFonts w:hint="eastAsia"/>
          <w:lang w:val="zh-CN"/>
        </w:rPr>
      </w:pPr>
      <w:r>
        <w:rPr>
          <w:rFonts w:hint="eastAsia"/>
          <w:b/>
          <w:bCs/>
          <w:lang w:val="zh-CN"/>
        </w:rPr>
        <w:t>（三）“全面启动镇村污水处理设施建设”落实情况。</w:t>
      </w:r>
      <w:r>
        <w:rPr>
          <w:rFonts w:hint="eastAsia"/>
          <w:lang w:val="zh-CN"/>
        </w:rPr>
        <w:t>该项目包括界址、坪田、邓坊、江头、湖口、主田、古市、全安、帽子峰等9个镇污水处理厂及配套管网工程建设，管道总长约58.45千米，设9个分散式污水处理厂，项目立项总投资2.14亿元，采用勘察、设计、施工总承包模式。2018年1月，9个镇污水处理厂及配套管网工程陆续启动建设，预计于2019年6月底建成并投入使用。</w:t>
      </w:r>
    </w:p>
    <w:p w14:paraId="09ED825E">
      <w:pPr>
        <w:bidi w:val="0"/>
        <w:rPr>
          <w:rFonts w:hint="eastAsia"/>
          <w:lang w:val="zh-CN"/>
        </w:rPr>
      </w:pPr>
      <w:r>
        <w:rPr>
          <w:rFonts w:hint="eastAsia"/>
          <w:b/>
          <w:bCs/>
          <w:lang w:val="zh-CN"/>
        </w:rPr>
        <w:t>（四）“完成繁荣市场改造提升”落实情况。</w:t>
      </w:r>
      <w:r>
        <w:rPr>
          <w:rFonts w:hint="eastAsia"/>
          <w:lang w:val="zh-CN"/>
        </w:rPr>
        <w:t>繁荣市场升级改造项目分市场一楼升级改造和二楼升级改造两个工程。一楼升级改造工程总投资600万元，2018年计划投资300万元，市场改造面积约4000平方米、墙面约1.2万平方米。主要升级改造肉案板、三鸟行、屠宰行、下水管道、水电照明设施、监控设备、公厕等21项内容。2018年，一楼升级改造工程加建①、②孔桩、第一部分下水道全部完成安装，市场管理用房完成60%，市场摆卖设施建设和广告牌安装完成部分，完成清洁设备采购，投入改造资金300万元。将二楼与一楼建成一体化的现代农贸超市，于2018年11月动工，预计2019年投入使用。</w:t>
      </w:r>
    </w:p>
    <w:p w14:paraId="34CED2F0">
      <w:pPr>
        <w:bidi w:val="0"/>
        <w:rPr>
          <w:rFonts w:hint="eastAsia"/>
          <w:lang w:val="zh-CN"/>
        </w:rPr>
      </w:pPr>
      <w:r>
        <w:rPr>
          <w:rFonts w:hint="eastAsia"/>
          <w:b/>
          <w:bCs/>
          <w:lang w:val="zh-CN"/>
        </w:rPr>
        <w:t>（五）“完成300间以上城乡公厕改造”落实情况。</w:t>
      </w:r>
      <w:r>
        <w:rPr>
          <w:rFonts w:hint="eastAsia"/>
          <w:lang w:val="zh-CN"/>
        </w:rPr>
        <w:t>2018年，全市计划创建文明公厕390间，其中新建323间、改建67间（包含9间市区内市政公厕和农贸市场内公厕，14间旅游文明公厕，58间校园文明公厕，68个省定贫困村20户以上自然村300间文明公厕，以及全安镇、古市镇等9间墟场公厕），完成在全市各镇（街道）、村（社区）、旅游景点、集贸市场和人员密集场所建设一批文明公厕的任务目标。2018年底，完成新（改）建文明公厕367间。其中，城区公厕完成建设4间，乡村公厕新建302间，学校公厕改建58间，旅游厕所建成3座，完成2018年“完成300间以上城乡公厕改造”的民生实事任务。</w:t>
      </w:r>
    </w:p>
    <w:p w14:paraId="2FE228C4">
      <w:pPr>
        <w:bidi w:val="0"/>
        <w:rPr>
          <w:rFonts w:hint="eastAsia"/>
          <w:lang w:val="zh-CN"/>
        </w:rPr>
      </w:pPr>
      <w:r>
        <w:rPr>
          <w:rFonts w:hint="eastAsia"/>
          <w:b/>
          <w:bCs/>
          <w:lang w:val="zh-CN"/>
        </w:rPr>
        <w:t>（六）“全面完成行政村（社区）基层综合性文化服务中心建设”落实情况。</w:t>
      </w:r>
      <w:r>
        <w:rPr>
          <w:rFonts w:hint="eastAsia"/>
          <w:lang w:val="zh-CN"/>
        </w:rPr>
        <w:t>2018年，南雄市争取上级扶持资金100万元，补助10个中央、省级文化服务中心示范点建设，安排本级财政资金600万元做好文化服务中心各示范点建设，建成232个行政村（社区）综合性文化服务中心，实现行政村（社区）综合性文化服务中心全覆盖。7月，全安镇全安村示范点荣获韶关市基层综合性文化服务中心“最美图书阅览室”称号。</w:t>
      </w:r>
    </w:p>
    <w:p w14:paraId="6AEC4B62">
      <w:pPr>
        <w:bidi w:val="0"/>
        <w:rPr>
          <w:rFonts w:hint="eastAsia"/>
          <w:lang w:val="zh-CN"/>
        </w:rPr>
      </w:pPr>
      <w:r>
        <w:rPr>
          <w:rFonts w:hint="eastAsia"/>
          <w:b/>
          <w:bCs/>
          <w:lang w:val="zh-CN"/>
        </w:rPr>
        <w:t>（七）“建设南雄市智慧城市综合管控平台”落实情况。</w:t>
      </w:r>
      <w:r>
        <w:rPr>
          <w:rFonts w:hint="eastAsia"/>
          <w:lang w:val="zh-CN"/>
        </w:rPr>
        <w:t>智慧南雄综合管控平台旨在建立一个完善高效的全市性综合管控系统，通过大数据、云计算、物联网、人工智能以及地理信息系统有机结合，实现数据共享、资源共享、管理在线，从而为全市应急处置、城市管控、灾害防御、安全生产管理等各项工作提供统一调度、统一指挥、统一决策的支撑平台。该综合管控平台总造价约1500万元，其中2018年计划投入资金约500万元，完成系统主模块的开发设计。2018年已实施项目软件开发，12月完成主模块开发，完成年度目标任务。</w:t>
      </w:r>
    </w:p>
    <w:p w14:paraId="6337C2BE">
      <w:pPr>
        <w:bidi w:val="0"/>
        <w:rPr>
          <w:rFonts w:hint="eastAsia"/>
          <w:lang w:val="zh-CN"/>
        </w:rPr>
      </w:pPr>
      <w:r>
        <w:rPr>
          <w:rFonts w:hint="eastAsia"/>
          <w:b/>
          <w:bCs/>
          <w:lang w:val="zh-CN"/>
        </w:rPr>
        <w:t>（八）“启动新汽车站建设”落实情况。</w:t>
      </w:r>
      <w:r>
        <w:rPr>
          <w:rFonts w:hint="eastAsia"/>
          <w:lang w:val="zh-CN"/>
        </w:rPr>
        <w:t>南雄市汽车站新站占地面积4.57万平方米，位于南雄市火车站对面。2018年12月12日，南雄市汽车站举行新站建设奠基仪式，启动新汽车站建设。</w:t>
      </w:r>
    </w:p>
    <w:p w14:paraId="6A6BD34A">
      <w:pPr>
        <w:bidi w:val="0"/>
        <w:rPr>
          <w:rFonts w:hint="eastAsia"/>
          <w:lang w:val="zh-CN"/>
        </w:rPr>
      </w:pPr>
      <w:r>
        <w:rPr>
          <w:rFonts w:hint="eastAsia"/>
          <w:b/>
          <w:bCs/>
          <w:lang w:val="zh-CN"/>
        </w:rPr>
        <w:t>（九）“新建和改造一批社会治安视频监控系统”落实情况。</w:t>
      </w:r>
      <w:r>
        <w:rPr>
          <w:rFonts w:hint="eastAsia"/>
          <w:lang w:val="zh-CN"/>
        </w:rPr>
        <w:t>按照《韶关市公共安全视频监控系统建设“十三五”规划》建设任务要求，逐步对市区的治安视频监控进行升级改造。2018年，南雄市率先在68个省定贫困村开展“雪亮工程”建设，完善视频监控系统建设工作，至2018年年底，雄州街道、珠玑、乌迳、湖口、黄坑、南亩、主田、古市、帽子峰等9个镇（街道）完成建设工作，其余镇正进行工程收尾。</w:t>
      </w:r>
    </w:p>
    <w:p w14:paraId="689AAC8E">
      <w:pPr>
        <w:bidi w:val="0"/>
        <w:rPr>
          <w:rFonts w:hint="eastAsia"/>
          <w:lang w:val="zh-CN"/>
        </w:rPr>
      </w:pPr>
      <w:r>
        <w:rPr>
          <w:rFonts w:hint="eastAsia"/>
          <w:b/>
          <w:bCs/>
          <w:lang w:val="zh-CN"/>
        </w:rPr>
        <w:t>（十）“启动河南桥南桥头至羊角桥北沿江路段绿道工程”落实情况。</w:t>
      </w:r>
      <w:r>
        <w:rPr>
          <w:rFonts w:hint="eastAsia"/>
          <w:lang w:val="zh-CN"/>
        </w:rPr>
        <w:t>受国家金融政策调整影响，2018年已施工的城镇提升项目——一江两岸景观提升项目工程资金断裂，紧急调用原用于该绿道工程项目建设的500万元债券资金。该绿道工程项目资金融资困难，无法按照民生实事原定计划完成，已按程序提请市人大审议，暂缓实施。</w:t>
      </w:r>
    </w:p>
    <w:p w14:paraId="1D0D8DC2">
      <w:pPr>
        <w:pStyle w:val="2"/>
        <w:bidi w:val="0"/>
        <w:rPr>
          <w:rFonts w:hint="eastAsia"/>
        </w:rPr>
      </w:pPr>
      <w:r>
        <w:rPr>
          <w:rFonts w:hint="eastAsia"/>
        </w:rPr>
        <w:t>中国共产党南雄市委员会</w:t>
      </w:r>
    </w:p>
    <w:p w14:paraId="1BBF9C9B">
      <w:pPr>
        <w:pStyle w:val="3"/>
        <w:bidi w:val="0"/>
        <w:rPr>
          <w:rFonts w:hint="eastAsia"/>
          <w:lang w:val="zh-CN"/>
        </w:rPr>
      </w:pPr>
      <w:r>
        <w:rPr>
          <w:rFonts w:hint="eastAsia"/>
          <w:lang w:val="zh-CN"/>
        </w:rPr>
        <w:t>综述</w:t>
      </w:r>
    </w:p>
    <w:p w14:paraId="0E615B40">
      <w:pPr>
        <w:pStyle w:val="4"/>
        <w:bidi w:val="0"/>
        <w:rPr>
          <w:rFonts w:hint="eastAsia"/>
          <w:lang w:val="zh-CN"/>
        </w:rPr>
      </w:pPr>
      <w:r>
        <w:rPr>
          <w:rFonts w:hint="eastAsia"/>
          <w:lang w:val="zh-CN"/>
        </w:rPr>
        <w:t>【加强党的建设】</w:t>
      </w:r>
    </w:p>
    <w:p w14:paraId="325DEF34">
      <w:pPr>
        <w:bidi w:val="0"/>
        <w:rPr>
          <w:rFonts w:hint="eastAsia"/>
          <w:lang w:val="zh-CN"/>
        </w:rPr>
      </w:pPr>
      <w:r>
        <w:rPr>
          <w:rFonts w:hint="eastAsia"/>
          <w:lang w:val="zh-CN"/>
        </w:rPr>
        <w:t>坚持把政治建设摆在首位，严守政治纪律和政治规矩，坚决全面彻底肃清李嘉、万庆良恶劣影响，将中央、省委巡视反馈的问题，细化成96项任务清单，全面整改落实。严格执行新形势下党内政治生活若干准则，开展模范机关创建活动，推动“两学一做”学习教育常态化制度化。完善市委常委会会议议事制度，提高决策科学化民主化法治化水平。积极开展党内规范性文件下备一级工作，切实提高制度治党、依规治党水平。强化党管意识形态工作，组建市、镇、村三级舆情信息员队伍，成立融媒体中心。全面落实加强党的基层组织建设三年行动计划，大力推行党组织优化设置在先、党组织领导决策在先、党员作用发挥在先的“三个在先”机制，推动党的组织设置向最基层延伸、向面上覆盖，成立行政村（社区）党总支103个，自然村党支部（党小组）1041个。着力实施“头雁”工程，注重选优配强村级党组织书记，调整撤换9个不合格不称职的村支部书记。深入实施村级班子“青苗”培养工程，实行“村推镇选县考察”培养制度，建立464人的党组织书记储备干部库。精准整顿24个软弱涣散村（社区）党组织，建立市镇党委书记直接挂点整顿制度，派驻强有力工作队伍驻村开展整顿工作。落实双“113”工作机制，推动镇级工作重心下移。开展红色村党建示范工程，把基层党组织锻造得更加坚强有力。坚持正确的选人用人导向，强化正向激励、负向约束和容错纠错，在严管厚爱中激发党员干部主动担当作为。扎实开展基层正风反腐三年行动，严格落实中央八项规定精神，建立健全暗访、曝光、问责、查处“四管齐下”的监督机制，驰而不息纠正“四风”。开展扶贫领域腐败和作风问题专项治理，实现全市68个省定贫困村扶贫领域专项巡察全覆盖。全年开展常规巡察4轮，扶贫领域专项巡察4轮，养老机构巡察1轮，巡察“回头看”1轮，交叉巡察1轮。全市纪检监察机关立案127件，处分98人，营造风清气正的政治生态。</w:t>
      </w:r>
    </w:p>
    <w:p w14:paraId="59D54F7D">
      <w:pPr>
        <w:pStyle w:val="4"/>
        <w:bidi w:val="0"/>
        <w:rPr>
          <w:rFonts w:hint="eastAsia"/>
          <w:lang w:val="zh-CN"/>
        </w:rPr>
      </w:pPr>
      <w:r>
        <w:rPr>
          <w:rFonts w:hint="eastAsia"/>
          <w:lang w:val="zh-CN"/>
        </w:rPr>
        <w:t>【市委十三届五次全会】</w:t>
      </w:r>
    </w:p>
    <w:p w14:paraId="1ACEAA7B">
      <w:pPr>
        <w:bidi w:val="0"/>
        <w:rPr>
          <w:rFonts w:hint="eastAsia"/>
          <w:lang w:val="zh-CN"/>
        </w:rPr>
      </w:pPr>
      <w:r>
        <w:rPr>
          <w:rFonts w:hint="eastAsia"/>
          <w:lang w:val="zh-CN"/>
        </w:rPr>
        <w:t>中国共产党南雄市第十三届委员会第五次全体会议于2018年2月2日召开。全会审议通过市委常委会抓党建工作情况报告，对2018年工作进行部署，提出在“七个方面”下功夫，加快实现南雄在韶关率先振兴崛起，确保如期全面建成小康社会。</w:t>
      </w:r>
    </w:p>
    <w:p w14:paraId="68C96E8B">
      <w:pPr>
        <w:bidi w:val="0"/>
        <w:rPr>
          <w:rFonts w:hint="eastAsia"/>
          <w:lang w:val="zh-CN"/>
        </w:rPr>
      </w:pPr>
      <w:r>
        <w:rPr>
          <w:rFonts w:hint="eastAsia"/>
          <w:lang w:val="zh-CN"/>
        </w:rPr>
        <w:t>全会高度评价市委常委会2017年的工作。一致认为，在以习近平同志为核心的党中央和省委、韶关市委的坚强领导下，市委高举中国特色社会主义伟大旗帜，深入贯彻党的十八大、十八届历次全会精神，认真学习贯彻党的十九大精神，以习近平新时代中国特色社会主义思想为指导，团结带领全市广大干部群众，坚持稳中求进工作总基调，坚定不移贯彻新发展理念，统筹推进“五位一体”总体布局和协调推进“四个全面”战略布局，推动全市各项事业取得新进步。以供给侧结构性改革为主线，大力实施主动融入珠三角战略，着力抓好产业攻坚、城镇提升、基础设施完善、农村发展“四个重点”工作，努力实现党的建设、信访维稳、务实改革“三个新突破”，推动全市经济社会各项事业健康发展。把学习宣传贯彻党的十九大精神作为首要政治任务和最重要的“纲”，迅速兴起学习宣传贯彻热潮。经济发展质量和效益稳步提高，社会民生事业蓬勃发展，城镇功能风貌明显提升，务实改革激发强劲活力，党的建设更加坚强有力，在全面建成小康社会道路上迈出坚实步伐。</w:t>
      </w:r>
    </w:p>
    <w:p w14:paraId="2D1C0DBA">
      <w:pPr>
        <w:bidi w:val="0"/>
        <w:rPr>
          <w:rFonts w:hint="eastAsia"/>
          <w:lang w:val="zh-CN"/>
        </w:rPr>
      </w:pPr>
      <w:r>
        <w:rPr>
          <w:rFonts w:hint="eastAsia"/>
          <w:lang w:val="zh-CN"/>
        </w:rPr>
        <w:t>全会强调，中国特色社会主义进入新时代，南雄的发展站在了新的历史起点上，我们一定要把习近平新时代中国特色社会主义思想作为根本指导思想，明要求、观大势、谋全局、抓大事，沿着正确方向坚定前行。必须看到当前南雄正面临难得的发展机遇，有强大思想武器的指导和重大政策利好，加快振兴发展具备良好基础。要清醒地认识到发展不平衡不充分的一些突出问题还有待解决，面临乡村发展滞后、经济发展水平仍然较低、基础设施建设和基本公共服务等方面历史欠账较多、信访维稳压力较大等困难和挑战。要主动适应新时代新要求，把思想和行动统一到中央、省委、韶关市委和南雄市委的决策部署上来，因势利导、主动作为，采取有力措施予以解决，努力推动经济社会发展取得更好成绩。要重点把握好以下四个方面，一是坚持以习近平新时代中国特色社会主义思想引领南雄发展；二是牢牢把握高质量发展根本要求；三是把乡村振兴摆在全市工作的突出位置；四是坚持全面深化改革务实改革。</w:t>
      </w:r>
    </w:p>
    <w:p w14:paraId="354712A1">
      <w:pPr>
        <w:bidi w:val="0"/>
        <w:rPr>
          <w:rFonts w:hint="eastAsia"/>
          <w:lang w:val="zh-CN"/>
        </w:rPr>
      </w:pPr>
      <w:r>
        <w:rPr>
          <w:rFonts w:hint="eastAsia"/>
          <w:lang w:val="zh-CN"/>
        </w:rPr>
        <w:t>全会提出，2018年是贯彻党的十九大精神的开局之年，是改革开放40周年，是决胜全面建成小康社会、实施“十三五”规划承上启下的关键一年，做好本年工作意义重大。本年全市工作的总体要求是：高举习近平新时代中国特色社会主义思想伟大旗帜，全面贯彻党的十九大、十九届二中全会、中央经济工作会议、中央农村工作会议和省委十二届二次、三次全会以及韶关市委十二届五次、六次全会精神，深入贯彻习近平总书记对广东工作重要指示批示精神，坚持稳中求进工作总基调，践行新发展理念，紧扣社会主要矛盾变化，贯彻高质量发展要求，统筹推进“五位一体”总体布局，协调推进“四个全面”战略布局，坚决打赢防范化解重大风险、精准脱贫、污染防治“三大攻坚战”，按照既定的发展思路和发展战略，以供给侧结构性改革为主线，统筹推进稳增长、促改革、调结构、惠民生、防风险各项工作，深入推进全面从严治党，加快实现南雄在韶关率先振兴崛起，确保如期全面建成小康社会。</w:t>
      </w:r>
    </w:p>
    <w:p w14:paraId="2A851E51">
      <w:pPr>
        <w:bidi w:val="0"/>
        <w:rPr>
          <w:rFonts w:hint="eastAsia"/>
          <w:lang w:val="zh-CN"/>
        </w:rPr>
      </w:pPr>
      <w:r>
        <w:rPr>
          <w:rFonts w:hint="eastAsia"/>
          <w:lang w:val="zh-CN"/>
        </w:rPr>
        <w:t>全会强调，为实现既定目标，必须认真抓好以下七个方面的工作。一是以高质量发展为要求，聚力做优实体经济，大力培育新动能，着力优化营商环境，走出经济发展新路子；二是以乡村振兴战略为统揽，继续深化农村综合改革，大力改善农村人居环境，坚决打赢精准脱贫攻坚战，塑造美丽乡村新风貌；三是以全面深化改革为引擎，主动融入珠三角，推进县域经济发展创新，深化经济体制改革，注入振兴发展新活力；四是以绿色发展理念为导向，加强绿色生态建设，坚决打好污染防治攻坚战，扶持发展绿色产业，开辟科学发展新境界；五是以文化繁荣兴盛为目标，加强意识形态领域工作，完善公共文化服务体系，大力培育文化产业，谱写文化发展新篇章；六是以强化平安建设为依托，加强民主法治建设，全力维护社会稳定，加强和创新社会治理，构建社会治理新格局；七是以保障</w:t>
      </w:r>
      <w:r>
        <w:rPr>
          <w:rFonts w:hint="eastAsia"/>
          <w:lang w:val="en-US" w:eastAsia="zh-CN"/>
        </w:rPr>
        <w:t>和</w:t>
      </w:r>
      <w:r>
        <w:rPr>
          <w:rFonts w:hint="eastAsia"/>
          <w:lang w:val="zh-CN"/>
        </w:rPr>
        <w:t>改善民生为根本，大力提升教育医疗卫生事业水平，加强社会保障体系建设，着力推进城镇提升，完善基础设施，满足人民群众新需要。</w:t>
      </w:r>
    </w:p>
    <w:p w14:paraId="349601C1">
      <w:pPr>
        <w:bidi w:val="0"/>
        <w:rPr>
          <w:rFonts w:hint="eastAsia"/>
          <w:lang w:val="zh-CN"/>
        </w:rPr>
      </w:pPr>
      <w:r>
        <w:rPr>
          <w:rFonts w:hint="eastAsia"/>
          <w:lang w:val="zh-CN"/>
        </w:rPr>
        <w:t>全会强调，要按照新时代党的建设总要求，毫不动摇坚持和加强党的全面领导，压实管党治党主体责任，把全面从严治党不断推向深入。要坚持把政治建设摆在首位，牢固树立“四个意识”，坚决维护习近平总书记在党中央和全党的核心地位，坚决维护以习近平同志为核心的党中央权威和集中统一领导，自觉在思想上政治上行动上同以习近平同志为核心的党中央保持高度一致。要严格遵守政治纪律和政治规矩，牢记“五个必须”，坚决反对“七个有之”，全面彻底肃清李嘉、万庆良等流毒影响。坚持用习近平新时代中国特色社会主义思想武装党员干部，切实在学懂弄通做实上下功夫，把学习贯彻成果体现到谋划今后各项工作上，转化到广大干部精气神的提振上，反映到看得见摸得着的工作成效上。坚持党管干部原则，落实好干部标准，把新时代高素质专业化要求贯穿干部选育用管全过程，着力建设高素质专业化干部队伍。牢固树立大抓基层的鲜明导向，在打牢基础上狠下功夫，全面加强基层组织建设。持之以恒正风肃纪反腐，认真查摆“四风”突出问题，特别是形式主义、官僚主义的新表现，巩固发展反腐败斗争压倒性态势，重点查处基层“微腐败”和扶贫领域腐败问题，充分发挥巡察利剑作用，运用好监督执纪“四种形态”，以严明的纪律推进全面从严治党。要切实提高政治站位，不断增强能力素质，积极转变工作作风，努力做到信念过硬、政治过硬、责任过硬、能力过硬、作风过硬，凝聚起真抓实干的强大合力，确保中央和省委、韶关市委、南雄市委各项部署落实到位、见到实效。</w:t>
      </w:r>
    </w:p>
    <w:p w14:paraId="11D37CA1">
      <w:pPr>
        <w:pStyle w:val="4"/>
        <w:bidi w:val="0"/>
        <w:rPr>
          <w:rFonts w:hint="eastAsia"/>
          <w:lang w:val="zh-CN"/>
        </w:rPr>
      </w:pPr>
      <w:r>
        <w:rPr>
          <w:rFonts w:hint="eastAsia"/>
          <w:lang w:val="zh-CN"/>
        </w:rPr>
        <w:t>【市委十三届六次全会】</w:t>
      </w:r>
    </w:p>
    <w:p w14:paraId="61CF7ECD">
      <w:pPr>
        <w:bidi w:val="0"/>
        <w:rPr>
          <w:rFonts w:hint="eastAsia"/>
          <w:lang w:val="zh-CN"/>
        </w:rPr>
      </w:pPr>
      <w:r>
        <w:rPr>
          <w:rFonts w:hint="eastAsia"/>
          <w:lang w:val="zh-CN"/>
        </w:rPr>
        <w:t>中国共产党南雄市第十三届委员会第六次全体会议于10月7日召开。全会听取王碧安同志代表市委常委会所作的报告，审议通过《中共南雄市委关于深入学习贯彻落实新时代党的建设总要求努力把各级党组织锻造得更加坚强有力的实施意见》。</w:t>
      </w:r>
    </w:p>
    <w:p w14:paraId="3955CDB3">
      <w:pPr>
        <w:bidi w:val="0"/>
        <w:rPr>
          <w:rFonts w:hint="eastAsia"/>
          <w:lang w:val="zh-CN"/>
        </w:rPr>
      </w:pPr>
      <w:r>
        <w:rPr>
          <w:rFonts w:hint="eastAsia"/>
          <w:lang w:val="zh-CN"/>
        </w:rPr>
        <w:t>全会充分肯定本市学习贯彻习近平总书记重要讲话精神取得的成果。习近平总书记2018年3月7日发表重要讲话以来，市委把学习贯彻习近平总书记重要讲话精神，与习近平新时代中国特色社会主义思想和党的十九大精神，与习近平总书记对广东一系列重要指示要求一体学习领会、整体贯彻落实，认真组织开展“大学习、深调研、真落实”工作，边学习边调研边推动工作落实，取得阶段性成效。</w:t>
      </w:r>
    </w:p>
    <w:p w14:paraId="1D6F4B00">
      <w:pPr>
        <w:bidi w:val="0"/>
        <w:rPr>
          <w:rFonts w:hint="eastAsia"/>
          <w:lang w:val="zh-CN"/>
        </w:rPr>
      </w:pPr>
      <w:r>
        <w:rPr>
          <w:rFonts w:hint="eastAsia"/>
          <w:lang w:val="zh-CN"/>
        </w:rPr>
        <w:t>全会指出，习近平总书记重要讲话精神是我们践行习近平新时代中国特色社会主义思想的路线图，是我们落实党的十九大精神的任务书。要坚持以习近平总书记重要讲话精神统揽工作全局，认真贯彻落实省委十二届四次全会精神、省委书记李希在韶关调研讲话精神、韶关市委十二届七次全会精神，奋力开创南雄工作新局面。必须在全面深化学习、坚持知行合一上下功夫，推动学习贯彻习近平总书记重要讲话精神不断往深里走、往实里抓。必须深刻领会省委十二届四次全会精神、省委书记李希在韶关调研讲话精神、韶关市委十二届七次全会精神，把思想和行动统一到省委全会、李希书记调研讲话和韶关市委全会精神上来，把智慧和力量凝聚到全面落实省委全会、李希书记调研讲话、韶关市委全会提出的目标任务要求上来，以高度的责任感和使命感大力破解制约南雄发展的突出问题，努力在高水平生态保护中实现高质量发展。</w:t>
      </w:r>
    </w:p>
    <w:p w14:paraId="7E05767B">
      <w:pPr>
        <w:bidi w:val="0"/>
        <w:rPr>
          <w:rFonts w:hint="eastAsia"/>
          <w:lang w:val="zh-CN"/>
        </w:rPr>
      </w:pPr>
      <w:r>
        <w:rPr>
          <w:rFonts w:hint="eastAsia"/>
          <w:lang w:val="zh-CN"/>
        </w:rPr>
        <w:t>会议强调，要掌握习近平总书记重要讲话精神、省委十二届四次全会精神、省委书记李希在韶关调研讲话精神和韶关市委十二届七次全会精神的精神实质。根据省委确定的“一核一带一区”发展格局和韶关市委的工作安排，把发展导向转移到富民，提高基本公共服务水平，提升人民群众的获得感、幸福感和安全感上来，以新担当新作为将各项重点工作进一步抓实抓细抓深，带动全局工作整体推进、取得实效。一要聚焦高质量发展，加快建设现代产业体系，实施创新驱动发展战略，全面优化营商环境，助推经济提质增效。二要聚焦生态文明建设，打好污染防治攻坚战，构建生态文明体系，压实生态保护职责，实现绿色发展。三要聚焦乡村振兴发展，加快美丽乡村建设，大力发展特色小镇，坚决打赢脱贫攻坚战，加快农业农村现代化。四要聚焦全面深化改革，融入大湾区、服务大湾区，推进县域经济发展创新，深化基础性关键领域改革，激发发展动力活力。五要聚焦文化繁荣兴盛，开展文明创建活动，大力传承红色基因，注重文化产业培育，增强文化软实力。六要聚焦社会治理创新，强化基层社会治理，加强平安南雄建设，推进法治南雄建设，打造社会治理新格局。七要聚焦民生社会事业，办好教育医疗卫生事业，建立完善社会保障体系，大力推进城镇提升和基础设施完善，实现苏区人民美好幸福生活。</w:t>
      </w:r>
    </w:p>
    <w:p w14:paraId="08F2B8A6">
      <w:pPr>
        <w:bidi w:val="0"/>
        <w:rPr>
          <w:rFonts w:hint="eastAsia"/>
          <w:lang w:val="zh-CN"/>
        </w:rPr>
      </w:pPr>
      <w:r>
        <w:rPr>
          <w:rFonts w:hint="eastAsia"/>
          <w:lang w:val="zh-CN"/>
        </w:rPr>
        <w:t>全会强调，要深入推进全面从严治党，打造担当作为干部队伍，为南雄改革发展提供坚强政治保证和组织保证。一是坚持把政治建设摆在首位，保持政治忠诚，增强“四个意识”，始终把“两个坚决维护”作为最大的政治、最高政治原则和根本政治要求。强化政治学习，涵养政治文化，严守政治纪律和政治规矩，严肃党内政治生活，坚决全面彻底肃清李嘉、万庆良恶劣影响。二是加强党对意识形态工作的领导，严格落实意识形态工作责任制，加强意识形态阵地建设和管理，严格落实主管主办和属地管理原则，坚持依法管网治网，打造融媒体宣传矩阵。三是坚持正确用人导向，加快培养忠诚干净担当的高素质干部，旗帜鲜明地为担当作为的干部撑腰鼓劲，坚持严管和厚爱相统一，健全干部交流轮岗制度，统筹推进各类人才队伍建设。四是树立大抓基层的鲜明导向，认真落实加强党的基层组织建设三年行动计划实施方案，抓好“四个有关”的党建，推行“三个在先”机制，严格整顿软弱涣散基层党组织，加强基层党组织带头人队伍建设，推动镇（街道）工作力量下沉、工作重心下移，实施基层基础保障工程，努力把各级党组织锻造得更加坚强有力。五是持之以恒正风肃纪反腐，驰而不息整治“四风”，推动中央八项规定精神成风化俗，深化运用监督执纪“四种形态”，构建纪律监督、监察监督、巡察监督、派驻监督四个全覆盖的权力监督格局，严格落实基层正风反腐三年行动实施方案，确保正风肃纪反腐工作取得实实在在的成效。六是做实巡视“后半篇文章”，继续把巡视整改落实工作作为一项重大政治任务，加强跟踪管理，巩固整改成效，立足长效健全常态化整改机制。</w:t>
      </w:r>
    </w:p>
    <w:p w14:paraId="763C19E1">
      <w:pPr>
        <w:pStyle w:val="4"/>
        <w:bidi w:val="0"/>
        <w:rPr>
          <w:rFonts w:hint="eastAsia"/>
          <w:lang w:val="zh-CN"/>
        </w:rPr>
      </w:pPr>
      <w:r>
        <w:rPr>
          <w:rFonts w:hint="eastAsia"/>
          <w:lang w:val="zh-CN"/>
        </w:rPr>
        <w:t>【市委常务委员会】</w:t>
      </w:r>
    </w:p>
    <w:p w14:paraId="496AD6CA">
      <w:pPr>
        <w:bidi w:val="0"/>
        <w:rPr>
          <w:rFonts w:hint="eastAsia"/>
          <w:lang w:val="zh-CN"/>
        </w:rPr>
      </w:pPr>
      <w:r>
        <w:rPr>
          <w:rFonts w:hint="eastAsia"/>
          <w:lang w:val="zh-CN"/>
        </w:rPr>
        <w:t>2月11日下午，召开市委十三届第43次常委会会议，传达省扫黑除恶专项工作会议精神及讨论南雄市开展扫黑除恶专项斗争工作方案。</w:t>
      </w:r>
    </w:p>
    <w:p w14:paraId="5B918114">
      <w:pPr>
        <w:bidi w:val="0"/>
        <w:rPr>
          <w:rFonts w:hint="eastAsia"/>
          <w:lang w:val="zh-CN"/>
        </w:rPr>
      </w:pPr>
      <w:r>
        <w:rPr>
          <w:rFonts w:hint="eastAsia"/>
          <w:lang w:val="zh-CN"/>
        </w:rPr>
        <w:t>3月11日晚，召开市委十三届第45次常委会会议，传达学习贯彻习近平总书记在参加十三届全国人大一次会议广东代表团审议时的重要讲话精神。会议要求全市各级党组织要迅速掀起学习宣传贯彻热潮，切实把思想和行动统一到习近平总书记重要讲话精神上来，始终在思想上政治上行动上同以习近平同志为核心的党中央保持高度一致。要深刻领会习近平总书记重要讲话的精神实质，认真抓好贯彻落实。</w:t>
      </w:r>
    </w:p>
    <w:p w14:paraId="095FFF96">
      <w:pPr>
        <w:bidi w:val="0"/>
        <w:rPr>
          <w:rFonts w:hint="eastAsia"/>
          <w:lang w:val="zh-CN"/>
        </w:rPr>
      </w:pPr>
      <w:r>
        <w:rPr>
          <w:rFonts w:hint="eastAsia"/>
          <w:lang w:val="zh-CN"/>
        </w:rPr>
        <w:t>3月22日下午，召开市委十三届第46次常委会（扩大）会议，明确实施农村党员包户落实农村生活垃圾常态化保洁工作机制。</w:t>
      </w:r>
    </w:p>
    <w:p w14:paraId="03E987B0">
      <w:pPr>
        <w:bidi w:val="0"/>
        <w:rPr>
          <w:rFonts w:hint="eastAsia"/>
          <w:lang w:val="zh-CN"/>
        </w:rPr>
      </w:pPr>
      <w:r>
        <w:rPr>
          <w:rFonts w:hint="eastAsia"/>
          <w:lang w:val="zh-CN"/>
        </w:rPr>
        <w:t>4月11日下午，召开市委十三届第47次常委会会议，通过《推进中小学教师“县管校聘”管理改革的实施意见》。</w:t>
      </w:r>
    </w:p>
    <w:p w14:paraId="7AC737F2">
      <w:pPr>
        <w:bidi w:val="0"/>
        <w:rPr>
          <w:rFonts w:hint="eastAsia"/>
          <w:lang w:val="zh-CN"/>
        </w:rPr>
      </w:pPr>
      <w:r>
        <w:rPr>
          <w:rFonts w:hint="eastAsia"/>
          <w:lang w:val="zh-CN"/>
        </w:rPr>
        <w:t>5月3日下午，召开市委十三届第48次常委会会议，会议通过《南雄市2018年创建广东省原中央苏区县域经济创新发展示范县工作方案》。会议要求成立创建领导小组，设专门办公室，制定一揽子对接方案，逐项落实好工作任务，确保创建成功。会议还研究部署全市全域乡村规划工作，要求年内完成全域乡村规划工作。</w:t>
      </w:r>
    </w:p>
    <w:p w14:paraId="662D55E8">
      <w:pPr>
        <w:bidi w:val="0"/>
        <w:rPr>
          <w:rFonts w:hint="eastAsia"/>
          <w:lang w:val="zh-CN"/>
        </w:rPr>
      </w:pPr>
      <w:r>
        <w:rPr>
          <w:rFonts w:hint="eastAsia"/>
          <w:lang w:val="zh-CN"/>
        </w:rPr>
        <w:t>6月1日，召开市委十三届第49次常委会会议，会议通过《南雄市城镇困难职工精准解困脱困奔康工作实施方案》。会议要求精准识别，分类帮扶，精准施策，确保2020年全面建成小康社会。会议还决定成立南雄市委乡村振兴一线指挥部、镇（街道）指挥所、行政村攻坚工作组的市镇村三级实施乡村振兴战略组织架构，设立7个专职小组。</w:t>
      </w:r>
    </w:p>
    <w:p w14:paraId="408C8D94">
      <w:pPr>
        <w:bidi w:val="0"/>
        <w:rPr>
          <w:rFonts w:hint="eastAsia"/>
          <w:lang w:val="zh-CN"/>
        </w:rPr>
      </w:pPr>
      <w:r>
        <w:rPr>
          <w:rFonts w:hint="eastAsia"/>
          <w:lang w:val="zh-CN"/>
        </w:rPr>
        <w:t>7月18日下午，召开市委十三届第54次常委会会议，讨论珠玑古巷改造提升安置方案、组织架构、前期费用事项。会议还同意建设南雄康宁医院，建设规模为500个床位。</w:t>
      </w:r>
    </w:p>
    <w:p w14:paraId="6623E96C">
      <w:pPr>
        <w:bidi w:val="0"/>
        <w:rPr>
          <w:rFonts w:hint="eastAsia"/>
          <w:lang w:val="zh-CN"/>
        </w:rPr>
      </w:pPr>
      <w:r>
        <w:rPr>
          <w:rFonts w:hint="eastAsia"/>
          <w:lang w:val="zh-CN"/>
        </w:rPr>
        <w:t>7月26日上午，召开市委十三届第56次常委会会议，研究部署中央第十二巡视组、省委第十二巡视组反馈意见整改落实工作安排。会议要求整改落实工作领导小组办公室对照反馈主要问题和意见建议，高质量完成整改任务。</w:t>
      </w:r>
    </w:p>
    <w:p w14:paraId="2E137301">
      <w:pPr>
        <w:bidi w:val="0"/>
        <w:rPr>
          <w:rFonts w:hint="eastAsia"/>
          <w:lang w:val="zh-CN"/>
        </w:rPr>
      </w:pPr>
      <w:r>
        <w:rPr>
          <w:rFonts w:hint="eastAsia"/>
          <w:lang w:val="zh-CN"/>
        </w:rPr>
        <w:t>8月10日下午，召开市委十三届第59次常委会会议，会议通过《关于推进乡村振兴战略的总体实施方案》和召开实施乡村振兴战略暨打赢脱贫攻坚战工作推进会议的有关事项。会议还通过《关于收购广东翠屏实业股份有限公司股份方案》。</w:t>
      </w:r>
    </w:p>
    <w:p w14:paraId="2C5FFA95">
      <w:pPr>
        <w:bidi w:val="0"/>
        <w:rPr>
          <w:rFonts w:hint="eastAsia"/>
          <w:lang w:val="zh-CN"/>
        </w:rPr>
      </w:pPr>
      <w:r>
        <w:rPr>
          <w:rFonts w:hint="eastAsia"/>
          <w:lang w:val="zh-CN"/>
        </w:rPr>
        <w:t>9月6日上午，召开市委十三届第60次常委会会议，会议通过《中共南雄市委关于深入学习贯彻落实新时代党的建设总要求努力把各级党组织锻造得更加坚强有力的实施意见》。会议强调要切实把新时代党的建设总要求落到实处，努力把各级党组织锻造得更加坚强有力，为实现南雄高质量发展提供坚强政治保证和组织保证。会议同意成立扶贫开发投资有限公司。会议通过《南雄市加强党的基层组织建设三年行动计划实施方案（2018-2020年）》及其配套政策。会议通过《南雄市承办广东省第九届老年人体育健身大会工作方案》，要求相关部门办好大会。</w:t>
      </w:r>
    </w:p>
    <w:p w14:paraId="2CB47ECF">
      <w:pPr>
        <w:bidi w:val="0"/>
        <w:rPr>
          <w:rFonts w:hint="eastAsia"/>
          <w:lang w:val="zh-CN"/>
        </w:rPr>
      </w:pPr>
      <w:r>
        <w:rPr>
          <w:rFonts w:hint="eastAsia"/>
          <w:lang w:val="zh-CN"/>
        </w:rPr>
        <w:t>9月30日上午，召开市委十三届第62次常委会（扩大）会议，传达学习贯彻省委书记李希在韶关、南雄调研时的讲话精神。会议要求抢抓全省构建“一核一带一区”区域发展新格局的重大历史机遇，把发展导向转移到富民、提高基本公共服务水平上来。</w:t>
      </w:r>
    </w:p>
    <w:p w14:paraId="224C2749">
      <w:pPr>
        <w:bidi w:val="0"/>
        <w:rPr>
          <w:rFonts w:hint="eastAsia"/>
          <w:lang w:val="zh-CN"/>
        </w:rPr>
      </w:pPr>
      <w:r>
        <w:rPr>
          <w:rFonts w:hint="eastAsia"/>
          <w:lang w:val="zh-CN"/>
        </w:rPr>
        <w:t>10月7日上午，召开市委十三届第63次常委会会议，通过《南雄市建设生态宜居美丽乡村“三清三拆三整治”工作奖补方案》《南雄市农村人居环境综合整治建设美丽乡村工作奖补方案》。</w:t>
      </w:r>
    </w:p>
    <w:p w14:paraId="38EA373C">
      <w:pPr>
        <w:bidi w:val="0"/>
        <w:rPr>
          <w:rFonts w:hint="eastAsia"/>
          <w:lang w:val="zh-CN"/>
        </w:rPr>
      </w:pPr>
      <w:r>
        <w:rPr>
          <w:rFonts w:hint="eastAsia"/>
          <w:lang w:val="zh-CN"/>
        </w:rPr>
        <w:t>10月7日下午，召开中国共产党南雄市第十三届委员会第六次全体会议。全会审议通过《中共南雄市委关于深入学习贯彻落实新时代党的建设总要求努力把各级党组织锻造得更加坚强有力的实施意见》。全会强调要聚焦高质量发展、生态文明建设、乡村振兴发展、全面深化改革、文化繁荣兴盛、社会治理创新、民生社会事业等七个方面整体推进工作，深入推进全面从严治党，奋力开创南雄振兴崛起新局面，为广东实现“四个走在全国前列”作出南雄贡献。</w:t>
      </w:r>
    </w:p>
    <w:p w14:paraId="7DED0708">
      <w:pPr>
        <w:bidi w:val="0"/>
        <w:rPr>
          <w:rFonts w:hint="eastAsia"/>
          <w:lang w:val="zh-CN"/>
        </w:rPr>
      </w:pPr>
      <w:r>
        <w:rPr>
          <w:rFonts w:hint="eastAsia"/>
          <w:lang w:val="zh-CN"/>
        </w:rPr>
        <w:t>10月25日下午，召开市委十三届第66次常委会会议，会议通过《南雄市机构改革工作方案》。会议要求积极稳妥推进机构改革各项工作，严格按照时间节点要求，确保如期高质量完成机构改革任务。会议通过《南雄市深化国有企业改革整合重组工作方案》。会议同意成立南雄市国有资产投资有限责任公司，重点整合重组城投、兴雄、交投、浈江电业、园方等5家企业为国投公司子公司。会议通过《南雄市人民政府与韶关丹雄巅峰旅游投资管理有限公司之投资合作协议》《帽子峰旅游经营权招标方案》，明确帽子峰林场旅游经营权转让相关事宜。</w:t>
      </w:r>
    </w:p>
    <w:p w14:paraId="22643C3E">
      <w:pPr>
        <w:bidi w:val="0"/>
        <w:rPr>
          <w:rFonts w:hint="eastAsia"/>
          <w:lang w:val="zh-CN"/>
        </w:rPr>
      </w:pPr>
      <w:r>
        <w:rPr>
          <w:rFonts w:hint="eastAsia"/>
          <w:lang w:val="zh-CN"/>
        </w:rPr>
        <w:t>10月31日下午，召开市委十三届第67次常委会会议，传达学习习近平总书记视察广东重要讲话精神和省、韶关市学习贯彻习近平总书记视察广东重要讲话精神干部大会精神。会议要求深刻领会习近平总书记视察广东重要讲话的丰富内涵和精神实质，坚定不移用好改革开放“关键一招”，着力在推动高质量发展、绿色发展上下功夫，全力提高发展的平衡性和协调性，全面加强党的领导和党的建设。</w:t>
      </w:r>
    </w:p>
    <w:p w14:paraId="78098D92">
      <w:pPr>
        <w:bidi w:val="0"/>
        <w:rPr>
          <w:rFonts w:hint="eastAsia"/>
          <w:lang w:val="zh-CN"/>
        </w:rPr>
      </w:pPr>
      <w:r>
        <w:rPr>
          <w:rFonts w:hint="eastAsia"/>
          <w:lang w:val="zh-CN"/>
        </w:rPr>
        <w:t>11月20日上午，召开市委十三届第69次常委会会议，通过《南雄市关于建立村级组织员队伍的实施方案》。</w:t>
      </w:r>
    </w:p>
    <w:p w14:paraId="5533E1B5">
      <w:pPr>
        <w:bidi w:val="0"/>
        <w:rPr>
          <w:rFonts w:hint="eastAsia"/>
          <w:lang w:val="zh-CN"/>
        </w:rPr>
      </w:pPr>
      <w:r>
        <w:rPr>
          <w:rFonts w:hint="eastAsia"/>
          <w:lang w:val="zh-CN"/>
        </w:rPr>
        <w:t>12月7日，召开市委十三届第70次常委会会议，会议通过《南雄市关于全域推进农村人居环境整治建设生态宜居美丽乡村的工作方案》《关于南雄市整县推进村镇生活污水处理基础设施PPP项目招标文件和合同方案》，会议强调力争在2022年率先全域完成美丽乡村建设目标任务。会议还通过《关于在市直机关中开展模范机关创建活动方案》，要求有序推进创建活动。</w:t>
      </w:r>
    </w:p>
    <w:p w14:paraId="6F07CD66">
      <w:pPr>
        <w:pStyle w:val="4"/>
        <w:bidi w:val="0"/>
        <w:rPr>
          <w:rFonts w:hint="eastAsia"/>
          <w:lang w:val="zh-CN"/>
        </w:rPr>
      </w:pPr>
      <w:r>
        <w:rPr>
          <w:rFonts w:hint="eastAsia"/>
          <w:lang w:val="zh-CN"/>
        </w:rPr>
        <w:t>【重要决策】</w:t>
      </w:r>
    </w:p>
    <w:p w14:paraId="083D93FC">
      <w:pPr>
        <w:bidi w:val="0"/>
        <w:rPr>
          <w:rFonts w:hint="eastAsia"/>
          <w:lang w:val="zh-CN"/>
        </w:rPr>
      </w:pPr>
      <w:r>
        <w:rPr>
          <w:rFonts w:hint="eastAsia"/>
          <w:b/>
          <w:bCs/>
          <w:lang w:val="zh-CN"/>
        </w:rPr>
        <w:t>推进“县管校聘”管理制度改革</w:t>
      </w:r>
      <w:r>
        <w:rPr>
          <w:rFonts w:hint="eastAsia"/>
          <w:b/>
          <w:bCs/>
          <w:lang w:val="en-US" w:eastAsia="zh-CN"/>
        </w:rPr>
        <w:t xml:space="preserve"> </w:t>
      </w:r>
      <w:r>
        <w:rPr>
          <w:rFonts w:hint="eastAsia"/>
          <w:lang w:val="en-US" w:eastAsia="zh-CN"/>
        </w:rPr>
        <w:t xml:space="preserve">  </w:t>
      </w:r>
      <w:r>
        <w:rPr>
          <w:rFonts w:hint="eastAsia"/>
          <w:lang w:val="zh-CN"/>
        </w:rPr>
        <w:t>5月2日，市政府办公室印发《推进中小学教师“县管校聘”管理改革的实施意见》（以下简称《实施意见》）。《实施意见》提出在公办中小学校（含幼儿园、特殊教育学校以及其他教育机构）在编在岗教职员范围内推行“县管校聘”管理改革，通过完善中小学教职员编制管理机制、教职员岗位设置管理、教师公开招聘制度、岗位聘用管理制度、教师均衡配置机制、教师退出机制和教职员合法权益保障机制等，推进“县管校聘”管理改革与城乡义务教育一体化改革发展、校长教师交流轮岗、完善学校治理结构改革等政策措施联动实施，促进全市教师资源的均衡配置。</w:t>
      </w:r>
    </w:p>
    <w:p w14:paraId="1C1BD6E5">
      <w:pPr>
        <w:bidi w:val="0"/>
        <w:rPr>
          <w:rFonts w:hint="eastAsia"/>
          <w:lang w:val="zh-CN"/>
        </w:rPr>
      </w:pPr>
      <w:r>
        <w:rPr>
          <w:rFonts w:hint="eastAsia"/>
          <w:b/>
          <w:bCs/>
          <w:lang w:val="zh-CN"/>
        </w:rPr>
        <w:t>创建原中央苏区县域经济创新发展示范县</w:t>
      </w:r>
      <w:r>
        <w:rPr>
          <w:rFonts w:hint="eastAsia"/>
          <w:b/>
          <w:bCs/>
          <w:lang w:val="en-US" w:eastAsia="zh-CN"/>
        </w:rPr>
        <w:t xml:space="preserve">   </w:t>
      </w:r>
      <w:r>
        <w:rPr>
          <w:rFonts w:hint="eastAsia"/>
          <w:lang w:val="zh-CN"/>
        </w:rPr>
        <w:t>5月17日，市委、市政府印发《南雄市2018年创建广东省原中央苏区县域经济创新发展示范县工作方案》（以下简称《工作方案》）。《工作方案》指出，2018年是《南雄市创建广东省原中央苏区县域经济创新发展示范县建设方案》实施的第一年，要抓好落实抓出成效，成立南雄市创建广东省原中央苏区县域经济创新发展示范县工作领导小组，对七大重点任务细化分解为108项目标任务，明确时间节点，确定责任领导、牵头单位和协助单位，强化督查考核，将创新发展示范县落实工作列入各单位领导班子年终绩效考评内容。</w:t>
      </w:r>
    </w:p>
    <w:p w14:paraId="130D543F">
      <w:pPr>
        <w:bidi w:val="0"/>
        <w:rPr>
          <w:rFonts w:hint="eastAsia"/>
          <w:lang w:val="zh-CN"/>
        </w:rPr>
      </w:pPr>
      <w:r>
        <w:rPr>
          <w:rFonts w:hint="eastAsia"/>
          <w:b/>
          <w:bCs/>
          <w:lang w:val="zh-CN"/>
        </w:rPr>
        <w:t>加快实施乡村振兴战略</w:t>
      </w:r>
      <w:r>
        <w:rPr>
          <w:rFonts w:hint="eastAsia"/>
          <w:b/>
          <w:bCs/>
          <w:lang w:val="en-US" w:eastAsia="zh-CN"/>
        </w:rPr>
        <w:t xml:space="preserve">   </w:t>
      </w:r>
      <w:r>
        <w:rPr>
          <w:rFonts w:hint="eastAsia"/>
          <w:lang w:val="zh-CN"/>
        </w:rPr>
        <w:t>10月11日，市委、市政府印发《关于推进乡村振兴战略的总体实施方案》（以下简称《实施方案》）。《实施方案》明确指导思想、目标任务、基本原则，提出补齐农村基础设施和乡村公共服务短板，提升城乡一体化水平；创新基层治理体系，加快乡村人才队伍建设，推动乡村组织振兴；全域推进生态宜居美丽乡村建设，推动乡村生态振兴；打好精准脱贫攻坚战，提升高质量稳定脱贫水平；塑造乡风文明新风貌，推动乡村文化振兴；大力发展富民兴村产业，推动乡村产业振兴；构建城乡融合发展的体制机制和政策体系；坚持和完善党对“三农”工作的领导等措施，制定推进乡村振兴战略的实施方案任务清单。</w:t>
      </w:r>
    </w:p>
    <w:p w14:paraId="110F6839">
      <w:pPr>
        <w:bidi w:val="0"/>
        <w:rPr>
          <w:rFonts w:hint="eastAsia"/>
          <w:lang w:val="zh-CN"/>
        </w:rPr>
      </w:pPr>
      <w:r>
        <w:rPr>
          <w:rFonts w:hint="eastAsia"/>
          <w:b/>
          <w:bCs/>
          <w:lang w:val="zh-CN"/>
        </w:rPr>
        <w:t>落实新时代党的建设</w:t>
      </w:r>
      <w:r>
        <w:rPr>
          <w:rFonts w:hint="eastAsia"/>
          <w:b/>
          <w:bCs/>
          <w:lang w:val="en-US" w:eastAsia="zh-CN"/>
        </w:rPr>
        <w:t xml:space="preserve">   </w:t>
      </w:r>
      <w:r>
        <w:rPr>
          <w:rFonts w:hint="eastAsia"/>
          <w:lang w:val="zh-CN"/>
        </w:rPr>
        <w:t>12月23日，市委印发《中共南雄市委关于深入学习贯彻落实新时代党的建设总要求努力把各级党组织锻造得更加坚强有力的实施意见》（以下简称《实施意见》）。《实施意见》提出把政治建设摆在首位，深学笃行习近平新时代中国特色社会主义思想，牢牢掌握意识形态工作领导权，突出政治标准选人用人，激励约束并重促进干部新担当新作为，抓好党管人才工作，扎实推进三年行动计划实施，以提升组织力为重点加强基层党组织建设，持之以恒正风肃纪，夺取反腐败斗争压倒性胜利，落实党要管党全面从严治党</w:t>
      </w:r>
      <w:r>
        <w:rPr>
          <w:rFonts w:hint="eastAsia"/>
          <w:lang w:val="en-US" w:eastAsia="zh-CN"/>
        </w:rPr>
        <w:t>主体</w:t>
      </w:r>
      <w:r>
        <w:rPr>
          <w:rFonts w:hint="eastAsia"/>
          <w:lang w:val="zh-CN"/>
        </w:rPr>
        <w:t>责任等措施，努力把各级党组织锻造得更加坚强有力。</w:t>
      </w:r>
    </w:p>
    <w:p w14:paraId="5D71EB7D">
      <w:pPr>
        <w:bidi w:val="0"/>
        <w:rPr>
          <w:rFonts w:hint="eastAsia"/>
          <w:lang w:val="zh-CN"/>
        </w:rPr>
      </w:pPr>
      <w:r>
        <w:rPr>
          <w:rFonts w:hint="eastAsia"/>
          <w:b/>
          <w:bCs/>
          <w:lang w:val="zh-CN"/>
        </w:rPr>
        <w:t>持续推进美丽乡村建设</w:t>
      </w:r>
      <w:r>
        <w:rPr>
          <w:rFonts w:hint="eastAsia"/>
          <w:b/>
          <w:bCs/>
          <w:lang w:val="en-US" w:eastAsia="zh-CN"/>
        </w:rPr>
        <w:t xml:space="preserve">   </w:t>
      </w:r>
      <w:r>
        <w:rPr>
          <w:rFonts w:hint="eastAsia"/>
          <w:lang w:val="zh-CN"/>
        </w:rPr>
        <w:t>11月6日，市委办公室、市政府办公室印发《南雄市全域推进农村人居环境整治建设生态宜居美丽乡村“三清三拆三整治”工作奖补方案》（以下简称《工作奖补方案》）。《工作奖补方案》明确工作要求，各镇（街道）党委主要负责人为落实“三清三拆三整治”验收工作的责任人，分管领导为具体责任人；明确了奖补原则、奖补面积的测定、奖补标准、奖补资金使用范围、验收流程、申请资金、资金拨付、责任落实等奖补要求。同日，印发了《南雄市全域推进农村人居环境整治建设生态宜居美丽乡村工作奖补方案》（以下简称《奖补方案》）。《奖补方案》明确了指导思想、建设内容及标准、奖补政策、创建工作流程、资金使用督查监管及责任追究，为深入推进南雄市非省定贫困村人居环境综合整治建设美丽乡村工作，切实改善全市非省定贫困村的生产生活条件，提高专项资金使用效益，实现民富村美产业兴的目标提供政策依据。同时，全面启动整县推进村镇生活污水处理基础设施PPP项目，抓实剩余5个镇、非省定贫困村822个自然村的污水处理设施及配套管网建设，打好水污染防治攻坚战。</w:t>
      </w:r>
    </w:p>
    <w:p w14:paraId="79164321">
      <w:pPr>
        <w:bidi w:val="0"/>
        <w:rPr>
          <w:rFonts w:hint="eastAsia"/>
          <w:lang w:val="zh-CN"/>
        </w:rPr>
      </w:pPr>
      <w:r>
        <w:rPr>
          <w:rFonts w:hint="eastAsia"/>
          <w:b/>
          <w:bCs/>
          <w:lang w:val="zh-CN"/>
        </w:rPr>
        <w:t>深化国有企业改革</w:t>
      </w:r>
      <w:r>
        <w:rPr>
          <w:rFonts w:hint="eastAsia"/>
          <w:b/>
          <w:bCs/>
          <w:lang w:val="en-US" w:eastAsia="zh-CN"/>
        </w:rPr>
        <w:t xml:space="preserve">   </w:t>
      </w:r>
      <w:r>
        <w:rPr>
          <w:rFonts w:hint="eastAsia"/>
          <w:lang w:val="zh-CN"/>
        </w:rPr>
        <w:t>12月10日，市政府办公室印发《南雄市深化国有企业改革整合重组工作方案》（以下简称《方案》）。《方案》明确南雄市国有企业改革整合重组的指导思想、建设目标、改革方式与方法、改革步骤、工作措施、工作要求等，通过理顺国企党组织管理体制和企业组织架构，建立现代企业制度，壮大国有企业规模和实力，为本市经济社会发展提供强有力支撑。</w:t>
      </w:r>
    </w:p>
    <w:p w14:paraId="7F83EF74">
      <w:pPr>
        <w:bidi w:val="0"/>
        <w:ind w:left="0" w:leftChars="0" w:firstLine="0" w:firstLineChars="0"/>
        <w:rPr>
          <w:rFonts w:hint="eastAsia"/>
          <w:b/>
          <w:bCs/>
          <w:lang w:val="zh-CN"/>
        </w:rPr>
      </w:pPr>
      <w:r>
        <w:rPr>
          <w:rFonts w:hint="eastAsia"/>
          <w:b/>
          <w:bCs/>
          <w:lang w:val="zh-CN"/>
        </w:rPr>
        <w:t>附：2018年中共南雄市委员会常委成员名单</w:t>
      </w:r>
    </w:p>
    <w:p w14:paraId="3F37AB58">
      <w:pPr>
        <w:bidi w:val="0"/>
        <w:ind w:left="0" w:leftChars="0" w:firstLine="0" w:firstLineChars="0"/>
        <w:rPr>
          <w:rFonts w:hint="eastAsia"/>
          <w:lang w:val="zh-CN"/>
        </w:rPr>
      </w:pPr>
      <w:r>
        <w:rPr>
          <w:rFonts w:hint="eastAsia"/>
          <w:b/>
          <w:bCs/>
          <w:lang w:val="zh-CN"/>
        </w:rPr>
        <w:t>书</w:t>
      </w:r>
      <w:r>
        <w:rPr>
          <w:rFonts w:hint="eastAsia"/>
          <w:b/>
          <w:bCs/>
          <w:lang w:val="en-US" w:eastAsia="zh-CN"/>
        </w:rPr>
        <w:t xml:space="preserve">  </w:t>
      </w:r>
      <w:r>
        <w:rPr>
          <w:rFonts w:hint="eastAsia"/>
          <w:b/>
          <w:bCs/>
          <w:lang w:val="zh-CN"/>
        </w:rPr>
        <w:t>记：</w:t>
      </w:r>
      <w:r>
        <w:rPr>
          <w:rFonts w:hint="eastAsia"/>
          <w:lang w:val="zh-CN"/>
        </w:rPr>
        <w:t>王碧安</w:t>
      </w:r>
    </w:p>
    <w:p w14:paraId="692DC8A0">
      <w:pPr>
        <w:bidi w:val="0"/>
        <w:ind w:left="0" w:leftChars="0" w:firstLine="0" w:firstLineChars="0"/>
        <w:rPr>
          <w:rFonts w:hint="eastAsia"/>
          <w:lang w:val="zh-CN"/>
        </w:rPr>
      </w:pPr>
      <w:r>
        <w:rPr>
          <w:rFonts w:hint="eastAsia"/>
          <w:b/>
          <w:bCs/>
          <w:lang w:val="zh-CN"/>
        </w:rPr>
        <w:t>副书记：</w:t>
      </w:r>
      <w:r>
        <w:rPr>
          <w:rFonts w:hint="eastAsia"/>
          <w:lang w:val="zh-CN"/>
        </w:rPr>
        <w:t>林小龙</w:t>
      </w:r>
    </w:p>
    <w:p w14:paraId="5D70D96A">
      <w:pPr>
        <w:bidi w:val="0"/>
        <w:ind w:left="840" w:leftChars="400" w:firstLine="0" w:firstLineChars="0"/>
        <w:rPr>
          <w:rFonts w:hint="eastAsia"/>
          <w:lang w:val="zh-CN"/>
        </w:rPr>
      </w:pPr>
      <w:r>
        <w:rPr>
          <w:rFonts w:hint="eastAsia"/>
          <w:lang w:val="zh-CN"/>
        </w:rPr>
        <w:t>叶济熊（1月任职）</w:t>
      </w:r>
    </w:p>
    <w:p w14:paraId="33DB36D1">
      <w:pPr>
        <w:bidi w:val="0"/>
        <w:ind w:left="0" w:leftChars="0" w:firstLine="0" w:firstLineChars="0"/>
        <w:rPr>
          <w:rFonts w:hint="eastAsia"/>
          <w:lang w:val="zh-CN"/>
        </w:rPr>
      </w:pPr>
      <w:r>
        <w:rPr>
          <w:rFonts w:hint="eastAsia"/>
          <w:b/>
          <w:bCs/>
          <w:lang w:val="zh-CN"/>
        </w:rPr>
        <w:t>常</w:t>
      </w:r>
      <w:r>
        <w:rPr>
          <w:rFonts w:hint="eastAsia"/>
          <w:b/>
          <w:bCs/>
          <w:lang w:val="en-US" w:eastAsia="zh-CN"/>
        </w:rPr>
        <w:t xml:space="preserve">  </w:t>
      </w:r>
      <w:r>
        <w:rPr>
          <w:rFonts w:hint="eastAsia"/>
          <w:b/>
          <w:bCs/>
          <w:lang w:val="zh-CN"/>
        </w:rPr>
        <w:t>委：</w:t>
      </w:r>
      <w:r>
        <w:rPr>
          <w:rFonts w:hint="eastAsia"/>
          <w:lang w:val="zh-CN"/>
        </w:rPr>
        <w:t>朱海兵</w:t>
      </w:r>
      <w:r>
        <w:rPr>
          <w:rFonts w:hint="eastAsia"/>
          <w:lang w:val="en-US" w:eastAsia="zh-CN"/>
        </w:rPr>
        <w:t xml:space="preserve">   </w:t>
      </w:r>
      <w:r>
        <w:rPr>
          <w:rFonts w:hint="eastAsia"/>
          <w:lang w:val="zh-CN"/>
        </w:rPr>
        <w:t>曾文辉</w:t>
      </w:r>
    </w:p>
    <w:p w14:paraId="09F09AA8">
      <w:pPr>
        <w:bidi w:val="0"/>
        <w:ind w:left="840" w:leftChars="400" w:firstLine="0" w:firstLineChars="0"/>
        <w:rPr>
          <w:rFonts w:hint="eastAsia"/>
          <w:lang w:val="zh-CN"/>
        </w:rPr>
      </w:pPr>
      <w:r>
        <w:rPr>
          <w:rFonts w:hint="eastAsia"/>
          <w:lang w:val="zh-CN"/>
        </w:rPr>
        <w:t>林</w:t>
      </w:r>
      <w:r>
        <w:rPr>
          <w:rFonts w:hint="eastAsia"/>
          <w:lang w:val="en-US" w:eastAsia="zh-CN"/>
        </w:rPr>
        <w:t xml:space="preserve">  </w:t>
      </w:r>
      <w:r>
        <w:rPr>
          <w:rFonts w:hint="eastAsia"/>
          <w:lang w:val="zh-CN"/>
        </w:rPr>
        <w:t>军</w:t>
      </w:r>
      <w:r>
        <w:rPr>
          <w:rFonts w:hint="eastAsia"/>
          <w:lang w:val="en-US" w:eastAsia="zh-CN"/>
        </w:rPr>
        <w:t xml:space="preserve">   </w:t>
      </w:r>
      <w:r>
        <w:rPr>
          <w:rFonts w:hint="eastAsia"/>
          <w:lang w:val="zh-CN"/>
        </w:rPr>
        <w:t>张英宏</w:t>
      </w:r>
    </w:p>
    <w:p w14:paraId="69477840">
      <w:pPr>
        <w:bidi w:val="0"/>
        <w:ind w:left="840" w:leftChars="400" w:firstLine="0" w:firstLineChars="0"/>
        <w:rPr>
          <w:rFonts w:hint="eastAsia"/>
          <w:lang w:val="zh-CN"/>
        </w:rPr>
      </w:pPr>
      <w:r>
        <w:rPr>
          <w:rFonts w:hint="eastAsia"/>
          <w:lang w:val="zh-CN"/>
        </w:rPr>
        <w:t>温春花（女）</w:t>
      </w:r>
    </w:p>
    <w:p w14:paraId="3CBD8A0F">
      <w:pPr>
        <w:bidi w:val="0"/>
        <w:ind w:left="840" w:leftChars="400" w:firstLine="0" w:firstLineChars="0"/>
        <w:rPr>
          <w:rFonts w:hint="eastAsia"/>
          <w:lang w:val="zh-CN"/>
        </w:rPr>
      </w:pPr>
      <w:r>
        <w:rPr>
          <w:rFonts w:hint="eastAsia"/>
          <w:lang w:val="zh-CN"/>
        </w:rPr>
        <w:t>徐建坤</w:t>
      </w:r>
      <w:r>
        <w:rPr>
          <w:rFonts w:hint="eastAsia"/>
          <w:lang w:val="en-US" w:eastAsia="zh-CN"/>
        </w:rPr>
        <w:t xml:space="preserve">   </w:t>
      </w:r>
      <w:r>
        <w:rPr>
          <w:rFonts w:hint="eastAsia"/>
          <w:lang w:val="zh-CN"/>
        </w:rPr>
        <w:t>邵锦炯</w:t>
      </w:r>
    </w:p>
    <w:p w14:paraId="5AACF7B7">
      <w:pPr>
        <w:bidi w:val="0"/>
        <w:ind w:left="840" w:leftChars="400" w:firstLine="0" w:firstLineChars="0"/>
        <w:rPr>
          <w:rFonts w:hint="eastAsia"/>
          <w:lang w:val="zh-CN"/>
        </w:rPr>
      </w:pPr>
      <w:r>
        <w:rPr>
          <w:rFonts w:hint="eastAsia"/>
          <w:lang w:val="zh-CN"/>
        </w:rPr>
        <w:t>陈志光（1月任职）</w:t>
      </w:r>
    </w:p>
    <w:p w14:paraId="39E56DD7">
      <w:pPr>
        <w:pStyle w:val="3"/>
        <w:bidi w:val="0"/>
        <w:rPr>
          <w:rFonts w:hint="eastAsia"/>
          <w:lang w:val="zh-CN"/>
        </w:rPr>
      </w:pPr>
      <w:r>
        <w:rPr>
          <w:rFonts w:hint="eastAsia"/>
          <w:lang w:val="zh-CN"/>
        </w:rPr>
        <w:t>南雄市委办公室</w:t>
      </w:r>
    </w:p>
    <w:p w14:paraId="413CDCFD">
      <w:pPr>
        <w:pStyle w:val="4"/>
        <w:bidi w:val="0"/>
        <w:rPr>
          <w:rFonts w:hint="eastAsia"/>
          <w:lang w:val="zh-CN"/>
        </w:rPr>
      </w:pPr>
      <w:r>
        <w:rPr>
          <w:rFonts w:hint="eastAsia"/>
          <w:lang w:val="zh-CN"/>
        </w:rPr>
        <w:t>【概况】</w:t>
      </w:r>
    </w:p>
    <w:p w14:paraId="3584AF70">
      <w:pPr>
        <w:bidi w:val="0"/>
        <w:rPr>
          <w:rFonts w:hint="eastAsia"/>
          <w:lang w:val="zh-CN"/>
        </w:rPr>
      </w:pPr>
      <w:r>
        <w:rPr>
          <w:rFonts w:hint="eastAsia"/>
          <w:lang w:val="zh-CN"/>
        </w:rPr>
        <w:t>市委办公室（改革办）是市委的工作部门，行政编制28名（含机要局），内设机构有人事秘书股、市委督查室、信息调研股、机要局、国家保密局、信访局、新闻股、网络问政股、文电法规室。</w:t>
      </w:r>
    </w:p>
    <w:p w14:paraId="143FBFFF">
      <w:pPr>
        <w:pStyle w:val="4"/>
        <w:bidi w:val="0"/>
        <w:rPr>
          <w:rFonts w:hint="eastAsia"/>
          <w:lang w:val="zh-CN"/>
        </w:rPr>
      </w:pPr>
      <w:r>
        <w:rPr>
          <w:rFonts w:hint="eastAsia"/>
          <w:lang w:val="zh-CN"/>
        </w:rPr>
        <w:t>【改革工作】</w:t>
      </w:r>
    </w:p>
    <w:p w14:paraId="69B76AFD">
      <w:pPr>
        <w:bidi w:val="0"/>
        <w:rPr>
          <w:rFonts w:hint="eastAsia"/>
          <w:lang w:val="zh-CN"/>
        </w:rPr>
      </w:pPr>
      <w:r>
        <w:rPr>
          <w:rFonts w:hint="eastAsia"/>
          <w:lang w:val="zh-CN"/>
        </w:rPr>
        <w:t>2018年，市委改革办加强党对全面深化改革的领导，健全工作机制，调整改革领导小组以及各专项小组成员，牵头制定《全面深化改革领导小组会议工作规程》《全面深化改革领导小组专项小组运作制度（试行）》《南雄市全面深化改革2018年工作要点》，全面梳理经济、文化、社会和党的建设领域各项改革任务，谋划并督促落实改革任务43项。</w:t>
      </w:r>
    </w:p>
    <w:p w14:paraId="5482506B">
      <w:pPr>
        <w:pStyle w:val="4"/>
        <w:bidi w:val="0"/>
        <w:rPr>
          <w:rFonts w:hint="eastAsia"/>
          <w:lang w:val="zh-CN"/>
        </w:rPr>
      </w:pPr>
      <w:r>
        <w:rPr>
          <w:rFonts w:hint="eastAsia"/>
          <w:lang w:val="zh-CN"/>
        </w:rPr>
        <w:t>【办文办会】</w:t>
      </w:r>
    </w:p>
    <w:p w14:paraId="529C0B03">
      <w:pPr>
        <w:bidi w:val="0"/>
        <w:rPr>
          <w:rFonts w:hint="eastAsia"/>
          <w:lang w:val="zh-CN"/>
        </w:rPr>
      </w:pPr>
      <w:r>
        <w:rPr>
          <w:rFonts w:hint="eastAsia"/>
          <w:lang w:val="zh-CN"/>
        </w:rPr>
        <w:t>公文运转规范快捷，全年接收OA电子文件3254份，发送OA电子文件984份，制发规范文件302份。完成全市性大型会务48个。党内规范性文件备案审查工作实现全覆盖，建立备案审查工作制度、备案审查工作联动制度、备案工作考核评价制度，规范备案审查程序。全年审查各党委（党组）报备文件50份，下发提醒函23份，审查意见10份。</w:t>
      </w:r>
    </w:p>
    <w:p w14:paraId="08FF751C">
      <w:pPr>
        <w:pStyle w:val="4"/>
        <w:bidi w:val="0"/>
        <w:rPr>
          <w:rFonts w:hint="eastAsia"/>
          <w:lang w:val="zh-CN"/>
        </w:rPr>
      </w:pPr>
      <w:r>
        <w:rPr>
          <w:rFonts w:hint="eastAsia"/>
          <w:lang w:val="zh-CN"/>
        </w:rPr>
        <w:t>【新闻信息调研】</w:t>
      </w:r>
    </w:p>
    <w:p w14:paraId="30B2046C">
      <w:pPr>
        <w:bidi w:val="0"/>
        <w:rPr>
          <w:rFonts w:hint="eastAsia"/>
          <w:lang w:val="zh-CN"/>
        </w:rPr>
      </w:pPr>
      <w:r>
        <w:rPr>
          <w:rFonts w:hint="eastAsia"/>
          <w:lang w:val="zh-CN"/>
        </w:rPr>
        <w:t>2018年，编写市委工作大事记402条。撰写和印发市委常委会会议纪要34期，市委书记专题会议纪要30期。向广东省委办公厅、韶关市委办公室报送政务信息114篇，省累计采用20篇，其中省领导批示1篇，省采用及得分情况在韶关各直报点排名第一，获评“广东省党委系统信息工作先进单位”“韶关市党委系统信息工作先进单位”，并收到省委办公厅感谢函。新闻媒体用稿硕果累累，在南雄市政务网挂网新闻数量280条，《人民日报》等中央级新闻媒体用稿5篇，在省级媒体用稿258篇，《韶关日报》用稿115篇，其中韶关市委书记批示新闻稿件1篇，新闻用稿数量在韶关各县（市、区）名列前茅。严格执行突发事件紧急信息报送制度，完成各节假日以及关键时间节点应急值班值守信息报送工作。</w:t>
      </w:r>
    </w:p>
    <w:p w14:paraId="2E010A02">
      <w:pPr>
        <w:pStyle w:val="4"/>
        <w:bidi w:val="0"/>
        <w:rPr>
          <w:rFonts w:hint="eastAsia"/>
          <w:lang w:val="zh-CN"/>
        </w:rPr>
      </w:pPr>
      <w:r>
        <w:rPr>
          <w:rFonts w:hint="eastAsia"/>
          <w:lang w:val="zh-CN"/>
        </w:rPr>
        <w:t>【网络问政】</w:t>
      </w:r>
    </w:p>
    <w:p w14:paraId="4F1E8295">
      <w:pPr>
        <w:bidi w:val="0"/>
        <w:rPr>
          <w:rFonts w:hint="eastAsia"/>
          <w:lang w:val="zh-CN"/>
        </w:rPr>
      </w:pPr>
      <w:r>
        <w:rPr>
          <w:rFonts w:hint="eastAsia"/>
          <w:lang w:val="zh-CN"/>
        </w:rPr>
        <w:t>受理网民问政留言742条，及时回复率100%，满意帖43条，基本满意帖635条，满意度为91.3%，网络问政业务未出现预警、黄牌和红牌现象。</w:t>
      </w:r>
    </w:p>
    <w:p w14:paraId="5BF038DB">
      <w:pPr>
        <w:pStyle w:val="4"/>
        <w:bidi w:val="0"/>
        <w:rPr>
          <w:rFonts w:hint="eastAsia"/>
          <w:lang w:val="zh-CN"/>
        </w:rPr>
      </w:pPr>
      <w:r>
        <w:rPr>
          <w:rFonts w:hint="eastAsia"/>
          <w:lang w:val="zh-CN"/>
        </w:rPr>
        <w:t>【机要工作】</w:t>
      </w:r>
    </w:p>
    <w:p w14:paraId="742BB6E9">
      <w:pPr>
        <w:bidi w:val="0"/>
        <w:rPr>
          <w:rFonts w:hint="eastAsia"/>
          <w:lang w:val="zh-CN"/>
        </w:rPr>
      </w:pPr>
      <w:r>
        <w:rPr>
          <w:rFonts w:hint="eastAsia"/>
          <w:lang w:val="zh-CN"/>
        </w:rPr>
        <w:t>严格执行机要工作制度，积极开展主题文化系列活动，强化忠诚意识，增强做好新时代机要工作的责任感和使命感。扎实推进密码通信系统信息化建设，对密码通信主渠道设备进行升级更换，做好电子政务内网安全保密测评，机房规范化建设工作有序推进。聚焦机要密码工作，及时排除故障、强化机房巡查、主动测试设备、积极开展演练，确保市委与上级党委机关的通信安全和信息畅通。致力于办理“精品电报”，优化密码电报传译、登记、递送、阅办、回收、销毁等流程，及时回收密码电报，由专人管理密码电报并定期清理，严把密码电报发送关，实现密码电报办理无事故、无差错、无错情。认真开展商用密码应用情况摸底工作，为推进国产商用密码应用做好铺垫。积极配合办公室做好“三服务”工作，为市领导发送会议及活动通知2.5万余条，协助做好党建工作，并指定专人严格管理市委印章，较好地完成所承担的机要工作任务。</w:t>
      </w:r>
    </w:p>
    <w:p w14:paraId="3A45A6C9">
      <w:pPr>
        <w:pStyle w:val="4"/>
        <w:bidi w:val="0"/>
        <w:rPr>
          <w:rFonts w:hint="eastAsia"/>
          <w:lang w:val="zh-CN"/>
        </w:rPr>
      </w:pPr>
      <w:r>
        <w:rPr>
          <w:rFonts w:hint="eastAsia"/>
          <w:lang w:val="zh-CN"/>
        </w:rPr>
        <w:t>【保密工作】</w:t>
      </w:r>
    </w:p>
    <w:p w14:paraId="1F101051">
      <w:pPr>
        <w:bidi w:val="0"/>
        <w:rPr>
          <w:rFonts w:hint="eastAsia"/>
          <w:lang w:val="zh-CN"/>
        </w:rPr>
      </w:pPr>
      <w:r>
        <w:rPr>
          <w:rFonts w:hint="eastAsia"/>
          <w:lang w:val="zh-CN"/>
        </w:rPr>
        <w:t>认真贯彻落实省、韶关市保密委工作会议精神，强化保密宣传教育，开展保密教育进机关、进学校活动，举办全市工作会议暨保密全员教育培训班，召开网络安全工作会议，进一步增强全市领导干部的保密意识和保密常识。认真做好保密业务工作，准确掌握全市涉密文件资料制发情况，动态管理机关单位定密责任人备案，加强保密员岗前培训，对各机关涉密人员进行年度考核，确保国家秘密安全。认真做好中、高考保密室换证工作，对高考试卷开展安全保密督查，加强保密队伍建设，提高保密队伍的业务能力。开展金融系统和教育系统保密专项检查，完善涉密网络电子政务内网，进一步夯实全市金融保密安全和涉密网络发展基础。</w:t>
      </w:r>
    </w:p>
    <w:p w14:paraId="640F9276">
      <w:pPr>
        <w:pStyle w:val="4"/>
        <w:bidi w:val="0"/>
        <w:rPr>
          <w:rFonts w:hint="eastAsia"/>
          <w:lang w:val="zh-CN"/>
        </w:rPr>
      </w:pPr>
      <w:r>
        <w:rPr>
          <w:rFonts w:hint="eastAsia"/>
          <w:lang w:val="zh-CN"/>
        </w:rPr>
        <w:t>【信访工作】</w:t>
      </w:r>
    </w:p>
    <w:p w14:paraId="21C51CAB">
      <w:pPr>
        <w:bidi w:val="0"/>
        <w:rPr>
          <w:rFonts w:hint="eastAsia"/>
          <w:lang w:val="zh-CN"/>
        </w:rPr>
      </w:pPr>
      <w:r>
        <w:rPr>
          <w:rFonts w:hint="eastAsia"/>
          <w:lang w:val="zh-CN"/>
        </w:rPr>
        <w:t>成立由市委书记任组长的信访维稳工作领导小组和工作专班，建立“一镇（单位）一方案一领导小组一工作专班”工作机制，做到“件件有着落，事事有回音”，确保“五个不发生”，即不发生危害国家安全和社会稳定的重大政治事件、不发生严重暴力恐怖事件和个人极端事件、不发生影响社会稳定的规模性群体事件、不发生重大公共安全事件、不发生重大意识形态和负面舆情事件。建立积案任务化解清单制度，坚持市四套班子领导接访，接待处理来市上访146批290人次，有效控制和减少越级上访。办结中央、省委巡视交办信访件80宗。2018年，全市信访案件总数684批1001人次，办结602批。南雄市群众到中央、省、市、信访总量180件。进京上访2批2人次，下降83%；到省上访22批39人次，下降28%；到韶关市上访5批5人次，下降75%；到南雄市上访258批517人次，下降17%。（赵章含）</w:t>
      </w:r>
    </w:p>
    <w:p w14:paraId="7A64BA0B">
      <w:pPr>
        <w:bidi w:val="0"/>
        <w:ind w:left="0" w:leftChars="0" w:firstLine="0" w:firstLineChars="0"/>
        <w:rPr>
          <w:rFonts w:hint="eastAsia"/>
          <w:b/>
          <w:bCs/>
          <w:lang w:val="zh-CN"/>
        </w:rPr>
      </w:pPr>
      <w:r>
        <w:rPr>
          <w:rFonts w:hint="eastAsia"/>
          <w:b/>
          <w:bCs/>
          <w:lang w:val="zh-CN"/>
        </w:rPr>
        <w:t>附：2018年市委办领导班子成员名单</w:t>
      </w:r>
    </w:p>
    <w:p w14:paraId="5828595F">
      <w:pPr>
        <w:bidi w:val="0"/>
        <w:ind w:left="0" w:leftChars="0" w:firstLine="0" w:firstLineChars="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曾文辉（兼）</w:t>
      </w:r>
    </w:p>
    <w:p w14:paraId="07075E8A">
      <w:pPr>
        <w:bidi w:val="0"/>
        <w:ind w:left="0" w:leftChars="0" w:firstLine="0" w:firstLineChars="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钟祥文</w:t>
      </w:r>
      <w:r>
        <w:rPr>
          <w:rFonts w:hint="eastAsia"/>
          <w:lang w:val="en-US" w:eastAsia="zh-CN"/>
        </w:rPr>
        <w:t xml:space="preserve">   </w:t>
      </w:r>
      <w:r>
        <w:rPr>
          <w:rFonts w:hint="eastAsia"/>
          <w:lang w:val="zh-CN"/>
        </w:rPr>
        <w:t>杨志峰</w:t>
      </w:r>
    </w:p>
    <w:p w14:paraId="2DE34949">
      <w:pPr>
        <w:bidi w:val="0"/>
        <w:ind w:left="1050" w:leftChars="500" w:firstLine="0" w:firstLineChars="0"/>
        <w:rPr>
          <w:rFonts w:hint="eastAsia"/>
          <w:lang w:val="zh-CN"/>
        </w:rPr>
      </w:pPr>
      <w:r>
        <w:rPr>
          <w:rFonts w:hint="eastAsia"/>
          <w:lang w:val="zh-CN"/>
        </w:rPr>
        <w:t>张卿雄</w:t>
      </w:r>
      <w:r>
        <w:rPr>
          <w:rFonts w:hint="eastAsia"/>
          <w:lang w:val="en-US" w:eastAsia="zh-CN"/>
        </w:rPr>
        <w:t xml:space="preserve">   </w:t>
      </w:r>
      <w:r>
        <w:rPr>
          <w:rFonts w:hint="eastAsia"/>
          <w:lang w:val="zh-CN"/>
        </w:rPr>
        <w:t>叶</w:t>
      </w:r>
      <w:r>
        <w:rPr>
          <w:rFonts w:hint="eastAsia"/>
          <w:lang w:val="en-US" w:eastAsia="zh-CN"/>
        </w:rPr>
        <w:t xml:space="preserve">  </w:t>
      </w:r>
      <w:r>
        <w:rPr>
          <w:rFonts w:hint="eastAsia"/>
          <w:lang w:val="zh-CN"/>
        </w:rPr>
        <w:t>莹</w:t>
      </w:r>
    </w:p>
    <w:p w14:paraId="2FAE9006">
      <w:pPr>
        <w:bidi w:val="0"/>
        <w:ind w:left="0" w:leftChars="0" w:firstLine="0" w:firstLineChars="0"/>
        <w:rPr>
          <w:rFonts w:hint="eastAsia"/>
          <w:lang w:val="zh-CN"/>
        </w:rPr>
      </w:pPr>
      <w:r>
        <w:rPr>
          <w:rFonts w:hint="eastAsia"/>
          <w:b/>
          <w:bCs/>
          <w:lang w:val="zh-CN"/>
        </w:rPr>
        <w:t>主任科员</w:t>
      </w:r>
      <w:r>
        <w:rPr>
          <w:rFonts w:hint="eastAsia"/>
          <w:lang w:val="zh-CN"/>
        </w:rPr>
        <w:t>：朱顺林</w:t>
      </w:r>
    </w:p>
    <w:p w14:paraId="23C243B9">
      <w:pPr>
        <w:bidi w:val="0"/>
        <w:ind w:left="1050" w:leftChars="500" w:firstLine="0" w:firstLineChars="0"/>
        <w:rPr>
          <w:rFonts w:hint="eastAsia"/>
          <w:lang w:val="zh-CN"/>
        </w:rPr>
      </w:pPr>
      <w:r>
        <w:rPr>
          <w:rFonts w:hint="eastAsia"/>
          <w:lang w:val="zh-CN"/>
        </w:rPr>
        <w:t>孔永明（2月任职）</w:t>
      </w:r>
    </w:p>
    <w:p w14:paraId="40E3B9F1">
      <w:pPr>
        <w:bidi w:val="0"/>
        <w:ind w:left="0" w:leftChars="0" w:firstLine="0" w:firstLineChars="0"/>
        <w:rPr>
          <w:rFonts w:hint="eastAsia"/>
          <w:b/>
          <w:bCs/>
          <w:lang w:val="zh-CN"/>
        </w:rPr>
      </w:pPr>
      <w:r>
        <w:rPr>
          <w:rFonts w:hint="eastAsia"/>
          <w:b/>
          <w:bCs/>
          <w:lang w:val="zh-CN"/>
        </w:rPr>
        <w:t>督查室主任：</w:t>
      </w:r>
    </w:p>
    <w:p w14:paraId="170EF8C2">
      <w:pPr>
        <w:bidi w:val="0"/>
        <w:ind w:left="1050" w:leftChars="500" w:firstLine="0" w:firstLineChars="0"/>
        <w:rPr>
          <w:rFonts w:hint="eastAsia"/>
          <w:lang w:val="zh-CN"/>
        </w:rPr>
      </w:pPr>
      <w:r>
        <w:rPr>
          <w:rFonts w:hint="eastAsia"/>
          <w:lang w:val="zh-CN"/>
        </w:rPr>
        <w:t>张东桥（1月任职）</w:t>
      </w:r>
    </w:p>
    <w:p w14:paraId="07EFEF4F">
      <w:pPr>
        <w:pStyle w:val="3"/>
        <w:bidi w:val="0"/>
        <w:rPr>
          <w:rFonts w:hint="eastAsia"/>
          <w:lang w:val="zh-CN"/>
        </w:rPr>
      </w:pPr>
      <w:r>
        <w:rPr>
          <w:rFonts w:hint="eastAsia"/>
          <w:lang w:val="zh-CN"/>
        </w:rPr>
        <w:t>组织工作</w:t>
      </w:r>
    </w:p>
    <w:p w14:paraId="3A5A0C40">
      <w:pPr>
        <w:pStyle w:val="4"/>
        <w:bidi w:val="0"/>
        <w:rPr>
          <w:rFonts w:hint="eastAsia"/>
          <w:lang w:val="zh-CN"/>
        </w:rPr>
      </w:pPr>
      <w:r>
        <w:rPr>
          <w:rFonts w:hint="eastAsia"/>
          <w:lang w:val="zh-CN"/>
        </w:rPr>
        <w:t>【概况】</w:t>
      </w:r>
    </w:p>
    <w:p w14:paraId="75E133A5">
      <w:pPr>
        <w:bidi w:val="0"/>
        <w:rPr>
          <w:rFonts w:hint="eastAsia"/>
          <w:lang w:val="zh-CN"/>
        </w:rPr>
      </w:pPr>
      <w:r>
        <w:rPr>
          <w:rFonts w:hint="eastAsia"/>
          <w:lang w:val="zh-CN"/>
        </w:rPr>
        <w:t>中共南雄市委组织部是南雄市委主管干部工作、组织工作和人才工作的职能部门。内设办公室、干部组、党建组、组织组、人才组、调研组、干部监督审理组（举报中心）、远程电教办。中共南雄市委非公有制经济组织和社会组织工作委员会挂靠在市委组织部，下设非公有制经济组织和社会组织工作委员会办公室（简称“两新”组织工委办）。行政编制22名，在编在岗22名，后勤服务人员2名。</w:t>
      </w:r>
    </w:p>
    <w:p w14:paraId="54E3B2B5">
      <w:pPr>
        <w:bidi w:val="0"/>
        <w:rPr>
          <w:rFonts w:hint="eastAsia"/>
          <w:lang w:val="zh-CN"/>
        </w:rPr>
      </w:pPr>
      <w:r>
        <w:rPr>
          <w:rFonts w:hint="eastAsia"/>
          <w:lang w:val="zh-CN"/>
        </w:rPr>
        <w:t>2018年，基层组织建设和人才工作在韶关市2018年度县（市、区）绩效评价中排名前列。</w:t>
      </w:r>
    </w:p>
    <w:p w14:paraId="232C425F">
      <w:pPr>
        <w:pStyle w:val="4"/>
        <w:bidi w:val="0"/>
        <w:rPr>
          <w:rFonts w:hint="eastAsia"/>
          <w:lang w:val="zh-CN"/>
        </w:rPr>
      </w:pPr>
      <w:r>
        <w:rPr>
          <w:rFonts w:hint="eastAsia"/>
          <w:lang w:val="zh-CN"/>
        </w:rPr>
        <w:t>【全省抓党建促脱贫攻坚工作现场会】</w:t>
      </w:r>
    </w:p>
    <w:p w14:paraId="1D18F7FC">
      <w:pPr>
        <w:bidi w:val="0"/>
        <w:rPr>
          <w:rFonts w:hint="eastAsia"/>
          <w:lang w:val="zh-CN"/>
        </w:rPr>
      </w:pPr>
      <w:r>
        <w:rPr>
          <w:rFonts w:hint="eastAsia"/>
          <w:lang w:val="zh-CN"/>
        </w:rPr>
        <w:t>南雄市把加强基层党建与推进脱贫攻坚、基层治理和乡村振兴结合起来，探索总结抓党建促重大任务落实工作经验，在广东省率先提出并推行村级“三个在先”机制，珠玑镇角湾村和灵潭村脱贫攻坚成效明显，是抓党建促脱贫攻坚工作的典型缩影。全省抓党建促脱贫攻坚工作现场会在南雄市成功召开，广东省委常委、组织部部长邹铭出席会议并讲话，中央电视台新闻联播头条专题报道南雄市抓基层党建促乡村振兴经验做法，扎实推动南雄市三年行动计划的实施。</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58A2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B0946C7">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2995" cy="3754755"/>
                  <wp:effectExtent l="0" t="0" r="8255" b="17145"/>
                  <wp:docPr id="93" name="图片 93" descr="南雄年鉴2019_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南雄年鉴2019_0070"/>
                          <pic:cNvPicPr>
                            <a:picLocks noChangeAspect="1"/>
                          </pic:cNvPicPr>
                        </pic:nvPicPr>
                        <pic:blipFill>
                          <a:blip r:embed="rId82"/>
                          <a:stretch>
                            <a:fillRect/>
                          </a:stretch>
                        </pic:blipFill>
                        <pic:spPr>
                          <a:xfrm>
                            <a:off x="0" y="0"/>
                            <a:ext cx="6182995" cy="3754755"/>
                          </a:xfrm>
                          <a:prstGeom prst="rect">
                            <a:avLst/>
                          </a:prstGeom>
                        </pic:spPr>
                      </pic:pic>
                    </a:graphicData>
                  </a:graphic>
                </wp:inline>
              </w:drawing>
            </w:r>
          </w:p>
        </w:tc>
      </w:tr>
      <w:tr w14:paraId="379E4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EE12311">
            <w:pPr>
              <w:bidi w:val="0"/>
              <w:rPr>
                <w:rFonts w:hint="eastAsia"/>
                <w:vertAlign w:val="baseline"/>
                <w:lang w:val="zh-CN"/>
              </w:rPr>
            </w:pPr>
            <w:r>
              <w:rPr>
                <w:rFonts w:hint="eastAsia" w:ascii="FZKTK--GBK1-0" w:hAnsi="FZKTK--GBK1-0" w:eastAsia="FZKTK--GBK1-0"/>
                <w:sz w:val="20"/>
              </w:rPr>
              <w:t>4月23日，南雄市委组织部召开第一期组工讲堂，由市委常委、</w:t>
            </w:r>
            <w:r>
              <w:rPr>
                <w:rFonts w:hint="eastAsia" w:ascii="FZKTK--GBK1-0" w:hAnsi="FZKTK--GBK1-0" w:eastAsia="FZKTK--GBK1-0"/>
                <w:sz w:val="20"/>
                <w:lang w:val="en-US" w:eastAsia="zh-CN"/>
              </w:rPr>
              <w:t>组织</w:t>
            </w:r>
            <w:r>
              <w:rPr>
                <w:rFonts w:hint="eastAsia" w:ascii="FZKTK--GBK1-0" w:hAnsi="FZKTK--GBK1-0" w:eastAsia="FZKTK--GBK1-0"/>
                <w:sz w:val="20"/>
              </w:rPr>
              <w:t>部部长林军（中）主讲（黄历星</w:t>
            </w:r>
            <w:r>
              <w:rPr>
                <w:rFonts w:hint="eastAsia" w:ascii="FZKTK--GBK1-0" w:hAnsi="FZKTK--GBK1-0" w:eastAsia="FZKTK--GBK1-0"/>
                <w:sz w:val="20"/>
                <w:lang w:val="en-US" w:eastAsia="zh-CN"/>
              </w:rPr>
              <w:t xml:space="preserve">  </w:t>
            </w:r>
            <w:r>
              <w:rPr>
                <w:rFonts w:hint="eastAsia" w:ascii="FZKTK--GBK1-0" w:hAnsi="FZKTK--GBK1-0" w:eastAsia="FZKTK--GBK1-0"/>
                <w:sz w:val="20"/>
              </w:rPr>
              <w:t>摄）</w:t>
            </w:r>
          </w:p>
        </w:tc>
      </w:tr>
    </w:tbl>
    <w:p w14:paraId="601DB705">
      <w:pPr>
        <w:pStyle w:val="4"/>
        <w:bidi w:val="0"/>
        <w:rPr>
          <w:rFonts w:hint="eastAsia"/>
          <w:lang w:val="zh-CN"/>
        </w:rPr>
      </w:pPr>
      <w:r>
        <w:rPr>
          <w:rFonts w:hint="eastAsia"/>
          <w:lang w:val="zh-CN"/>
        </w:rPr>
        <w:t>【基层组织建设】</w:t>
      </w:r>
    </w:p>
    <w:p w14:paraId="60ACAD8A">
      <w:pPr>
        <w:bidi w:val="0"/>
        <w:rPr>
          <w:rFonts w:hint="eastAsia"/>
          <w:lang w:val="zh-CN"/>
        </w:rPr>
      </w:pPr>
      <w:r>
        <w:rPr>
          <w:rFonts w:hint="eastAsia"/>
          <w:lang w:val="zh-CN"/>
        </w:rPr>
        <w:t>认真组织实施加强党的基层组织建设三年行动计划，结合中央和省委巡视整改，大力实施“头雁”工程和村级班子“青苗”培养工程，实行“村推镇选县考察”的培养制度，全年动态整顿软弱涣散村（社区）党组织24个，撤换调整“四不”党组织书记9名，建立党组织书记储备干部库464人。完成“七一”表彰工作。加强阵地标准化建设，争取南雄市财政750万元用于村级“达标创优”工程和镇“五小”场所建设。坚持边扫边建，深入开展扫黑除恶专项斗争。整合各类资源，推动5个红色村党建示范工程建设。</w:t>
      </w:r>
    </w:p>
    <w:p w14:paraId="34BFB228">
      <w:pPr>
        <w:pStyle w:val="4"/>
        <w:bidi w:val="0"/>
        <w:rPr>
          <w:rFonts w:hint="eastAsia"/>
          <w:lang w:val="zh-CN"/>
        </w:rPr>
      </w:pPr>
      <w:r>
        <w:rPr>
          <w:rFonts w:hint="eastAsia"/>
          <w:lang w:val="zh-CN"/>
        </w:rPr>
        <w:t>【干部队伍建设】</w:t>
      </w:r>
    </w:p>
    <w:p w14:paraId="3AE06037">
      <w:pPr>
        <w:bidi w:val="0"/>
        <w:rPr>
          <w:rFonts w:hint="eastAsia"/>
          <w:lang w:val="zh-CN"/>
        </w:rPr>
      </w:pPr>
      <w:r>
        <w:rPr>
          <w:rFonts w:hint="eastAsia"/>
          <w:lang w:val="zh-CN"/>
        </w:rPr>
        <w:t>推进实施干部激励约束机制。落实《南雄市激励干部担当作为的实施意见》《南雄市干部政绩档案管理意见（试行）》，将政绩作为评先评优、选拔任用和考核奖励的重要依据，坚持正确的用人导向，按照人岗相适、人尽其才的原则，精准使用政绩突出的干部，2018年将21名干部列入干部政绩档案管理。强化领导干部监督管理，落实《南雄市市管干部考验性管理意见（试行）》《南雄市市管干部监督信息档案管理意见》，将3名不作为、推动工作不力的领导干部列入考验性管理。建立问题信息共享机制，形成监督合力，全年沟通问题信息86人次。落实“三示三书”制度，对任职时间较长的领导干部下发勤廉提示，对违规持有因私出国（境）证照、未及时报告重大组织事项等情况的领导干部进行提醒或函询，谈话提醒8人次，书面提醒13人次，函询14人次。结合市委工作大督查，深入乡镇街道和市直单位开展领导班子和年轻后备干部考察，坚持知事识人，近距离接触了解干部，为机构改革选人用人提供可靠依据。</w:t>
      </w:r>
    </w:p>
    <w:p w14:paraId="2E7E5027">
      <w:pPr>
        <w:pStyle w:val="4"/>
        <w:bidi w:val="0"/>
        <w:rPr>
          <w:rFonts w:hint="eastAsia"/>
          <w:lang w:val="zh-CN"/>
        </w:rPr>
      </w:pPr>
      <w:r>
        <w:rPr>
          <w:rFonts w:hint="eastAsia"/>
          <w:lang w:val="zh-CN"/>
        </w:rPr>
        <w:t>【人才队伍建设】</w:t>
      </w:r>
    </w:p>
    <w:p w14:paraId="10CD0374">
      <w:pPr>
        <w:bidi w:val="0"/>
        <w:rPr>
          <w:rFonts w:hint="eastAsia"/>
          <w:lang w:val="zh-CN"/>
        </w:rPr>
      </w:pPr>
      <w:r>
        <w:rPr>
          <w:rFonts w:hint="eastAsia"/>
          <w:lang w:val="zh-CN"/>
        </w:rPr>
        <w:t>2018年，修订《南雄市人才工作实施意见》，制定《南雄市乡村振兴人才支持计划》《南雄市急需紧缺人才选拔管理实施意见》《南雄市享受政府特殊津贴人才选拔管理实施意见》《南雄市领导干部联系服务高层次人才工作实施意见》等一系列人才新政，同时实施《南雄市扶持工业企业发展暂行办法》，安排1000万元扶持工业企业发展专项资金，鼓励企业提升科技创新动力；全力推进中科院韩布兴院士南雄工作站建设，实现韶关工业类院士工作站全韶关“零的突破”，推动南雄市产学研合作发展、绿色材料科技创新和高端人才团队聚集，2018年全市企业引进院士工作团队1个，博士5人，硕士20人；推进南雄市人才驿站建设，打造集人才信息交流、创新创业孵化、产学研合作对接、科技成果交流展示、休闲疗养为一体的人才对接、交流、创业平台。拟定《南雄市关于加强高层次人才服务工作实施意见》，为各类人才来南雄创业就业提供“一站式”便捷、高效、贴心服务，吸引各类人才聚集南雄。</w:t>
      </w:r>
    </w:p>
    <w:p w14:paraId="0B0A8248">
      <w:pPr>
        <w:pStyle w:val="4"/>
        <w:bidi w:val="0"/>
        <w:rPr>
          <w:rFonts w:hint="eastAsia"/>
          <w:lang w:val="zh-CN"/>
        </w:rPr>
      </w:pPr>
      <w:r>
        <w:rPr>
          <w:rFonts w:hint="eastAsia"/>
          <w:lang w:val="zh-CN"/>
        </w:rPr>
        <w:t>【自身建设】</w:t>
      </w:r>
    </w:p>
    <w:p w14:paraId="7A707F9F">
      <w:pPr>
        <w:bidi w:val="0"/>
        <w:rPr>
          <w:rFonts w:hint="eastAsia"/>
          <w:lang w:val="zh-CN"/>
        </w:rPr>
      </w:pPr>
      <w:r>
        <w:rPr>
          <w:rFonts w:hint="eastAsia"/>
          <w:lang w:val="zh-CN"/>
        </w:rPr>
        <w:t>坚持把政治建设摆在自身建设首位，通过加强制度建设、作风建设、教育培训，不断提升组织部门服务发展、服务决策、服务落实的“三服务”水平。创新学习形式，开设组工讲堂，在学深悟透、融会贯通上下功夫，全年举办组工讲堂13期，不断加强组工干部党性教育。大抓调查研究，当好参谋助手，复刊《南雄组工通讯》，把深调研与抓落实有效结合起来，全年在中省市级以上媒体刊发文章287篇，其中在中央级媒体21篇，省级媒体98篇，市级媒体168篇。认真开展中央和省委巡视反馈意见整改有关工作，基层组织建设和选人用人方面存在的整改任务基本完成，党的全面领导不断加强，政治生态更加风清气正。（黄历星）</w:t>
      </w:r>
    </w:p>
    <w:p w14:paraId="25C72C3F">
      <w:pPr>
        <w:bidi w:val="0"/>
        <w:ind w:left="0" w:leftChars="0" w:firstLine="0" w:firstLineChars="0"/>
        <w:rPr>
          <w:rFonts w:hint="eastAsia"/>
          <w:b/>
          <w:bCs/>
          <w:lang w:val="zh-CN"/>
        </w:rPr>
      </w:pPr>
      <w:r>
        <w:rPr>
          <w:rFonts w:hint="eastAsia"/>
          <w:b/>
          <w:bCs/>
          <w:lang w:val="zh-CN"/>
        </w:rPr>
        <w:t>附：2018年市委组织部领导班子成员名单</w:t>
      </w:r>
    </w:p>
    <w:p w14:paraId="473A1164">
      <w:pPr>
        <w:bidi w:val="0"/>
        <w:ind w:left="0" w:leftChars="0" w:firstLine="0" w:firstLineChars="0"/>
        <w:rPr>
          <w:rFonts w:hint="eastAsia"/>
          <w:lang w:val="zh-CN"/>
        </w:rPr>
      </w:pPr>
      <w:r>
        <w:rPr>
          <w:rFonts w:hint="eastAsia"/>
          <w:b/>
          <w:bCs/>
          <w:lang w:val="zh-CN"/>
        </w:rPr>
        <w:t>部</w:t>
      </w:r>
      <w:r>
        <w:rPr>
          <w:rFonts w:hint="eastAsia"/>
          <w:b/>
          <w:bCs/>
          <w:lang w:val="en-US" w:eastAsia="zh-CN"/>
        </w:rPr>
        <w:t xml:space="preserve">    </w:t>
      </w:r>
      <w:r>
        <w:rPr>
          <w:rFonts w:hint="eastAsia"/>
          <w:b/>
          <w:bCs/>
          <w:lang w:val="zh-CN"/>
        </w:rPr>
        <w:t>长</w:t>
      </w:r>
      <w:r>
        <w:rPr>
          <w:rFonts w:hint="eastAsia"/>
          <w:lang w:val="zh-CN"/>
        </w:rPr>
        <w:t>：叶济熊（兼任至1月）</w:t>
      </w:r>
    </w:p>
    <w:p w14:paraId="2FF607CC">
      <w:pPr>
        <w:bidi w:val="0"/>
        <w:ind w:left="1050" w:leftChars="500" w:firstLine="0" w:firstLineChars="0"/>
        <w:rPr>
          <w:rFonts w:hint="eastAsia"/>
          <w:lang w:val="zh-CN"/>
        </w:rPr>
      </w:pPr>
      <w:r>
        <w:rPr>
          <w:rFonts w:hint="eastAsia"/>
          <w:lang w:val="zh-CN"/>
        </w:rPr>
        <w:t>林</w:t>
      </w:r>
      <w:r>
        <w:rPr>
          <w:rFonts w:hint="eastAsia"/>
          <w:lang w:val="en-US" w:eastAsia="zh-CN"/>
        </w:rPr>
        <w:t xml:space="preserve">  </w:t>
      </w:r>
      <w:r>
        <w:rPr>
          <w:rFonts w:hint="eastAsia"/>
          <w:lang w:val="zh-CN"/>
        </w:rPr>
        <w:t>军（1月兼任）</w:t>
      </w:r>
    </w:p>
    <w:p w14:paraId="2D642B9E">
      <w:pPr>
        <w:bidi w:val="0"/>
        <w:ind w:left="0" w:leftChars="0" w:firstLine="0" w:firstLineChars="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部</w:t>
      </w:r>
      <w:r>
        <w:rPr>
          <w:rFonts w:hint="eastAsia"/>
          <w:b/>
          <w:bCs/>
          <w:lang w:val="en-US" w:eastAsia="zh-CN"/>
        </w:rPr>
        <w:t xml:space="preserve"> </w:t>
      </w:r>
      <w:r>
        <w:rPr>
          <w:rFonts w:hint="eastAsia"/>
          <w:b/>
          <w:bCs/>
          <w:lang w:val="zh-CN"/>
        </w:rPr>
        <w:t>长：</w:t>
      </w:r>
      <w:r>
        <w:rPr>
          <w:rFonts w:hint="eastAsia"/>
          <w:lang w:val="zh-CN"/>
        </w:rPr>
        <w:t>张相铭</w:t>
      </w:r>
      <w:r>
        <w:rPr>
          <w:rFonts w:hint="eastAsia"/>
          <w:lang w:val="en-US" w:eastAsia="zh-CN"/>
        </w:rPr>
        <w:t xml:space="preserve">   </w:t>
      </w:r>
      <w:r>
        <w:rPr>
          <w:rFonts w:hint="eastAsia"/>
          <w:lang w:val="zh-CN"/>
        </w:rPr>
        <w:t>张祥兰</w:t>
      </w:r>
    </w:p>
    <w:p w14:paraId="733EBEEA">
      <w:pPr>
        <w:bidi w:val="0"/>
        <w:ind w:left="1050" w:leftChars="500" w:firstLine="0" w:firstLineChars="0"/>
        <w:rPr>
          <w:rFonts w:hint="eastAsia"/>
          <w:lang w:val="zh-CN"/>
        </w:rPr>
      </w:pPr>
      <w:r>
        <w:rPr>
          <w:rFonts w:hint="eastAsia"/>
          <w:lang w:val="zh-CN"/>
        </w:rPr>
        <w:t>李天勤</w:t>
      </w:r>
    </w:p>
    <w:p w14:paraId="2CDBC31C">
      <w:pPr>
        <w:bidi w:val="0"/>
        <w:ind w:left="0" w:leftChars="0" w:firstLine="0" w:firstLineChars="0"/>
        <w:rPr>
          <w:rFonts w:hint="eastAsia"/>
          <w:lang w:val="zh-CN"/>
        </w:rPr>
      </w:pPr>
      <w:r>
        <w:rPr>
          <w:rFonts w:hint="eastAsia"/>
          <w:b/>
          <w:bCs/>
          <w:lang w:val="zh-CN"/>
        </w:rPr>
        <w:t>工会主席：</w:t>
      </w:r>
      <w:r>
        <w:rPr>
          <w:rFonts w:hint="eastAsia"/>
          <w:lang w:val="zh-CN"/>
        </w:rPr>
        <w:t>陈亮亮</w:t>
      </w:r>
    </w:p>
    <w:p w14:paraId="002A2536">
      <w:pPr>
        <w:pStyle w:val="3"/>
        <w:bidi w:val="0"/>
        <w:rPr>
          <w:rFonts w:hint="eastAsia"/>
          <w:lang w:val="zh-CN"/>
        </w:rPr>
      </w:pPr>
      <w:r>
        <w:rPr>
          <w:rFonts w:hint="eastAsia"/>
          <w:lang w:val="zh-CN"/>
        </w:rPr>
        <w:t>宣传工作</w:t>
      </w:r>
    </w:p>
    <w:p w14:paraId="7B4A2A5F">
      <w:pPr>
        <w:pStyle w:val="4"/>
        <w:bidi w:val="0"/>
        <w:rPr>
          <w:rFonts w:hint="eastAsia"/>
          <w:lang w:val="zh-CN"/>
        </w:rPr>
      </w:pPr>
      <w:r>
        <w:rPr>
          <w:rFonts w:hint="eastAsia"/>
          <w:lang w:val="zh-CN"/>
        </w:rPr>
        <w:t>【概况】</w:t>
      </w:r>
    </w:p>
    <w:p w14:paraId="066DE486">
      <w:pPr>
        <w:bidi w:val="0"/>
        <w:rPr>
          <w:rFonts w:hint="eastAsia"/>
          <w:lang w:val="zh-CN"/>
        </w:rPr>
      </w:pPr>
      <w:r>
        <w:rPr>
          <w:rFonts w:hint="eastAsia"/>
          <w:lang w:val="zh-CN"/>
        </w:rPr>
        <w:t>宣传部行政编制13名，其中领导职数4名（1正3副），其他干部9名（其中股长职数6名），后勤编制1名，总编制14名。在编在岗13名。内设人秘股、宣传股、理论股、新闻文艺股、文明办、网络舆情股等6个职能股室，市委讲师团在宣传部挂牌。</w:t>
      </w:r>
    </w:p>
    <w:p w14:paraId="6CB179D3">
      <w:pPr>
        <w:pStyle w:val="4"/>
        <w:bidi w:val="0"/>
        <w:rPr>
          <w:rFonts w:hint="eastAsia"/>
          <w:lang w:val="zh-CN"/>
        </w:rPr>
      </w:pPr>
      <w:r>
        <w:rPr>
          <w:rFonts w:hint="eastAsia"/>
          <w:lang w:val="zh-CN"/>
        </w:rPr>
        <w:t>【理论学习】</w:t>
      </w:r>
    </w:p>
    <w:p w14:paraId="5B8CEF21">
      <w:pPr>
        <w:bidi w:val="0"/>
        <w:rPr>
          <w:rFonts w:hint="eastAsia"/>
          <w:lang w:val="zh-CN"/>
        </w:rPr>
      </w:pPr>
      <w:r>
        <w:rPr>
          <w:rFonts w:hint="eastAsia"/>
          <w:lang w:val="zh-CN"/>
        </w:rPr>
        <w:t>以学习宣传贯彻《习近平谈治国理政》第二卷、习近平总书记参加十三届全国人大一次会议广东代表团审议时重要讲话精神、《习近平新时代中国特色社会主义思想三十讲》和习近平总书记视察广东重要讲话精神为重点，深入开展理论学习和宣讲。制定《中共南雄市委理论学习中心组2018年学习计划》，组织26次集中学习，其中专题研讨9次，邀请专家学者作专题辅导10次，市委理论学习中心组成员撰写《习近平谈治国理政》第二卷学习心得体会39篇，习近平</w:t>
      </w:r>
      <w:r>
        <w:rPr>
          <w:rFonts w:hint="eastAsia"/>
          <w:lang w:val="en-US" w:eastAsia="zh-CN"/>
        </w:rPr>
        <w:t>总书记</w:t>
      </w:r>
      <w:r>
        <w:rPr>
          <w:rFonts w:hint="eastAsia"/>
          <w:lang w:val="zh-CN"/>
        </w:rPr>
        <w:t>重要讲话精神学习心得体会13篇，学习《宪法》心得体会13篇，习近平总书记视察广东重要讲话精神心得体会47篇。抽调党校精干讲师组建市委宣讲团，分赴全市各镇（街道）、各单位进行巡回宣讲，举办各类宣讲报告会272场，举办培训班11期。邀请优秀村支书、各行各业典型代表等组建百姓宣讲团，开展百姓宣讲活动29场。邀请专家学者宣讲授课，举办10次专题宣讲报告会。印制发放《习近平总书记重要讲话精神基层学习宣讲提纲》800册、《学习小手册》2.2万册、《习近平总书记在参加十三届全国人大一次会议广东代表团审议时的重要讲话精神学习小手册》8000册，为广大干部全面准确把握习近平新时代中国特色社会主义思想提供便利条件，帮助广大党员干部深入理解掌握习近平新时代中国特色社会主义思想。</w:t>
      </w:r>
    </w:p>
    <w:p w14:paraId="60AFBAA0">
      <w:pPr>
        <w:pStyle w:val="4"/>
        <w:bidi w:val="0"/>
        <w:rPr>
          <w:rFonts w:hint="eastAsia"/>
          <w:lang w:val="zh-CN"/>
        </w:rPr>
      </w:pPr>
      <w:r>
        <w:rPr>
          <w:rFonts w:hint="eastAsia"/>
          <w:lang w:val="zh-CN"/>
        </w:rPr>
        <w:t>【舆论宣传】</w:t>
      </w:r>
    </w:p>
    <w:p w14:paraId="4A5CBFE9">
      <w:pPr>
        <w:bidi w:val="0"/>
        <w:rPr>
          <w:rFonts w:hint="eastAsia"/>
          <w:lang w:val="zh-CN"/>
        </w:rPr>
      </w:pPr>
      <w:r>
        <w:rPr>
          <w:rFonts w:hint="eastAsia"/>
          <w:lang w:val="zh-CN"/>
        </w:rPr>
        <w:t>紧紧围绕市委、市政府“打苏区牌、走生态路，主动融入珠三角，加快建设粤北门户城市”的总体思路，持续强化正面宣传。2018年中央、广东省、韶关市各级主流媒体报道南雄市重点稿件1701条，市广播电台、电视台分别播出稿件2911条和2214条，上送韶关广播电台和电视台播出数为467条和602条，新开设《法治在线》《恐龙之声》等行业专栏，制作播出栏目51期，新开辟《学习贯彻十九大精神》《新时代的奋斗者》《建设美丽乡村》《学习贯彻落实习近平总书记重要讲话精神》等新闻专栏9个，制作播出新闻576条。完成12期《韶关日报·重点（南雄专版）》和《韶关日报（南雄新闻）》组稿、编辑、出版工作。</w:t>
      </w:r>
    </w:p>
    <w:p w14:paraId="5FE73319">
      <w:pPr>
        <w:bidi w:val="0"/>
        <w:rPr>
          <w:rFonts w:hint="eastAsia"/>
          <w:lang w:val="zh-CN"/>
        </w:rPr>
      </w:pPr>
      <w:r>
        <w:rPr>
          <w:rFonts w:hint="eastAsia"/>
          <w:lang w:val="zh-CN"/>
        </w:rPr>
        <w:t>积极与中央、广东省和韶关市等主流媒体沟通对接，接待前来南雄采访报道媒体130余批次。其中，珠玑镇灵潭村的扶贫经验和乡村蝶变分别在中央电视台一套《新闻联播》和《焦点访谈》栏目播出，引起强烈社会反响。同时，配合中央电视台《中国影像方志》栏目组拍摄大型系列纪录片《中国影像方志·南雄篇》；配合中央电视台（广东记者站）拍摄粤北秋色；配合广东电视台《城事特搜》拍摄水口镇民俗文化表演节目；配合深圳电视台摄制组拍摄韶关文化形象宣传片《见韶光·知静好》；配合南方杂志社拍摄《红旗耀雄州》等。在广东省第九届老健会开幕式上，邀请近20家媒体前来宣传报道，并和网易公司合作，对开幕式全程进行网络直播，在线观看人数达24万人次，取得良好宣传效果。</w:t>
      </w:r>
    </w:p>
    <w:p w14:paraId="3703C911">
      <w:pPr>
        <w:bidi w:val="0"/>
        <w:rPr>
          <w:rFonts w:hint="eastAsia"/>
          <w:lang w:val="zh-CN"/>
        </w:rPr>
      </w:pPr>
      <w:r>
        <w:rPr>
          <w:rFonts w:hint="eastAsia"/>
          <w:lang w:val="zh-CN"/>
        </w:rPr>
        <w:t>营造浓厚社会氛围。利用道旗广告、宣传栏、阅报栏等载体，制作各类宣传栏682块，制作宣传画942幅，使用宣传标语7689条。</w:t>
      </w:r>
    </w:p>
    <w:p w14:paraId="71CE3BFC">
      <w:pPr>
        <w:bidi w:val="0"/>
        <w:rPr>
          <w:rFonts w:hint="eastAsia"/>
          <w:vertAlign w:val="baseline"/>
          <w:lang w:val="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2238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ABDB09C">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79820" cy="3737610"/>
                  <wp:effectExtent l="0" t="0" r="11430" b="15240"/>
                  <wp:docPr id="94" name="图片 94" descr="南雄年鉴2019_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南雄年鉴2019_0071"/>
                          <pic:cNvPicPr>
                            <a:picLocks noChangeAspect="1"/>
                          </pic:cNvPicPr>
                        </pic:nvPicPr>
                        <pic:blipFill>
                          <a:blip r:embed="rId83"/>
                          <a:stretch>
                            <a:fillRect/>
                          </a:stretch>
                        </pic:blipFill>
                        <pic:spPr>
                          <a:xfrm>
                            <a:off x="0" y="0"/>
                            <a:ext cx="6179820" cy="3737610"/>
                          </a:xfrm>
                          <a:prstGeom prst="rect">
                            <a:avLst/>
                          </a:prstGeom>
                        </pic:spPr>
                      </pic:pic>
                    </a:graphicData>
                  </a:graphic>
                </wp:inline>
              </w:drawing>
            </w:r>
          </w:p>
        </w:tc>
      </w:tr>
      <w:tr w14:paraId="67C52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AEE6DA7">
            <w:pPr>
              <w:bidi w:val="0"/>
              <w:rPr>
                <w:rFonts w:hint="eastAsia"/>
                <w:vertAlign w:val="baseline"/>
                <w:lang w:val="zh-CN"/>
              </w:rPr>
            </w:pPr>
            <w:r>
              <w:rPr>
                <w:rFonts w:hint="eastAsia"/>
              </w:rPr>
              <w:t>10月9日，南雄市珠玑巷广府人家训馆正式开馆（蔡仁银、董子龙</w:t>
            </w:r>
            <w:r>
              <w:rPr>
                <w:rFonts w:hint="eastAsia"/>
                <w:lang w:val="en-US" w:eastAsia="zh-CN"/>
              </w:rPr>
              <w:t xml:space="preserve">  </w:t>
            </w:r>
            <w:r>
              <w:rPr>
                <w:rFonts w:hint="eastAsia"/>
              </w:rPr>
              <w:t>摄）</w:t>
            </w:r>
          </w:p>
        </w:tc>
      </w:tr>
    </w:tbl>
    <w:p w14:paraId="4E4905F9">
      <w:pPr>
        <w:pStyle w:val="4"/>
        <w:bidi w:val="0"/>
        <w:rPr>
          <w:rFonts w:hint="eastAsia"/>
          <w:lang w:val="zh-CN"/>
        </w:rPr>
      </w:pPr>
      <w:r>
        <w:rPr>
          <w:rFonts w:hint="eastAsia"/>
          <w:lang w:val="zh-CN"/>
        </w:rPr>
        <w:t>【意识形态工作】</w:t>
      </w:r>
    </w:p>
    <w:p w14:paraId="04413D3A">
      <w:pPr>
        <w:bidi w:val="0"/>
        <w:rPr>
          <w:rFonts w:hint="eastAsia"/>
          <w:lang w:val="zh-CN"/>
        </w:rPr>
      </w:pPr>
      <w:r>
        <w:rPr>
          <w:rFonts w:hint="eastAsia"/>
          <w:lang w:val="zh-CN"/>
        </w:rPr>
        <w:t>完成广东省委巡视组关于意识形态工作巡视任务。</w:t>
      </w:r>
    </w:p>
    <w:p w14:paraId="306AB795">
      <w:pPr>
        <w:bidi w:val="0"/>
        <w:rPr>
          <w:rFonts w:hint="eastAsia"/>
          <w:lang w:val="zh-CN"/>
        </w:rPr>
      </w:pPr>
      <w:r>
        <w:rPr>
          <w:rFonts w:hint="eastAsia"/>
          <w:lang w:val="zh-CN"/>
        </w:rPr>
        <w:t>实施意识形态网格化三级管理；建立健全意识形态工作例会制度；认真开展意识形态巡察工作；认真做好网络舆情管控工作；全力做好重要节点舆情应对工作。</w:t>
      </w:r>
    </w:p>
    <w:p w14:paraId="1C3C6B07">
      <w:pPr>
        <w:pStyle w:val="4"/>
        <w:bidi w:val="0"/>
        <w:rPr>
          <w:rFonts w:hint="eastAsia"/>
          <w:lang w:val="zh-CN"/>
        </w:rPr>
      </w:pPr>
      <w:r>
        <w:rPr>
          <w:rFonts w:hint="eastAsia"/>
          <w:lang w:val="zh-CN"/>
        </w:rPr>
        <w:t>【精神文明建设】</w:t>
      </w:r>
    </w:p>
    <w:p w14:paraId="6CF75002">
      <w:pPr>
        <w:bidi w:val="0"/>
        <w:rPr>
          <w:rFonts w:hint="eastAsia"/>
          <w:lang w:val="zh-CN"/>
        </w:rPr>
      </w:pPr>
      <w:r>
        <w:rPr>
          <w:rFonts w:hint="eastAsia"/>
          <w:lang w:val="zh-CN"/>
        </w:rPr>
        <w:t>大力培育和践行社会主义核心价值观，加强全民思想道德建设，深入拓展群众性精神文明创建活动，市民文明素质和城市文明形象得到进一步提升，以韶关各县（市）排名第一的成绩，通过2018年文明城市创建及未成年人思想道德建设年度测评。</w:t>
      </w:r>
    </w:p>
    <w:p w14:paraId="266AE85E">
      <w:pPr>
        <w:bidi w:val="0"/>
        <w:rPr>
          <w:rFonts w:hint="eastAsia"/>
          <w:lang w:val="zh-CN"/>
        </w:rPr>
      </w:pPr>
      <w:r>
        <w:rPr>
          <w:rFonts w:hint="eastAsia"/>
          <w:lang w:val="zh-CN"/>
        </w:rPr>
        <w:t>依托电视台、政府网站、政务微博、微信公众号等媒介以及各类宣传栏、电子屏幕、户外广告等载体，加大社会主义核心价值观和公益广告宣传力度，将社会主义核心价值观这条主线始终贯穿于精神文明建设的全过程。</w:t>
      </w:r>
    </w:p>
    <w:p w14:paraId="6C5C8F1B">
      <w:pPr>
        <w:bidi w:val="0"/>
        <w:rPr>
          <w:rFonts w:hint="eastAsia"/>
          <w:lang w:val="zh-CN"/>
        </w:rPr>
      </w:pPr>
      <w:r>
        <w:rPr>
          <w:rFonts w:hint="eastAsia"/>
          <w:lang w:val="zh-CN"/>
        </w:rPr>
        <w:t>全市建成新时代文明实践中心、所、站58个，组建由道德模范、身边好人、工作能手、文化能人等组成的文明实践志愿服务队伍75支，志愿者420多人，开展文明实践活动78次，教育服务群众2300多人。</w:t>
      </w:r>
    </w:p>
    <w:p w14:paraId="4F782182">
      <w:pPr>
        <w:bidi w:val="0"/>
        <w:rPr>
          <w:rFonts w:hint="eastAsia"/>
          <w:lang w:val="zh-CN"/>
        </w:rPr>
      </w:pPr>
      <w:r>
        <w:rPr>
          <w:rFonts w:hint="eastAsia"/>
          <w:lang w:val="zh-CN"/>
        </w:rPr>
        <w:t>启动“南雄好人”推荐评选活动，每季度评选一次“南雄好人”，全年评选出21位“南雄好人”，其中黄金妹、黄学波、刘绪昌、马水兰和黄树材等5人获得“韶关好人”荣誉称号，黎灿学校的马水兰老师还被提名为“广东好人”。举行“南雄好人”名单发布仪式，加大身边好人、道德模范的宣传推广力度，在全社会营造“人人知晓道德模范、学习道德模范、争当道德模范”的良好氛围。</w:t>
      </w:r>
    </w:p>
    <w:p w14:paraId="673C7A97">
      <w:pPr>
        <w:bidi w:val="0"/>
        <w:rPr>
          <w:rFonts w:hint="eastAsia"/>
          <w:lang w:val="zh-CN"/>
        </w:rPr>
      </w:pPr>
      <w:r>
        <w:rPr>
          <w:rFonts w:hint="eastAsia"/>
          <w:lang w:val="zh-CN"/>
        </w:rPr>
        <w:t>坚持城乡统筹、县镇村联创，深入推进文明单位、文明镇村、文明校园创建。申报全国级文明单位1个、省级文明单位5个、韶关市级文明单位5个、韶关市级文明示范窗口1个、韶关市级文明镇3个、韶关市级文明社区1个、韶关市级文明村25个；成功创建“南雄市文明校园”7所，其中南雄市第一中学、南雄市中等职业学校、珠玑中学、油山小学、南雄市第一小学、主田莲花小学等6所学校荣获“韶关市文明校园”称号。2018年，南雄市有省级文明单位2个，韶关市级文明单位14个；全国文明镇1个、省级文明镇村4个、韶关市级文明镇村23个、南雄市文明镇村108个；韶关市文明校园14所、南雄市文明校园15所。</w:t>
      </w:r>
    </w:p>
    <w:p w14:paraId="19C70795">
      <w:pPr>
        <w:bidi w:val="0"/>
        <w:rPr>
          <w:rFonts w:hint="eastAsia"/>
          <w:lang w:val="zh-CN"/>
        </w:rPr>
      </w:pPr>
      <w:r>
        <w:rPr>
          <w:rFonts w:hint="eastAsia"/>
          <w:lang w:val="zh-CN"/>
        </w:rPr>
        <w:t>深化中心城区“街长制”网格化管理，29个网格实行定人定点定责分管共治。片区管理人员对负责区域和路段中的环境卫生、公共秩序、公益宣传等情况进行整治、巡查和监督，市文明办加强对片区的督导检查，不断提升城市精细化管理水平。“街长制”网格化管理综合执法组牵头，整合公安、城管、交通、市场监管等部门开展市容专项整治行动，整治乱贴乱涂乱画“牛皮癣”、随意倾倒建筑垃圾等城市管理顽疾。同时，在城区、镇村、学校、景区推进城乡“厕所革命”，新（改）建文明公厕376间，超额完成300座城乡厕所建设任务，促进群众生活品质进一步提高。</w:t>
      </w:r>
    </w:p>
    <w:p w14:paraId="100D13D3">
      <w:pPr>
        <w:bidi w:val="0"/>
        <w:rPr>
          <w:rFonts w:hint="eastAsia"/>
          <w:lang w:val="zh-CN"/>
        </w:rPr>
      </w:pPr>
      <w:r>
        <w:rPr>
          <w:rFonts w:hint="eastAsia"/>
          <w:lang w:val="zh-CN"/>
        </w:rPr>
        <w:t>全面开展乡风文明提升行动，修订符合村情民意的村规民约，如珠玑镇角湾村、乌迳镇黄洞村、古市镇丰源村和帽子峰镇河背村，结合村情实际制定村规民约，并广泛征求群众意见，设立道德“红黑榜”，严格执行奖惩措施，有效规范村民日常行为，加快推进美丽新农村建设，逐步实现村民自治管理。由党群理事会牵头成立村（社区）红白理事会，负责指导监督本村（社区）婚丧喜庆事宜，带动树立喜事新办、丧事简办、厚养薄葬的文明新风，推动移风易俗。组建村级志愿服务队，定期组织本村党员干部志愿者常态化开展关爱留守儿童、空巢老人等志愿服务活动。</w:t>
      </w:r>
    </w:p>
    <w:p w14:paraId="4CC1ECC8">
      <w:pPr>
        <w:pStyle w:val="4"/>
        <w:bidi w:val="0"/>
        <w:rPr>
          <w:rFonts w:hint="eastAsia"/>
          <w:lang w:val="zh-CN"/>
        </w:rPr>
      </w:pPr>
      <w:r>
        <w:rPr>
          <w:rFonts w:hint="eastAsia"/>
          <w:lang w:val="zh-CN"/>
        </w:rPr>
        <w:t>【公共文化服务体系建设】</w:t>
      </w:r>
    </w:p>
    <w:p w14:paraId="2CC71A9D">
      <w:pPr>
        <w:bidi w:val="0"/>
        <w:rPr>
          <w:rFonts w:hint="eastAsia"/>
          <w:lang w:val="zh-CN"/>
        </w:rPr>
      </w:pPr>
      <w:r>
        <w:rPr>
          <w:rFonts w:hint="eastAsia"/>
          <w:lang w:val="zh-CN"/>
        </w:rPr>
        <w:t>2018年完成全市所有行政村（社区）综合性文化服务中心全覆盖建设任务；珠玑巷广府人家训馆于10月9日揭幕开馆，市图书馆完成主体工程建设。开展送戏下乡巡演50余场；定期开展送电影下乡活动2400余场；举办南雄市第二届舞动新时代舞蹈大赛、南雄市第十届群众歌咏比赛等群众性文化活动，开展“同根同源同梦，爱国爱乡爱家”书画展等系列文化展览活动，流动展出35场，全年观众达15万人次；市图书馆全年接待各类读者22.86万人次，外借图书达12.05万册次。</w:t>
      </w:r>
    </w:p>
    <w:p w14:paraId="5606EF0A">
      <w:pPr>
        <w:bidi w:val="0"/>
        <w:rPr>
          <w:rFonts w:hint="eastAsia"/>
          <w:lang w:val="zh-CN"/>
        </w:rPr>
      </w:pPr>
      <w:r>
        <w:rPr>
          <w:rFonts w:hint="eastAsia"/>
          <w:lang w:val="zh-CN"/>
        </w:rPr>
        <w:t>精心创作一批艺术作品。其中，小品《老班长考婿》获广东省群众文艺作品小品评选戏剧类二等奖，音乐《珠玑情》获广东省群众文艺作品小品评选音乐类三等奖；非遗项目“灯舞（茶花灯）”公布为广东省第七批省级非遗代表性项目名录，《萧统太子的祭祀》公布为韶关市第七批市级非遗项目名录；自创阅读品牌活动“莎莎姐姐讲故事”2017年、2018年连续两年荣获韶关“优秀阅读项目”荣誉称号。</w:t>
      </w:r>
    </w:p>
    <w:p w14:paraId="7E88BE87">
      <w:pPr>
        <w:bidi w:val="0"/>
        <w:rPr>
          <w:rFonts w:hint="eastAsia"/>
          <w:lang w:val="zh-CN"/>
        </w:rPr>
      </w:pPr>
      <w:r>
        <w:rPr>
          <w:rFonts w:hint="eastAsia"/>
          <w:lang w:val="zh-CN"/>
        </w:rPr>
        <w:t>强化日常巡查，全面加强文化市场监管。出动执法人员2184人次，检查网吧98家次、书店145家次、印刷企业124家次、游戏机室10家次、歌舞娱乐场所60家次、文物保护单位108家次。联合公安、市场监管、城管等相关部门查处无证经营和侵权盗版行为，查缴盗版姓氏图书500余册，收缴盗版教辅资料300余册，取缔无证经营地摊3户，办理歌舞娱乐场所行政案件1宗。</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F66A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24C7C7B">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79820" cy="3749040"/>
                  <wp:effectExtent l="0" t="0" r="11430" b="3810"/>
                  <wp:docPr id="95" name="图片 95" descr="南雄年鉴2019_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南雄年鉴2019_0072"/>
                          <pic:cNvPicPr>
                            <a:picLocks noChangeAspect="1"/>
                          </pic:cNvPicPr>
                        </pic:nvPicPr>
                        <pic:blipFill>
                          <a:blip r:embed="rId84"/>
                          <a:stretch>
                            <a:fillRect/>
                          </a:stretch>
                        </pic:blipFill>
                        <pic:spPr>
                          <a:xfrm>
                            <a:off x="0" y="0"/>
                            <a:ext cx="6179820" cy="3749040"/>
                          </a:xfrm>
                          <a:prstGeom prst="rect">
                            <a:avLst/>
                          </a:prstGeom>
                        </pic:spPr>
                      </pic:pic>
                    </a:graphicData>
                  </a:graphic>
                </wp:inline>
              </w:drawing>
            </w:r>
          </w:p>
        </w:tc>
      </w:tr>
      <w:tr w14:paraId="1C00D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4E5337A">
            <w:pPr>
              <w:bidi w:val="0"/>
              <w:rPr>
                <w:rFonts w:hint="eastAsia"/>
                <w:vertAlign w:val="baseline"/>
                <w:lang w:val="zh-CN"/>
              </w:rPr>
            </w:pPr>
            <w:r>
              <w:rPr>
                <w:rFonts w:hint="eastAsia" w:ascii="FZKTK--GBK1-0" w:hAnsi="FZKTK--GBK1-0" w:eastAsia="FZKTK--GBK1-0"/>
                <w:color w:val="000000"/>
                <w:sz w:val="20"/>
              </w:rPr>
              <w:t>11月30日，广东</w:t>
            </w:r>
            <w:r>
              <w:rPr>
                <w:rFonts w:hint="eastAsia" w:ascii="FZKTK--GBK1-0" w:hAnsi="FZKTK--GBK1-0" w:eastAsia="FZKTK--GBK1-0"/>
                <w:color w:val="000000"/>
                <w:sz w:val="20"/>
                <w:lang w:val="en-US" w:eastAsia="zh-CN"/>
              </w:rPr>
              <w:t>省</w:t>
            </w:r>
            <w:r>
              <w:rPr>
                <w:rFonts w:hint="eastAsia" w:ascii="FZKTK--GBK1-0" w:hAnsi="FZKTK--GBK1-0" w:eastAsia="FZKTK--GBK1-0"/>
                <w:color w:val="000000"/>
                <w:sz w:val="20"/>
              </w:rPr>
              <w:t>庆祝改革开放40周年宣讲报告会南雄专场活动</w:t>
            </w:r>
            <w:r>
              <w:rPr>
                <w:rFonts w:hint="eastAsia" w:ascii="FZKTK--GBK1-0" w:hAnsi="FZKTK--GBK1-0" w:eastAsia="FZKTK--GBK1-0"/>
                <w:color w:val="000000"/>
                <w:sz w:val="20"/>
                <w:lang w:val="en-US" w:eastAsia="zh-CN"/>
              </w:rPr>
              <w:t>拉开</w:t>
            </w:r>
            <w:r>
              <w:rPr>
                <w:rFonts w:hint="eastAsia" w:ascii="FZKTK--GBK1-0" w:hAnsi="FZKTK--GBK1-0" w:eastAsia="FZKTK--GBK1-0"/>
                <w:color w:val="000000"/>
                <w:sz w:val="20"/>
              </w:rPr>
              <w:t>序</w:t>
            </w:r>
            <w:r>
              <w:rPr>
                <w:rFonts w:hint="eastAsia" w:ascii="FZKTK--GBK1-0" w:hAnsi="FZKTK--GBK1-0" w:eastAsia="FZKTK--GBK1-0"/>
                <w:color w:val="000000"/>
                <w:sz w:val="20"/>
                <w:lang w:val="en-US" w:eastAsia="zh-CN"/>
              </w:rPr>
              <w:t>幕</w:t>
            </w:r>
            <w:r>
              <w:rPr>
                <w:rFonts w:hint="eastAsia" w:ascii="FZKTK--GBK1-0" w:hAnsi="FZKTK--GBK1-0" w:eastAsia="FZKTK--GBK1-0"/>
                <w:color w:val="000000"/>
                <w:sz w:val="20"/>
              </w:rPr>
              <w:t>（董子龙、吴香梅</w:t>
            </w:r>
            <w:r>
              <w:rPr>
                <w:rFonts w:hint="eastAsia" w:ascii="FZKTK--GBK1-0" w:hAnsi="FZKTK--GBK1-0" w:eastAsia="FZKTK--GBK1-0"/>
                <w:color w:val="000000"/>
                <w:sz w:val="20"/>
                <w:lang w:val="en-US" w:eastAsia="zh-CN"/>
              </w:rPr>
              <w:t xml:space="preserve">  </w:t>
            </w:r>
            <w:r>
              <w:rPr>
                <w:rFonts w:hint="eastAsia" w:ascii="FZKTK--GBK1-0" w:hAnsi="FZKTK--GBK1-0" w:eastAsia="FZKTK--GBK1-0"/>
                <w:color w:val="000000"/>
                <w:sz w:val="20"/>
              </w:rPr>
              <w:t>摄）</w:t>
            </w:r>
          </w:p>
        </w:tc>
      </w:tr>
    </w:tbl>
    <w:p w14:paraId="34AF888A">
      <w:pPr>
        <w:pStyle w:val="4"/>
        <w:bidi w:val="0"/>
        <w:rPr>
          <w:rFonts w:hint="eastAsia"/>
          <w:lang w:val="zh-CN"/>
        </w:rPr>
      </w:pPr>
      <w:r>
        <w:rPr>
          <w:rFonts w:hint="eastAsia"/>
          <w:lang w:val="zh-CN"/>
        </w:rPr>
        <w:t>【重点工作】</w:t>
      </w:r>
    </w:p>
    <w:p w14:paraId="56C805C5">
      <w:pPr>
        <w:bidi w:val="0"/>
        <w:rPr>
          <w:rFonts w:hint="eastAsia"/>
          <w:lang w:val="zh-CN"/>
        </w:rPr>
      </w:pPr>
      <w:r>
        <w:rPr>
          <w:rFonts w:hint="eastAsia"/>
          <w:lang w:val="zh-CN"/>
        </w:rPr>
        <w:t>组织相关单位、专家学者对珠玑姓氏文化进行挖掘、收集和整理，形成《珠玑九章》初稿，印发《关于进一步深化“街长制”网格化管理的通知》。完成施工建设社会主义核心价值观主题公园建设及广府人家训馆建设，投入600多万元，高标准打造广府人家训馆，集中展示珠玑巷183个姓氏的姓氏源流、迁徙历史、家风家训和部分全国、省、市道德模范典型事迹，举办“家风家训”主题活动600多场，引导市民传承好家训，严立家规，发扬优良家风。</w:t>
      </w:r>
    </w:p>
    <w:p w14:paraId="3EDFEE39">
      <w:pPr>
        <w:bidi w:val="0"/>
        <w:jc w:val="right"/>
        <w:rPr>
          <w:rFonts w:hint="eastAsia"/>
          <w:b/>
          <w:bCs/>
          <w:lang w:val="zh-CN"/>
        </w:rPr>
      </w:pPr>
      <w:r>
        <w:rPr>
          <w:rFonts w:hint="eastAsia"/>
          <w:b/>
          <w:bCs/>
          <w:lang w:val="zh-CN"/>
        </w:rPr>
        <w:t>（钟珍珍）</w:t>
      </w:r>
    </w:p>
    <w:p w14:paraId="76F3D594">
      <w:pPr>
        <w:bidi w:val="0"/>
        <w:ind w:left="0" w:leftChars="0" w:firstLine="0" w:firstLineChars="0"/>
        <w:rPr>
          <w:rFonts w:hint="eastAsia"/>
          <w:b/>
          <w:bCs/>
          <w:lang w:val="zh-CN"/>
        </w:rPr>
      </w:pPr>
      <w:r>
        <w:rPr>
          <w:rFonts w:hint="eastAsia"/>
          <w:b/>
          <w:bCs/>
          <w:lang w:val="zh-CN"/>
        </w:rPr>
        <w:t>附：2018年市委宣传部领导班子成员名单</w:t>
      </w:r>
    </w:p>
    <w:p w14:paraId="35772AFE">
      <w:pPr>
        <w:bidi w:val="0"/>
        <w:ind w:left="0" w:leftChars="0" w:firstLine="0" w:firstLineChars="0"/>
        <w:rPr>
          <w:rFonts w:hint="eastAsia"/>
          <w:lang w:val="zh-CN"/>
        </w:rPr>
      </w:pPr>
      <w:r>
        <w:rPr>
          <w:rFonts w:hint="eastAsia"/>
          <w:b/>
          <w:bCs/>
          <w:lang w:val="zh-CN"/>
        </w:rPr>
        <w:t>部</w:t>
      </w:r>
      <w:r>
        <w:rPr>
          <w:rFonts w:hint="eastAsia"/>
          <w:b/>
          <w:bCs/>
          <w:lang w:val="en-US" w:eastAsia="zh-CN"/>
        </w:rPr>
        <w:t xml:space="preserve">  </w:t>
      </w:r>
      <w:r>
        <w:rPr>
          <w:rFonts w:hint="eastAsia"/>
          <w:b/>
          <w:bCs/>
          <w:lang w:val="zh-CN"/>
        </w:rPr>
        <w:t>长：</w:t>
      </w:r>
      <w:r>
        <w:rPr>
          <w:rFonts w:hint="eastAsia"/>
          <w:lang w:val="zh-CN"/>
        </w:rPr>
        <w:t>温春花（兼）</w:t>
      </w:r>
    </w:p>
    <w:p w14:paraId="02B7715B">
      <w:pPr>
        <w:bidi w:val="0"/>
        <w:ind w:left="0" w:leftChars="0" w:firstLine="0" w:firstLineChars="0"/>
        <w:rPr>
          <w:rFonts w:hint="eastAsia"/>
          <w:lang w:val="zh-CN"/>
        </w:rPr>
      </w:pPr>
      <w:r>
        <w:rPr>
          <w:rFonts w:hint="eastAsia"/>
          <w:b/>
          <w:bCs/>
          <w:lang w:val="zh-CN"/>
        </w:rPr>
        <w:t>副部长：</w:t>
      </w:r>
      <w:r>
        <w:rPr>
          <w:rFonts w:hint="eastAsia"/>
          <w:lang w:val="zh-CN"/>
        </w:rPr>
        <w:t>肖兴麟（任至2月）</w:t>
      </w:r>
    </w:p>
    <w:p w14:paraId="1C106459">
      <w:pPr>
        <w:bidi w:val="0"/>
        <w:ind w:left="840" w:leftChars="400" w:firstLine="0" w:firstLineChars="0"/>
        <w:rPr>
          <w:rFonts w:hint="eastAsia"/>
          <w:lang w:val="zh-CN"/>
        </w:rPr>
      </w:pPr>
      <w:r>
        <w:rPr>
          <w:rFonts w:hint="eastAsia"/>
          <w:lang w:val="zh-CN"/>
        </w:rPr>
        <w:t>周宏忠</w:t>
      </w:r>
      <w:r>
        <w:rPr>
          <w:rFonts w:hint="eastAsia"/>
          <w:lang w:val="en-US" w:eastAsia="zh-CN"/>
        </w:rPr>
        <w:t xml:space="preserve">  </w:t>
      </w:r>
      <w:r>
        <w:rPr>
          <w:rFonts w:hint="eastAsia"/>
          <w:lang w:val="zh-CN"/>
        </w:rPr>
        <w:t>叶世明</w:t>
      </w:r>
    </w:p>
    <w:p w14:paraId="04BAC5B4">
      <w:pPr>
        <w:bidi w:val="0"/>
        <w:ind w:left="840" w:leftChars="400" w:firstLine="0" w:firstLineChars="0"/>
        <w:rPr>
          <w:rFonts w:hint="eastAsia"/>
          <w:lang w:val="zh-CN"/>
        </w:rPr>
      </w:pPr>
      <w:r>
        <w:rPr>
          <w:rFonts w:hint="eastAsia"/>
          <w:lang w:val="zh-CN"/>
        </w:rPr>
        <w:t>林庆庆（3月任职）</w:t>
      </w:r>
    </w:p>
    <w:p w14:paraId="24EE4A7F">
      <w:pPr>
        <w:pStyle w:val="3"/>
        <w:bidi w:val="0"/>
        <w:rPr>
          <w:rFonts w:hint="eastAsia"/>
          <w:lang w:val="zh-CN"/>
        </w:rPr>
      </w:pPr>
      <w:r>
        <w:rPr>
          <w:rFonts w:hint="eastAsia"/>
          <w:lang w:val="zh-CN"/>
        </w:rPr>
        <w:t>统战工作</w:t>
      </w:r>
    </w:p>
    <w:p w14:paraId="6A6E8560">
      <w:pPr>
        <w:pStyle w:val="4"/>
        <w:bidi w:val="0"/>
        <w:rPr>
          <w:rFonts w:hint="eastAsia"/>
          <w:lang w:val="zh-CN"/>
        </w:rPr>
      </w:pPr>
      <w:r>
        <w:rPr>
          <w:rFonts w:hint="eastAsia"/>
          <w:lang w:val="zh-CN"/>
        </w:rPr>
        <w:t>【概况】</w:t>
      </w:r>
    </w:p>
    <w:p w14:paraId="0AC7CDE5">
      <w:pPr>
        <w:bidi w:val="0"/>
        <w:rPr>
          <w:rFonts w:hint="eastAsia"/>
          <w:lang w:val="zh-CN"/>
        </w:rPr>
      </w:pPr>
      <w:r>
        <w:rPr>
          <w:rFonts w:hint="eastAsia"/>
          <w:lang w:val="zh-CN"/>
        </w:rPr>
        <w:t>中共南雄市委统战部是主管统一战线工作的职能部门。机构改革后，统战部下设办公室、对台工作办公室2个股室，设部长1人，副部长3人。工商联、侨联、民族宗教事务局与统战部合署办公。行政编制12人，工勤编制1人，社会购买服务1人，机构改革后对台办为统战部内设机构，对外挂牌。现有民主党派3个，即民革南雄市总支部、民盟南雄市总支部、九三学社南雄市支社，2015年11月成立无党派知识分子联谊会。少数民族6575人，散居在全市17个镇（街道）47个行政村，主要是畲族，姓氏为雷姓和蓝姓，是全省三个较大的散居少数民族县（市）之一。工商联有会员350人，5个行业商会，1个家居建材装饰协会，21个会员企业建立党支部，4家民营企业成立“关心下一代工作委员会”。有华侨华人57人，侨眷1137人，归侨7人。现落户南雄的侨资企业有康绿宝（南雄）科技园；有台商企业2家，即南雄元升农业科技有限公司和广东清景旅游开发有限公司。</w:t>
      </w:r>
    </w:p>
    <w:p w14:paraId="30C508A8">
      <w:pPr>
        <w:pStyle w:val="4"/>
        <w:bidi w:val="0"/>
        <w:rPr>
          <w:rFonts w:hint="eastAsia"/>
          <w:lang w:val="zh-CN"/>
        </w:rPr>
      </w:pPr>
      <w:r>
        <w:rPr>
          <w:rFonts w:hint="eastAsia"/>
          <w:lang w:val="zh-CN"/>
        </w:rPr>
        <w:t>【夯实统战工作】</w:t>
      </w:r>
    </w:p>
    <w:p w14:paraId="01BF6FDA">
      <w:pPr>
        <w:bidi w:val="0"/>
        <w:rPr>
          <w:rFonts w:hint="eastAsia"/>
          <w:lang w:val="zh-CN"/>
        </w:rPr>
      </w:pPr>
      <w:r>
        <w:rPr>
          <w:rFonts w:hint="eastAsia"/>
          <w:lang w:val="zh-CN"/>
        </w:rPr>
        <w:t>抓好统战部党支部建设和工商联党组建设，切实抓好与人有关、与制度机制有关、与作风纪律有关、与促进各项工作有关的“四个有关”党建工作，组织党员干部到扶贫村主田镇窑合村等开展扶贫和党日活动。深入学习贯彻习近平新时代中国特色社会主义思想和党的十九大精神。先后组织召开全体干部职工大会、党支部大会以及全市统战系统专题辅导会等各类学习会、研讨班43场；要求全市各民主党派、无党派人士、非公经济人士、侨胞侨眷代表人士等增强四个意识，以习近平总书记视察广东重要讲话精神为指引，推动南雄统战工作进入新阶段。进一步深化大统战工作格局。先后组织召开全市统战工作会议、全市基层统战工作会议和全市镇（街）商会筹建工作座谈会，要求全市各级党组织和党务部门要牢固树立大统战工作理念，各镇（街）党（工）委要建立完善镇村统战架构，筹建镇（街）商会，广泛凝聚杰出乡贤力量，积极开展奖教奖学、扶贫助残、基础建设、人才孵化、产业扶持等方方面面的活动。认真落实意识形态工作责任制和保密工作责任制，教育引导广大党员干部旗帜鲜明讲政治，筑牢信仰之基、补足精神之钙、把稳思想之舵。认真落实整改中央、省委巡视反馈意见，对照任务清单，制定《中共南雄市委统战部（含民宗局、工商联、侨联）关于中央、省委第十二巡视组反馈意见整改落实方案》，并制定中央、省委第十二巡视组反馈意见整改落实工作问题清单、责任清单、任务清单和整改台账，将责任层层分解。同时成立中央、省委巡视组巡视反馈意见整改落实工作领导小组，由市委常委、统战部长陈志光任组长，负责统筹抓好整改落实工作。</w:t>
      </w:r>
    </w:p>
    <w:p w14:paraId="6966B8C8">
      <w:pPr>
        <w:pStyle w:val="4"/>
        <w:bidi w:val="0"/>
        <w:rPr>
          <w:rFonts w:hint="eastAsia"/>
          <w:lang w:val="zh-CN"/>
        </w:rPr>
      </w:pPr>
      <w:r>
        <w:rPr>
          <w:rFonts w:hint="eastAsia"/>
          <w:lang w:val="zh-CN"/>
        </w:rPr>
        <w:t>【党外干部培养使用制度完善】</w:t>
      </w:r>
    </w:p>
    <w:p w14:paraId="4BCAD332">
      <w:pPr>
        <w:bidi w:val="0"/>
        <w:rPr>
          <w:rFonts w:hint="eastAsia"/>
          <w:lang w:val="zh-CN"/>
        </w:rPr>
      </w:pPr>
      <w:r>
        <w:rPr>
          <w:rFonts w:hint="eastAsia"/>
          <w:lang w:val="zh-CN"/>
        </w:rPr>
        <w:t>加强梯队建设，培养新生力量。通过采用与市委组织部、各民主党派、市知联会进行座谈、专题研讨等方式，虚心请教、广纳贤言，制定一系列年轻党外干部选拔培养措施。通过加强各民主党派成员梯队建设，选拔培养更多优秀的年轻党外干部，激发民主党派活力。2018年，创造性地提出“251”党外干部培养计划，即在本届任期内，要在现有基础上再提拔2名正科级党外干部、5名副科级党外干部和10名副科级党外预备干部，这对加强全市党外干部队伍建设、积极落实党外人士政治安排起到促进作用。继续实行“市委出题，党派调研”政策，提高参政议政能力。2018年调研题目为《南雄市乡村振兴农业产业化的推进》，通过引导和鼓励市民革、市民盟、九三学社、市知联会深入基层，贴近百姓，认真开展社会调研，提有针对性、有价值的提案、建议和议案，从行动上积极为全市经济、社会各项事业发展建言献策，发挥实效，充分发挥各民主党派在参政议政方面的重要作用。</w:t>
      </w:r>
    </w:p>
    <w:p w14:paraId="639F8FB9">
      <w:pPr>
        <w:pStyle w:val="4"/>
        <w:bidi w:val="0"/>
        <w:rPr>
          <w:rFonts w:hint="eastAsia"/>
          <w:lang w:val="zh-CN"/>
        </w:rPr>
      </w:pPr>
      <w:r>
        <w:rPr>
          <w:rFonts w:hint="eastAsia"/>
          <w:lang w:val="zh-CN"/>
        </w:rPr>
        <w:t>【五好工商联筹建】</w:t>
      </w:r>
    </w:p>
    <w:p w14:paraId="633A68B0">
      <w:pPr>
        <w:bidi w:val="0"/>
        <w:rPr>
          <w:rFonts w:hint="eastAsia"/>
          <w:lang w:val="zh-CN"/>
        </w:rPr>
      </w:pPr>
      <w:r>
        <w:rPr>
          <w:rFonts w:hint="eastAsia"/>
          <w:lang w:val="zh-CN"/>
        </w:rPr>
        <w:t>组织会员学习习近平新时代中国特色社会主义思想和党的十九大精神。加大基层商会建设力度，启动乌迳、珠玑等乡镇商会的组建工作，把商会工作向乡镇延伸，扩大商会覆盖面，提高工商联整体效力和影响力。引导各商会围绕南雄姓氏文化节、社会福利等开展丰富多彩的公益活动，激发会员热爱南雄、热爱生活、关注民生的激情。积极构建“亲”“清”新型政商关系。11月，组织召开南雄市民营企业高质量发展座谈会，听取民营企业家关于融资和发展的困难和诉求，共同商议融资政策和措施，营造良好营商环境。</w:t>
      </w:r>
    </w:p>
    <w:p w14:paraId="69141BF2">
      <w:pPr>
        <w:pStyle w:val="4"/>
        <w:bidi w:val="0"/>
        <w:rPr>
          <w:rFonts w:hint="eastAsia"/>
          <w:lang w:val="zh-CN"/>
        </w:rPr>
      </w:pPr>
      <w:r>
        <w:rPr>
          <w:rFonts w:hint="eastAsia"/>
          <w:lang w:val="zh-CN"/>
        </w:rPr>
        <w:t>【宗教事务依法管理】</w:t>
      </w:r>
    </w:p>
    <w:p w14:paraId="26724F53">
      <w:pPr>
        <w:bidi w:val="0"/>
        <w:rPr>
          <w:rFonts w:hint="eastAsia"/>
          <w:lang w:val="zh-CN"/>
        </w:rPr>
      </w:pPr>
      <w:r>
        <w:rPr>
          <w:rFonts w:hint="eastAsia"/>
          <w:lang w:val="zh-CN"/>
        </w:rPr>
        <w:t>加大民族政策宣传力度，促进少数民族地区发展。编印发放几千份宣传小册子，把少数民族大学生补助政策和升学、中高考少数民族考生录取政策宣传到少数民族地区群众中；帮助办理好少数民族聚居区高考生有关申报审核工作和少数民族聚居区大学生助学金申报审核工作，使符合条件的学生充分享受到国家优惠政策；争取上级资金支持，为少数民族村兴建文体广场、维修公路等。推进法律进寺院道观，引导宗教与全市经济社会建设相适应。认真贯彻落实全国、省宗教工作会议精神，建立健全宗教活动场所人员管理机制和抵御境外宗教渗透机制，组织编印一期《南雄市宗教政策法规学习资料汇编》发放到各宗教场所和有关部门；以全市姓氏文化、旅游文化为依据，引导宗教为广大姓氏宗亲、游客开展各种正面向上、积极利世的法会、祈福活动，充分发挥宗教场所价值引领作用。推进少数民族大学生“扶助反哺”双项工程。在积极落实少数民族大学生补助资金的审核、发放工作同时，改变以往机械发放政策补助单一做法，增设推动少数民族大学生反哺家乡经济社会建设环节。组织受补助的少数民族大学生开展暑期社会实践活动，参与民族地区乡村振兴战略课题调研，有效激发少数民族青年勇于担当、奉献家乡的热情。</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B668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DE33ED6">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2995" cy="3754755"/>
                  <wp:effectExtent l="0" t="0" r="8255" b="17145"/>
                  <wp:docPr id="96" name="图片 96" descr="南雄年鉴2019_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南雄年鉴2019_0073"/>
                          <pic:cNvPicPr>
                            <a:picLocks noChangeAspect="1"/>
                          </pic:cNvPicPr>
                        </pic:nvPicPr>
                        <pic:blipFill>
                          <a:blip r:embed="rId85"/>
                          <a:stretch>
                            <a:fillRect/>
                          </a:stretch>
                        </pic:blipFill>
                        <pic:spPr>
                          <a:xfrm>
                            <a:off x="0" y="0"/>
                            <a:ext cx="6182995" cy="3754755"/>
                          </a:xfrm>
                          <a:prstGeom prst="rect">
                            <a:avLst/>
                          </a:prstGeom>
                        </pic:spPr>
                      </pic:pic>
                    </a:graphicData>
                  </a:graphic>
                </wp:inline>
              </w:drawing>
            </w:r>
          </w:p>
        </w:tc>
      </w:tr>
      <w:tr w14:paraId="61C6D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DD2C83B">
            <w:pPr>
              <w:bidi w:val="0"/>
              <w:rPr>
                <w:rFonts w:hint="eastAsia"/>
                <w:vertAlign w:val="baseline"/>
                <w:lang w:val="zh-CN"/>
              </w:rPr>
            </w:pPr>
            <w:r>
              <w:rPr>
                <w:rFonts w:hint="eastAsia" w:ascii="FZKTK--GBK1-0" w:hAnsi="FZKTK--GBK1-0" w:eastAsia="FZKTK--GBK1-0"/>
                <w:sz w:val="20"/>
              </w:rPr>
              <w:t>7月6日，市委统战部与市委组织部召开部际联席会议商议党外干部</w:t>
            </w:r>
            <w:r>
              <w:rPr>
                <w:rFonts w:hint="eastAsia" w:ascii="FZKTK--GBK1-0" w:hAnsi="FZKTK--GBK1-0" w:eastAsia="FZKTK--GBK1-0"/>
                <w:sz w:val="20"/>
                <w:lang w:val="en-US" w:eastAsia="zh-CN"/>
              </w:rPr>
              <w:t>培养、选拔、使用事宜（刘宏琼  摄）</w:t>
            </w:r>
          </w:p>
        </w:tc>
      </w:tr>
    </w:tbl>
    <w:p w14:paraId="2254DE2D">
      <w:pPr>
        <w:pStyle w:val="4"/>
        <w:bidi w:val="0"/>
        <w:rPr>
          <w:rFonts w:hint="eastAsia"/>
          <w:lang w:val="zh-CN"/>
        </w:rPr>
      </w:pPr>
      <w:r>
        <w:rPr>
          <w:rFonts w:hint="eastAsia"/>
          <w:lang w:val="zh-CN"/>
        </w:rPr>
        <w:t>【港澳台及海外联谊工作深化】</w:t>
      </w:r>
    </w:p>
    <w:p w14:paraId="4BB70385">
      <w:pPr>
        <w:bidi w:val="0"/>
        <w:rPr>
          <w:rFonts w:hint="eastAsia"/>
          <w:b/>
          <w:bCs/>
          <w:lang w:val="zh-CN"/>
        </w:rPr>
      </w:pPr>
      <w:r>
        <w:rPr>
          <w:rFonts w:hint="eastAsia"/>
          <w:lang w:val="zh-CN"/>
        </w:rPr>
        <w:t>继续完善侨情普查工作。通过各部门、各单位进行归侨侨眷调查摸底，上报形成侨情电子档案资料，提供给市有关领导，为做好海外及港澳侨联工作奠定基础。通过“走出去”“请进来”的形式，以港澳为基地，大力开展对外联谊工作，先后组团赴港澳参加2018年澳门——韶关两地青年工作交流会、香港韶关同乡联谊会第二届会董会成立就职典礼等活动，密切同港澳友好社团、旅港澳乡贤和台湾同胞的交流往来，接待来雄港澳台社团16批700多人次，加强与有关侨团、社团组织和华侨华人、港澳台同胞的联系，增进彼此间的友好情谊，扩大共识，增强相互间的交流与合作，激发他们“爱国爱乡”之情。切实做好台商企业南雄元升农业科技有限公司和广东清景旅游开发有限公司的跟踪服务，帮助解决企业发展过程中遇到的问题和困难。</w:t>
      </w:r>
      <w:r>
        <w:rPr>
          <w:rFonts w:hint="eastAsia"/>
          <w:b/>
          <w:bCs/>
          <w:lang w:val="zh-CN"/>
        </w:rPr>
        <w:t>（何</w:t>
      </w:r>
      <w:r>
        <w:rPr>
          <w:rFonts w:hint="eastAsia"/>
          <w:b/>
          <w:bCs/>
          <w:lang w:val="en-US" w:eastAsia="zh-CN"/>
        </w:rPr>
        <w:t xml:space="preserve">  </w:t>
      </w:r>
      <w:r>
        <w:rPr>
          <w:rFonts w:hint="eastAsia"/>
          <w:b/>
          <w:bCs/>
          <w:lang w:val="zh-CN"/>
        </w:rPr>
        <w:t>威）</w:t>
      </w:r>
    </w:p>
    <w:p w14:paraId="124C9ED2">
      <w:pPr>
        <w:bidi w:val="0"/>
        <w:ind w:left="0" w:leftChars="0" w:firstLine="0" w:firstLineChars="0"/>
        <w:rPr>
          <w:rFonts w:hint="eastAsia"/>
          <w:b/>
          <w:bCs/>
          <w:lang w:val="zh-CN"/>
        </w:rPr>
      </w:pPr>
      <w:r>
        <w:rPr>
          <w:rFonts w:hint="eastAsia"/>
          <w:b/>
          <w:bCs/>
          <w:lang w:val="zh-CN"/>
        </w:rPr>
        <w:t>附：2018年市委统战部领导班子成员名单</w:t>
      </w:r>
    </w:p>
    <w:p w14:paraId="03ECA89B">
      <w:pPr>
        <w:bidi w:val="0"/>
        <w:ind w:left="0" w:leftChars="0" w:firstLine="0" w:firstLineChars="0"/>
        <w:rPr>
          <w:rFonts w:hint="eastAsia"/>
          <w:lang w:val="zh-CN"/>
        </w:rPr>
      </w:pPr>
      <w:r>
        <w:rPr>
          <w:rFonts w:hint="eastAsia"/>
          <w:b/>
          <w:bCs/>
          <w:lang w:val="zh-CN"/>
        </w:rPr>
        <w:t>部</w:t>
      </w:r>
      <w:r>
        <w:rPr>
          <w:rFonts w:hint="eastAsia"/>
          <w:b/>
          <w:bCs/>
          <w:lang w:val="en-US" w:eastAsia="zh-CN"/>
        </w:rPr>
        <w:t xml:space="preserve">  </w:t>
      </w:r>
      <w:r>
        <w:rPr>
          <w:rFonts w:hint="eastAsia"/>
          <w:b/>
          <w:bCs/>
          <w:lang w:val="zh-CN"/>
        </w:rPr>
        <w:t>长：</w:t>
      </w:r>
      <w:r>
        <w:rPr>
          <w:rFonts w:hint="eastAsia"/>
          <w:lang w:val="zh-CN"/>
        </w:rPr>
        <w:t>林</w:t>
      </w:r>
      <w:r>
        <w:rPr>
          <w:rFonts w:hint="eastAsia"/>
          <w:lang w:val="en-US" w:eastAsia="zh-CN"/>
        </w:rPr>
        <w:t xml:space="preserve">  </w:t>
      </w:r>
      <w:r>
        <w:rPr>
          <w:rFonts w:hint="eastAsia"/>
          <w:lang w:val="zh-CN"/>
        </w:rPr>
        <w:t>军（兼任至1月）</w:t>
      </w:r>
    </w:p>
    <w:p w14:paraId="0D675615">
      <w:pPr>
        <w:bidi w:val="0"/>
        <w:ind w:left="840" w:leftChars="400" w:firstLine="0" w:firstLineChars="0"/>
        <w:rPr>
          <w:rFonts w:hint="eastAsia"/>
          <w:lang w:val="zh-CN"/>
        </w:rPr>
      </w:pPr>
      <w:r>
        <w:rPr>
          <w:rFonts w:hint="eastAsia"/>
          <w:lang w:val="zh-CN"/>
        </w:rPr>
        <w:t>陈志光（1月兼任）</w:t>
      </w:r>
    </w:p>
    <w:p w14:paraId="071C2E09">
      <w:pPr>
        <w:bidi w:val="0"/>
        <w:ind w:left="0" w:leftChars="0" w:firstLine="0" w:firstLineChars="0"/>
        <w:rPr>
          <w:rFonts w:hint="eastAsia"/>
          <w:lang w:val="zh-CN"/>
        </w:rPr>
      </w:pPr>
      <w:r>
        <w:rPr>
          <w:rFonts w:hint="eastAsia"/>
          <w:b/>
          <w:bCs/>
          <w:lang w:val="zh-CN"/>
        </w:rPr>
        <w:t>副部长：</w:t>
      </w:r>
      <w:r>
        <w:rPr>
          <w:rFonts w:hint="eastAsia"/>
          <w:lang w:val="zh-CN"/>
        </w:rPr>
        <w:t>陈华林</w:t>
      </w:r>
      <w:r>
        <w:rPr>
          <w:rFonts w:hint="eastAsia"/>
          <w:lang w:val="en-US" w:eastAsia="zh-CN"/>
        </w:rPr>
        <w:t xml:space="preserve">   </w:t>
      </w:r>
      <w:r>
        <w:rPr>
          <w:rFonts w:hint="eastAsia"/>
          <w:lang w:val="zh-CN"/>
        </w:rPr>
        <w:t>董祖明</w:t>
      </w:r>
    </w:p>
    <w:p w14:paraId="0A28F002">
      <w:pPr>
        <w:bidi w:val="0"/>
        <w:ind w:left="840" w:leftChars="400" w:firstLine="0" w:firstLineChars="0"/>
        <w:rPr>
          <w:rFonts w:hint="eastAsia"/>
          <w:lang w:val="zh-CN"/>
        </w:rPr>
      </w:pPr>
      <w:r>
        <w:rPr>
          <w:rFonts w:hint="eastAsia"/>
          <w:lang w:val="zh-CN"/>
        </w:rPr>
        <w:t>陈</w:t>
      </w:r>
      <w:r>
        <w:rPr>
          <w:rFonts w:hint="eastAsia"/>
          <w:lang w:val="en-US" w:eastAsia="zh-CN"/>
        </w:rPr>
        <w:t xml:space="preserve">  </w:t>
      </w:r>
      <w:r>
        <w:rPr>
          <w:rFonts w:hint="eastAsia"/>
          <w:lang w:val="zh-CN"/>
        </w:rPr>
        <w:t>烈</w:t>
      </w:r>
    </w:p>
    <w:p w14:paraId="1393B955">
      <w:pPr>
        <w:pStyle w:val="3"/>
        <w:bidi w:val="0"/>
        <w:rPr>
          <w:rFonts w:hint="eastAsia"/>
          <w:lang w:val="zh-CN"/>
        </w:rPr>
      </w:pPr>
      <w:r>
        <w:rPr>
          <w:rFonts w:hint="eastAsia"/>
          <w:lang w:val="zh-CN"/>
        </w:rPr>
        <w:t>机关党建</w:t>
      </w:r>
    </w:p>
    <w:p w14:paraId="7056E55C">
      <w:pPr>
        <w:pStyle w:val="4"/>
        <w:bidi w:val="0"/>
        <w:rPr>
          <w:rFonts w:hint="eastAsia"/>
          <w:lang w:val="zh-CN"/>
        </w:rPr>
      </w:pPr>
      <w:r>
        <w:rPr>
          <w:rFonts w:hint="eastAsia"/>
          <w:lang w:val="zh-CN"/>
        </w:rPr>
        <w:t>【概况】</w:t>
      </w:r>
    </w:p>
    <w:p w14:paraId="215F44F5">
      <w:pPr>
        <w:bidi w:val="0"/>
        <w:rPr>
          <w:rFonts w:hint="eastAsia"/>
          <w:lang w:val="zh-CN"/>
        </w:rPr>
      </w:pPr>
      <w:r>
        <w:rPr>
          <w:rFonts w:hint="eastAsia"/>
          <w:lang w:val="zh-CN"/>
        </w:rPr>
        <w:t>中共南雄市直属机关工作委员会是中共南雄市委的派出机构，1996年，南雄撤县设市，县直属机关党委相应变为市直属机关党委。1997年南雄市机构改革，将市直属机关党委改称为市直属机关工作委员会，属市委党建工作的派出机构。内设办公室、组织股和市直团工委、市直机关武装部，2001年机构改革增设市纪委派出机构市直纪工委，2009年设立市纪委监察局派驻党群中心纪检监察组，2013年12月市纪委监察局派驻党群中心纪检监察组改设置在市委办，2017年7月撤销市直机关纪检组，并收回编制1名。2018年编制7名，其中行政编制6名，行政工勤编制1名，在职7人，退休10人。</w:t>
      </w:r>
    </w:p>
    <w:p w14:paraId="014AB4A0">
      <w:pPr>
        <w:pStyle w:val="4"/>
        <w:bidi w:val="0"/>
        <w:rPr>
          <w:rFonts w:hint="eastAsia"/>
          <w:lang w:val="zh-CN"/>
        </w:rPr>
      </w:pPr>
      <w:r>
        <w:rPr>
          <w:rFonts w:hint="eastAsia"/>
          <w:lang w:val="zh-CN"/>
        </w:rPr>
        <w:t>【基层党支部建设】</w:t>
      </w:r>
    </w:p>
    <w:p w14:paraId="19C7AE7F">
      <w:pPr>
        <w:bidi w:val="0"/>
        <w:rPr>
          <w:rFonts w:hint="eastAsia"/>
          <w:lang w:val="zh-CN"/>
        </w:rPr>
      </w:pPr>
      <w:r>
        <w:rPr>
          <w:rFonts w:hint="eastAsia"/>
          <w:lang w:val="zh-CN"/>
        </w:rPr>
        <w:t>基层党支部标准化建设，重点在组织设置、党员管理、组织生活、服务功能、阵地建设、资料整理等方面抓标准化建设。落实党组织按期换届选举工作、提醒制度，2018年新成立12个党组织，其中成立党总支2个，党支部7个，“两新”党支部2个，临时党支部1个。选树党建工作示范点。按照“五好五带头”的要求，建设市住建局机关和水保办党支部党建工作示范点，发挥先进典型的示范引领作用。开展党建品牌创建活动。针对党组织党员“活动组织难、作用发挥难、表现评价难、服务群众量化难”问题，在住建局、人社局机关党支部开展党员评星定级试点。评星定级划出党员必须做好的“底线”、不能逾越的“红线”，强化党员角色意识，较好地解决党员先进性平时看不出来的问题。</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BBA5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43B732CE">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79820" cy="3749040"/>
                  <wp:effectExtent l="0" t="0" r="11430" b="3810"/>
                  <wp:docPr id="97" name="图片 97" descr="南雄年鉴2019_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南雄年鉴2019_0074"/>
                          <pic:cNvPicPr>
                            <a:picLocks noChangeAspect="1"/>
                          </pic:cNvPicPr>
                        </pic:nvPicPr>
                        <pic:blipFill>
                          <a:blip r:embed="rId86"/>
                          <a:stretch>
                            <a:fillRect/>
                          </a:stretch>
                        </pic:blipFill>
                        <pic:spPr>
                          <a:xfrm>
                            <a:off x="0" y="0"/>
                            <a:ext cx="6179820" cy="3749040"/>
                          </a:xfrm>
                          <a:prstGeom prst="rect">
                            <a:avLst/>
                          </a:prstGeom>
                        </pic:spPr>
                      </pic:pic>
                    </a:graphicData>
                  </a:graphic>
                </wp:inline>
              </w:drawing>
            </w:r>
          </w:p>
        </w:tc>
      </w:tr>
      <w:tr w14:paraId="70F9C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BBA7DE8">
            <w:pPr>
              <w:bidi w:val="0"/>
              <w:rPr>
                <w:rFonts w:hint="eastAsia"/>
                <w:vertAlign w:val="baseline"/>
                <w:lang w:val="zh-CN"/>
              </w:rPr>
            </w:pPr>
            <w:r>
              <w:rPr>
                <w:rFonts w:hint="eastAsia"/>
              </w:rPr>
              <w:t>2月6日，召开市直机关党组织书记抓基层党建述职评议会（黄艳</w:t>
            </w:r>
            <w:r>
              <w:rPr>
                <w:rFonts w:hint="eastAsia"/>
                <w:lang w:val="en-US" w:eastAsia="zh-CN"/>
              </w:rPr>
              <w:t xml:space="preserve">  </w:t>
            </w:r>
            <w:r>
              <w:rPr>
                <w:rFonts w:hint="eastAsia"/>
              </w:rPr>
              <w:t>摄）</w:t>
            </w:r>
          </w:p>
        </w:tc>
      </w:tr>
    </w:tbl>
    <w:p w14:paraId="134E2CE6">
      <w:pPr>
        <w:pStyle w:val="4"/>
        <w:bidi w:val="0"/>
        <w:rPr>
          <w:rFonts w:hint="eastAsia"/>
          <w:lang w:val="zh-CN"/>
        </w:rPr>
      </w:pPr>
      <w:r>
        <w:rPr>
          <w:rFonts w:hint="eastAsia"/>
          <w:lang w:val="zh-CN"/>
        </w:rPr>
        <w:t>【党组织队伍建设】</w:t>
      </w:r>
    </w:p>
    <w:p w14:paraId="2684E314">
      <w:pPr>
        <w:bidi w:val="0"/>
        <w:rPr>
          <w:rFonts w:hint="eastAsia"/>
          <w:lang w:val="zh-CN"/>
        </w:rPr>
      </w:pPr>
      <w:r>
        <w:rPr>
          <w:rFonts w:hint="eastAsia"/>
          <w:lang w:val="zh-CN"/>
        </w:rPr>
        <w:t>5月24—26日，举办入党积极分子培训班，148人参加。2018年同意列为发展对象28人，预备党员转正22人。10月26日，工委与党校联合举办一期党务干部培训班，150人参加。同时通过党务工作者微信群搭建党务工作者学习交流平台，加强和组织开展党建业务交流，加强党员队伍建设，把好党员“入口关”。11月14至16日，组织所有机关党组织书记参加党建工作培训，加强党务工作者队伍建设。</w:t>
      </w:r>
    </w:p>
    <w:p w14:paraId="333BC553">
      <w:pPr>
        <w:pStyle w:val="4"/>
        <w:bidi w:val="0"/>
        <w:rPr>
          <w:rFonts w:hint="eastAsia"/>
          <w:lang w:val="zh-CN"/>
        </w:rPr>
      </w:pPr>
      <w:r>
        <w:rPr>
          <w:rFonts w:hint="eastAsia"/>
          <w:lang w:val="zh-CN"/>
        </w:rPr>
        <w:t>【党员活动】</w:t>
      </w:r>
    </w:p>
    <w:p w14:paraId="7843A755">
      <w:pPr>
        <w:bidi w:val="0"/>
        <w:rPr>
          <w:rFonts w:hint="eastAsia"/>
          <w:lang w:val="zh-CN"/>
        </w:rPr>
      </w:pPr>
      <w:r>
        <w:rPr>
          <w:rFonts w:hint="eastAsia"/>
          <w:lang w:val="zh-CN"/>
        </w:rPr>
        <w:t>严肃党内政治生活和加强党内监督。认真落实市委组织部制订出台规范市直机关党组织生活的制度性指引，从落实“三会一课”制度、组织生活会制度等方面，规范对党员的教育、管理、服务和监督。坚持党员领导干部讲党课制度，机关党委、党（总）支部书记每年至少为基层党员讲一次党课，与精准扶贫村开展“党建结对共建”，提升党员思想政治水平。推行党支部“党日”制度，每月至少组织党员开展一次活动。加大党员干部作风整治力度，围绕表态多调门高、行动少落实差等突出问题，组织各机关单位积极开展走访慰问活动，以重点问题的突破带动整体工作推进，解决突出问题上勇于担当作为。开展党员“戴党徽、亮身份、作表率”活动，提高党员意识，接受群众监督，增强党员责任感。</w:t>
      </w:r>
    </w:p>
    <w:p w14:paraId="40DCB299">
      <w:pPr>
        <w:pStyle w:val="4"/>
        <w:bidi w:val="0"/>
        <w:rPr>
          <w:rFonts w:hint="eastAsia"/>
          <w:lang w:val="zh-CN"/>
        </w:rPr>
      </w:pPr>
      <w:r>
        <w:rPr>
          <w:rFonts w:hint="eastAsia"/>
          <w:lang w:val="zh-CN"/>
        </w:rPr>
        <w:t>【党建制度健全】</w:t>
      </w:r>
    </w:p>
    <w:p w14:paraId="779BA0D1">
      <w:pPr>
        <w:bidi w:val="0"/>
        <w:rPr>
          <w:rFonts w:hint="eastAsia"/>
          <w:lang w:val="zh-CN"/>
        </w:rPr>
      </w:pPr>
      <w:r>
        <w:rPr>
          <w:rFonts w:hint="eastAsia"/>
          <w:lang w:val="zh-CN"/>
        </w:rPr>
        <w:t>建立健全党建主体责任落实制度。完善《市直机关党建工作责任制考核方案》，建立督查机制，督促各级党组织书记抓党建主体责任的落实。3月和9月进行两次督查，促使机关党组织把思想政治建设融入经常、抓在日常，不断夯实理想信念基础。完善抓基层党建述职评议制度。全面推行党组织书记抓基层党建工作专项述职评议。试行新任党组织书记谈话制度。对新上任的党组织书记进行谈心谈话，使新任职的同志明确肩上的责任，更加注重自觉学习提高，适应新岗位的需要。</w:t>
      </w:r>
    </w:p>
    <w:p w14:paraId="55D802ED">
      <w:pPr>
        <w:pStyle w:val="4"/>
        <w:bidi w:val="0"/>
        <w:rPr>
          <w:rFonts w:hint="eastAsia"/>
          <w:lang w:val="zh-CN"/>
        </w:rPr>
      </w:pPr>
      <w:r>
        <w:rPr>
          <w:rFonts w:hint="eastAsia"/>
          <w:lang w:val="zh-CN"/>
        </w:rPr>
        <w:t>【党建信息化建设】</w:t>
      </w:r>
    </w:p>
    <w:p w14:paraId="2F864A18">
      <w:pPr>
        <w:bidi w:val="0"/>
        <w:rPr>
          <w:rFonts w:hint="eastAsia"/>
          <w:lang w:val="zh-CN"/>
        </w:rPr>
      </w:pPr>
      <w:r>
        <w:rPr>
          <w:rFonts w:hint="eastAsia"/>
          <w:lang w:val="zh-CN"/>
        </w:rPr>
        <w:t>利用“广东省干部在线学院”“韶关关注”“南雄党员E家”等平台，开展党员干部在线学习、交流、教育培训、上党课，使党员干部能以丰富的手段、形式过组织生活。加强阵地建设。结合机关党组织活动阵地建设实际，按照“六有”标准，提升机关党建工作实效。市直工委向下属党组织发放各类宣传资料及资料汇编1万余份。面向党组织覆盖到“党务”公开栏和“两新”组织的宣传栏，面向机关部门，覆盖到办公区电梯、楼道的宣传栏，同时利用各种宣传日等形式深入进行宣传，扩大感染力、渗透力和影响力。创新党务工作方式。通过实行机关专职党务干部制度，激发工作活力，实现机关党建工作有专人专抓、专管、专落实。</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4AE8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5BC39E6">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0455" cy="3686175"/>
                  <wp:effectExtent l="0" t="0" r="10795" b="9525"/>
                  <wp:docPr id="98" name="图片 98" descr="南雄年鉴2019_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南雄年鉴2019_0075"/>
                          <pic:cNvPicPr>
                            <a:picLocks noChangeAspect="1"/>
                          </pic:cNvPicPr>
                        </pic:nvPicPr>
                        <pic:blipFill>
                          <a:blip r:embed="rId87"/>
                          <a:stretch>
                            <a:fillRect/>
                          </a:stretch>
                        </pic:blipFill>
                        <pic:spPr>
                          <a:xfrm>
                            <a:off x="0" y="0"/>
                            <a:ext cx="6180455" cy="3686175"/>
                          </a:xfrm>
                          <a:prstGeom prst="rect">
                            <a:avLst/>
                          </a:prstGeom>
                        </pic:spPr>
                      </pic:pic>
                    </a:graphicData>
                  </a:graphic>
                </wp:inline>
              </w:drawing>
            </w:r>
          </w:p>
        </w:tc>
      </w:tr>
      <w:tr w14:paraId="53CAD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3D7A2E6">
            <w:pPr>
              <w:bidi w:val="0"/>
              <w:rPr>
                <w:rFonts w:hint="eastAsia"/>
                <w:vertAlign w:val="baseline"/>
                <w:lang w:val="zh-CN"/>
              </w:rPr>
            </w:pPr>
            <w:r>
              <w:rPr>
                <w:rFonts w:hint="eastAsia" w:ascii="FZKTK--GBK1-0" w:hAnsi="FZKTK--GBK1-0" w:eastAsia="FZKTK--GBK1-0"/>
                <w:sz w:val="20"/>
              </w:rPr>
              <w:t>7月12日，举行市直机关新党员入党宣誓仪式（陈宁</w:t>
            </w:r>
            <w:r>
              <w:rPr>
                <w:rFonts w:hint="eastAsia" w:ascii="FZKTK--GBK1-0" w:hAnsi="FZKTK--GBK1-0" w:eastAsia="FZKTK--GBK1-0"/>
                <w:sz w:val="20"/>
                <w:lang w:val="en-US" w:eastAsia="zh-CN"/>
              </w:rPr>
              <w:t xml:space="preserve">  </w:t>
            </w:r>
            <w:r>
              <w:rPr>
                <w:rFonts w:hint="eastAsia" w:ascii="FZKTK--GBK1-0" w:hAnsi="FZKTK--GBK1-0" w:eastAsia="FZKTK--GBK1-0"/>
                <w:sz w:val="20"/>
              </w:rPr>
              <w:t>摄）</w:t>
            </w:r>
          </w:p>
        </w:tc>
      </w:tr>
    </w:tbl>
    <w:p w14:paraId="2AAEFAC6">
      <w:pPr>
        <w:pStyle w:val="4"/>
        <w:bidi w:val="0"/>
        <w:rPr>
          <w:rFonts w:hint="eastAsia"/>
          <w:lang w:val="zh-CN"/>
        </w:rPr>
      </w:pPr>
      <w:r>
        <w:rPr>
          <w:rFonts w:hint="eastAsia"/>
          <w:lang w:val="zh-CN"/>
        </w:rPr>
        <w:t>【社会监督机制强化】</w:t>
      </w:r>
    </w:p>
    <w:p w14:paraId="147053A7">
      <w:pPr>
        <w:bidi w:val="0"/>
        <w:rPr>
          <w:rFonts w:hint="eastAsia"/>
          <w:lang w:val="zh-CN"/>
        </w:rPr>
      </w:pPr>
      <w:r>
        <w:rPr>
          <w:rFonts w:hint="eastAsia"/>
          <w:lang w:val="zh-CN"/>
        </w:rPr>
        <w:t>认真抓好“民主评议政风行风”和“民声热线”督办工作。继续开展民主评议政风行风工作。制订《南雄市2018年民主评议政风行风工作方案》，采取自查自纠、办事群众满意度网上问卷调查、定期督导、行评团现场集中测评等各种方式，对市住房和城乡规划建设局、市经济和信息化局、市农业局、市司法局、市商务局和社会保险服务管理局南雄分局6个单位进行重点政风行风评议。9月23日，完成韶关“民生热线”第十八场《喜看丰收秀灵潭》在中国首个“农民丰收节”期间举行户外走基层活动，取得较好效果。</w:t>
      </w:r>
    </w:p>
    <w:p w14:paraId="2808AC9E">
      <w:pPr>
        <w:pStyle w:val="4"/>
        <w:bidi w:val="0"/>
        <w:rPr>
          <w:rFonts w:hint="eastAsia"/>
          <w:lang w:val="zh-CN"/>
        </w:rPr>
      </w:pPr>
      <w:r>
        <w:rPr>
          <w:rFonts w:hint="eastAsia"/>
          <w:lang w:val="zh-CN"/>
        </w:rPr>
        <w:t>【围绕中心抓好其他工作】</w:t>
      </w:r>
    </w:p>
    <w:p w14:paraId="2275080C">
      <w:pPr>
        <w:bidi w:val="0"/>
        <w:rPr>
          <w:rFonts w:hint="eastAsia"/>
          <w:lang w:val="zh-CN"/>
        </w:rPr>
      </w:pPr>
      <w:r>
        <w:rPr>
          <w:rFonts w:hint="eastAsia"/>
          <w:lang w:val="zh-CN"/>
        </w:rPr>
        <w:t>抓好市直机关武装和共青团团的工作。按照上级军事部门的要求抓好年度适龄青年兵登记，做好退役军人的登记统计工作。抓好共青团工作，组织中医院、人民医院团总支在三影塔广场开展志愿服务活动，对中医院团总支、城投公司团支部进行换届工作，成立南雄市水务局团支部。</w:t>
      </w:r>
      <w:r>
        <w:rPr>
          <w:rFonts w:hint="eastAsia"/>
          <w:b/>
          <w:bCs/>
          <w:lang w:val="zh-CN"/>
        </w:rPr>
        <w:t>（黄</w:t>
      </w:r>
      <w:r>
        <w:rPr>
          <w:rFonts w:hint="eastAsia"/>
          <w:b/>
          <w:bCs/>
          <w:lang w:val="en-US" w:eastAsia="zh-CN"/>
        </w:rPr>
        <w:t xml:space="preserve">  </w:t>
      </w:r>
      <w:r>
        <w:rPr>
          <w:rFonts w:hint="eastAsia"/>
          <w:b/>
          <w:bCs/>
          <w:lang w:val="zh-CN"/>
        </w:rPr>
        <w:t>艳）</w:t>
      </w:r>
    </w:p>
    <w:p w14:paraId="1B471BA6">
      <w:pPr>
        <w:bidi w:val="0"/>
        <w:ind w:left="0" w:leftChars="0" w:firstLine="0" w:firstLineChars="0"/>
        <w:rPr>
          <w:rFonts w:hint="eastAsia"/>
          <w:b/>
          <w:bCs/>
          <w:lang w:val="zh-CN"/>
        </w:rPr>
      </w:pPr>
      <w:r>
        <w:rPr>
          <w:rFonts w:hint="eastAsia"/>
          <w:b/>
          <w:bCs/>
          <w:lang w:val="zh-CN"/>
        </w:rPr>
        <w:t>附：2018年市直工委领导班子成员名单</w:t>
      </w:r>
    </w:p>
    <w:p w14:paraId="23C5929E">
      <w:pPr>
        <w:bidi w:val="0"/>
        <w:ind w:left="0" w:leftChars="0" w:firstLine="0" w:firstLineChars="0"/>
        <w:rPr>
          <w:rFonts w:hint="eastAsia"/>
          <w:lang w:val="zh-CN"/>
        </w:rPr>
      </w:pPr>
      <w:r>
        <w:rPr>
          <w:rFonts w:hint="eastAsia"/>
          <w:b/>
          <w:bCs/>
          <w:lang w:val="zh-CN"/>
        </w:rPr>
        <w:t>书</w:t>
      </w:r>
      <w:r>
        <w:rPr>
          <w:rFonts w:hint="eastAsia"/>
          <w:b/>
          <w:bCs/>
          <w:lang w:val="en-US" w:eastAsia="zh-CN"/>
        </w:rPr>
        <w:t xml:space="preserve">      </w:t>
      </w:r>
      <w:r>
        <w:rPr>
          <w:rFonts w:hint="eastAsia"/>
          <w:b/>
          <w:bCs/>
          <w:lang w:val="zh-CN"/>
        </w:rPr>
        <w:t>记</w:t>
      </w:r>
      <w:r>
        <w:rPr>
          <w:rFonts w:hint="eastAsia"/>
          <w:lang w:val="zh-CN"/>
        </w:rPr>
        <w:t>：朱运通</w:t>
      </w:r>
    </w:p>
    <w:p w14:paraId="24928AAA">
      <w:pPr>
        <w:bidi w:val="0"/>
        <w:ind w:left="0" w:leftChars="0" w:firstLine="0" w:firstLineChars="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书</w:t>
      </w:r>
      <w:r>
        <w:rPr>
          <w:rFonts w:hint="eastAsia"/>
          <w:b/>
          <w:bCs/>
          <w:lang w:val="en-US" w:eastAsia="zh-CN"/>
        </w:rPr>
        <w:t xml:space="preserve">  </w:t>
      </w:r>
      <w:r>
        <w:rPr>
          <w:rFonts w:hint="eastAsia"/>
          <w:b/>
          <w:bCs/>
          <w:lang w:val="zh-CN"/>
        </w:rPr>
        <w:t>记：</w:t>
      </w:r>
      <w:r>
        <w:rPr>
          <w:rFonts w:hint="eastAsia"/>
          <w:lang w:val="zh-CN"/>
        </w:rPr>
        <w:t>王庭泉</w:t>
      </w:r>
      <w:r>
        <w:rPr>
          <w:rFonts w:hint="eastAsia"/>
          <w:lang w:val="en-US" w:eastAsia="zh-CN"/>
        </w:rPr>
        <w:t xml:space="preserve">   </w:t>
      </w:r>
      <w:r>
        <w:rPr>
          <w:rFonts w:hint="eastAsia"/>
          <w:lang w:val="zh-CN"/>
        </w:rPr>
        <w:t>温</w:t>
      </w:r>
      <w:r>
        <w:rPr>
          <w:rFonts w:hint="eastAsia"/>
          <w:lang w:val="en-US" w:eastAsia="zh-CN"/>
        </w:rPr>
        <w:t xml:space="preserve">  </w:t>
      </w:r>
      <w:r>
        <w:rPr>
          <w:rFonts w:hint="eastAsia"/>
          <w:lang w:val="zh-CN"/>
        </w:rPr>
        <w:t>靖</w:t>
      </w:r>
    </w:p>
    <w:p w14:paraId="7FC1C096">
      <w:pPr>
        <w:bidi w:val="0"/>
        <w:ind w:left="0" w:leftChars="0" w:firstLine="0" w:firstLineChars="0"/>
        <w:rPr>
          <w:rFonts w:hint="eastAsia"/>
          <w:lang w:val="zh-CN"/>
        </w:rPr>
      </w:pPr>
      <w:r>
        <w:rPr>
          <w:rFonts w:hint="eastAsia"/>
          <w:b/>
          <w:bCs/>
          <w:lang w:val="zh-CN"/>
        </w:rPr>
        <w:t>纪工委书记：</w:t>
      </w:r>
      <w:r>
        <w:rPr>
          <w:rFonts w:hint="eastAsia"/>
          <w:lang w:val="zh-CN"/>
        </w:rPr>
        <w:t>陈宏辉</w:t>
      </w:r>
    </w:p>
    <w:p w14:paraId="417EC5E6">
      <w:pPr>
        <w:bidi w:val="0"/>
        <w:ind w:left="0" w:leftChars="0" w:firstLine="0" w:firstLineChars="0"/>
        <w:rPr>
          <w:rFonts w:hint="eastAsia"/>
          <w:lang w:val="zh-CN"/>
        </w:rPr>
      </w:pPr>
      <w:r>
        <w:rPr>
          <w:rFonts w:hint="eastAsia"/>
          <w:b/>
          <w:bCs/>
          <w:lang w:val="zh-CN"/>
        </w:rPr>
        <w:t>武装部部长：</w:t>
      </w:r>
      <w:r>
        <w:rPr>
          <w:rFonts w:hint="eastAsia"/>
          <w:lang w:val="zh-CN"/>
        </w:rPr>
        <w:t>李卫东</w:t>
      </w:r>
    </w:p>
    <w:p w14:paraId="62524EFD">
      <w:pPr>
        <w:pStyle w:val="3"/>
        <w:bidi w:val="0"/>
        <w:rPr>
          <w:rFonts w:hint="eastAsia"/>
          <w:lang w:val="zh-CN"/>
        </w:rPr>
      </w:pPr>
      <w:r>
        <w:rPr>
          <w:rFonts w:hint="eastAsia"/>
          <w:lang w:val="zh-CN"/>
        </w:rPr>
        <w:t>老干部工作</w:t>
      </w:r>
    </w:p>
    <w:p w14:paraId="7DB3B0F1">
      <w:pPr>
        <w:pStyle w:val="4"/>
        <w:bidi w:val="0"/>
        <w:rPr>
          <w:rFonts w:hint="eastAsia"/>
          <w:lang w:val="zh-CN"/>
        </w:rPr>
      </w:pPr>
      <w:r>
        <w:rPr>
          <w:rFonts w:hint="eastAsia"/>
          <w:lang w:val="zh-CN"/>
        </w:rPr>
        <w:t>【概况】</w:t>
      </w:r>
    </w:p>
    <w:p w14:paraId="463A68C3">
      <w:pPr>
        <w:bidi w:val="0"/>
        <w:rPr>
          <w:rFonts w:hint="eastAsia"/>
          <w:lang w:val="zh-CN"/>
        </w:rPr>
      </w:pPr>
      <w:r>
        <w:rPr>
          <w:rFonts w:hint="eastAsia"/>
          <w:lang w:val="zh-CN"/>
        </w:rPr>
        <w:t>中共南雄市委老干部局是市委主管全市离退休干部的工作机构，成立于1983年11月。2001年，机构改革将中共南雄市委离休退休干部工作局改为现名，设有办公室、离休股、退休股3个职能股（室），核定编制6名，其中领导职数3名（1正2副），其他干部3名（全部为股长职数），后勤编制1名，总编制7名。局下设一个公益一类事业单位——南雄市老干部活动中心，定编5名。2018年有干部职工5人，其中正副主任各1人，一般职工3人。老干部活动中心总建筑面积1400多平方米，集学习、娱乐、健身、休闲为一体，内设天九、麻将、象棋、乒乓球、健身、阅览、舞厅等多个娱乐活动室，是南雄唯一功能齐全、服务优质的老干部活动场所；另市区还设有门球场2个。</w:t>
      </w:r>
    </w:p>
    <w:p w14:paraId="6492D262">
      <w:pPr>
        <w:pStyle w:val="4"/>
        <w:bidi w:val="0"/>
        <w:rPr>
          <w:rFonts w:hint="eastAsia"/>
          <w:lang w:val="zh-CN"/>
        </w:rPr>
      </w:pPr>
      <w:r>
        <w:rPr>
          <w:rFonts w:hint="eastAsia"/>
          <w:lang w:val="zh-CN"/>
        </w:rPr>
        <w:t>【老干部待遇落实】</w:t>
      </w:r>
    </w:p>
    <w:p w14:paraId="1D177F5D">
      <w:pPr>
        <w:bidi w:val="0"/>
        <w:rPr>
          <w:rFonts w:hint="eastAsia"/>
          <w:lang w:val="zh-CN"/>
        </w:rPr>
      </w:pPr>
      <w:r>
        <w:rPr>
          <w:rFonts w:hint="eastAsia"/>
          <w:lang w:val="zh-CN"/>
        </w:rPr>
        <w:t>组织办好每年一度的离休干部和副处级以上退休干部迎春茶话会。邀请老同志列席人大、政协“两会”，保障老领导参政热情。邀请老干部参加学习十九大精神和习近平总书记系列重要讲话精神培训班，为离休干部订阅《秋光》《老人报》《南方日报》等党报党刊150多份，在老干中心订阅12种老干部喜爱的报刊杂志，督促各单位建立向老干部通报工作制度等，增强离退休干部政治荣誉感。按时足额发放离休干部的离休费，“七一”期间一个月增发基本离休费和遗属生活困难等补贴，做好离休干部医疗费核实报销工作和对新中国成立初期退休干部医疗补贴和生活补助发放。及时为3名行动不便的离休干部申请提高护理费标准，确保老干部安享幸福晚年。</w:t>
      </w:r>
    </w:p>
    <w:p w14:paraId="0F464A0D">
      <w:pPr>
        <w:pStyle w:val="4"/>
        <w:bidi w:val="0"/>
        <w:rPr>
          <w:rFonts w:hint="eastAsia"/>
          <w:lang w:val="zh-CN"/>
        </w:rPr>
      </w:pPr>
      <w:r>
        <w:rPr>
          <w:rFonts w:hint="eastAsia"/>
          <w:lang w:val="zh-CN"/>
        </w:rPr>
        <w:t>【走访慰问老干部】</w:t>
      </w:r>
    </w:p>
    <w:p w14:paraId="0B1839EE">
      <w:pPr>
        <w:bidi w:val="0"/>
        <w:rPr>
          <w:rFonts w:hint="eastAsia"/>
          <w:lang w:val="zh-CN"/>
        </w:rPr>
      </w:pPr>
      <w:r>
        <w:rPr>
          <w:rFonts w:hint="eastAsia"/>
          <w:lang w:val="zh-CN"/>
        </w:rPr>
        <w:t>加强日常走访慰问工作，了解离休干部和四套班子老领导生活和关工委、老促会工作状况，协助开展工作。组织节日慰问，每年春节前夕，对全市离休干部和副科级以上退休干部及其遗属和住院干部进行走访或慰问。组织走访慰问离退休干部18人次，看望住院科级以上干部25人次，中秋节前，外出走访探望在南雄市外居住的离休干部9人，把党和政府的温暖送到老干部心坎上。</w:t>
      </w:r>
    </w:p>
    <w:p w14:paraId="078B9E0E">
      <w:pPr>
        <w:pStyle w:val="4"/>
        <w:bidi w:val="0"/>
        <w:rPr>
          <w:rFonts w:hint="eastAsia"/>
          <w:lang w:val="zh-CN"/>
        </w:rPr>
      </w:pPr>
      <w:r>
        <w:rPr>
          <w:rFonts w:hint="eastAsia"/>
          <w:lang w:val="zh-CN"/>
        </w:rPr>
        <w:t>【各项文体活动开展】</w:t>
      </w:r>
    </w:p>
    <w:p w14:paraId="53A5EA33">
      <w:pPr>
        <w:bidi w:val="0"/>
        <w:rPr>
          <w:rFonts w:hint="eastAsia"/>
          <w:lang w:val="zh-CN"/>
        </w:rPr>
      </w:pPr>
      <w:r>
        <w:rPr>
          <w:rFonts w:hint="eastAsia"/>
          <w:lang w:val="zh-CN"/>
        </w:rPr>
        <w:t>加强老干部活动中心管理服务，认真组织老干部开展门球、麻将、棋牌、乒乓球、舞蹈等日常文化娱乐活动，在重阳节期间举办文体比赛活动，邀请中医院专业医生开展心理健康养生知识讲座，丰富老干部的精神文化生活。组织就近参观考察活动3次，参加老同志50多人次，切身感受经济社会发展变化。组织参加其他单位举行的各类文体娱乐活动5次，参加老同志60多人次。</w:t>
      </w:r>
    </w:p>
    <w:p w14:paraId="5DED4177">
      <w:pPr>
        <w:pStyle w:val="4"/>
        <w:bidi w:val="0"/>
        <w:rPr>
          <w:rFonts w:hint="eastAsia"/>
          <w:lang w:val="zh-CN"/>
        </w:rPr>
      </w:pPr>
      <w:r>
        <w:rPr>
          <w:rFonts w:hint="eastAsia"/>
          <w:lang w:val="zh-CN"/>
        </w:rPr>
        <w:t>【引导老干部发挥作用】</w:t>
      </w:r>
    </w:p>
    <w:p w14:paraId="74E6CEDF">
      <w:pPr>
        <w:bidi w:val="0"/>
        <w:rPr>
          <w:rFonts w:hint="eastAsia"/>
          <w:lang w:val="zh-CN"/>
        </w:rPr>
      </w:pPr>
      <w:r>
        <w:rPr>
          <w:rFonts w:hint="eastAsia"/>
          <w:lang w:val="zh-CN"/>
        </w:rPr>
        <w:t>组织离退休干部开展“增添正能量·共筑中国梦”主题活动。组织老干部下基层、进农村宣讲十九大精神和习近平总书记重要讲话精神，协助组织老游击战士联谊会，开展清明祭奠、庆祝八一、纪念南雄解放日等活动，协助做好联谊会理事换届改选和召开新一届全体会员大会。组织离退休干部、副处级干部调研座谈、参观城市提升和珠玑灵潭村新农村建设活动，为南雄发展建言献策。开展党建宣传和“传承好家训·培育好家风”专题宣传，向老干部发放《南雄市离退休干部学习小手册》500多份，引导老干部提高政治站位、发挥正能量。</w:t>
      </w:r>
    </w:p>
    <w:p w14:paraId="692C223E">
      <w:pPr>
        <w:pStyle w:val="4"/>
        <w:bidi w:val="0"/>
        <w:rPr>
          <w:rFonts w:hint="eastAsia"/>
          <w:lang w:val="zh-CN"/>
        </w:rPr>
      </w:pPr>
      <w:r>
        <w:rPr>
          <w:rFonts w:hint="eastAsia"/>
          <w:lang w:val="zh-CN"/>
        </w:rPr>
        <w:t>【新老干部活动中心建设推进】</w:t>
      </w:r>
    </w:p>
    <w:p w14:paraId="6593065E">
      <w:pPr>
        <w:bidi w:val="0"/>
        <w:rPr>
          <w:rFonts w:hint="eastAsia"/>
          <w:lang w:val="zh-CN"/>
        </w:rPr>
      </w:pPr>
      <w:r>
        <w:rPr>
          <w:rFonts w:hint="eastAsia"/>
          <w:lang w:val="zh-CN"/>
        </w:rPr>
        <w:t>新老干部活动中心是南雄市2018年重点工作建设项目，位于时代广场，总面积5600多平方米，由城投公司负责全过程代建，老干部局全过程跟踪协调推进，2018年装修工程进入收尾阶段，同时在新活动中心筹备开办老干部大学。</w:t>
      </w:r>
    </w:p>
    <w:p w14:paraId="03F1077B">
      <w:pPr>
        <w:pStyle w:val="4"/>
        <w:bidi w:val="0"/>
        <w:rPr>
          <w:rFonts w:hint="eastAsia"/>
          <w:lang w:val="zh-CN"/>
        </w:rPr>
      </w:pPr>
      <w:r>
        <w:rPr>
          <w:rFonts w:hint="eastAsia"/>
          <w:lang w:val="zh-CN"/>
        </w:rPr>
        <w:t>【离退休干部党工委筹备成立】</w:t>
      </w:r>
    </w:p>
    <w:p w14:paraId="252B725F">
      <w:pPr>
        <w:bidi w:val="0"/>
        <w:rPr>
          <w:rFonts w:hint="eastAsia"/>
          <w:lang w:val="zh-CN"/>
        </w:rPr>
      </w:pPr>
      <w:r>
        <w:rPr>
          <w:rFonts w:hint="eastAsia"/>
          <w:lang w:val="zh-CN"/>
        </w:rPr>
        <w:t>按照省委、韶关市委老干部局部署要求，2018年8月成立南雄市离退休干部党工委，加强离退休干部党建工作，协调指导全市离退休干部党支部开展工作。</w:t>
      </w:r>
      <w:r>
        <w:rPr>
          <w:rFonts w:hint="eastAsia"/>
          <w:b/>
          <w:bCs/>
          <w:lang w:val="zh-CN"/>
        </w:rPr>
        <w:t>（梁潇云）</w:t>
      </w:r>
    </w:p>
    <w:p w14:paraId="10D26FAC">
      <w:pPr>
        <w:bidi w:val="0"/>
        <w:ind w:left="0" w:leftChars="0" w:firstLine="0" w:firstLineChars="0"/>
        <w:rPr>
          <w:rFonts w:hint="eastAsia"/>
          <w:b/>
          <w:bCs/>
          <w:lang w:val="zh-CN"/>
        </w:rPr>
      </w:pPr>
      <w:r>
        <w:rPr>
          <w:rFonts w:hint="eastAsia"/>
          <w:b/>
          <w:bCs/>
          <w:lang w:val="zh-CN"/>
        </w:rPr>
        <w:t>附：2018年市委老干局领导班子成员名单</w:t>
      </w:r>
    </w:p>
    <w:p w14:paraId="6E8621DF">
      <w:pPr>
        <w:bidi w:val="0"/>
        <w:ind w:left="0" w:leftChars="0" w:firstLine="0" w:firstLineChars="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李振华</w:t>
      </w:r>
    </w:p>
    <w:p w14:paraId="3CE43B51">
      <w:pPr>
        <w:bidi w:val="0"/>
        <w:ind w:left="0" w:leftChars="0" w:firstLine="0" w:firstLineChars="0"/>
        <w:rPr>
          <w:rFonts w:hint="eastAsia"/>
          <w:lang w:val="zh-CN"/>
        </w:rPr>
      </w:pPr>
      <w:r>
        <w:rPr>
          <w:rFonts w:hint="eastAsia"/>
          <w:b/>
          <w:bCs/>
          <w:lang w:val="zh-CN"/>
        </w:rPr>
        <w:t>副局长：</w:t>
      </w:r>
      <w:r>
        <w:rPr>
          <w:rFonts w:hint="eastAsia"/>
          <w:lang w:val="zh-CN"/>
        </w:rPr>
        <w:t>曾冠雄</w:t>
      </w:r>
      <w:r>
        <w:rPr>
          <w:rFonts w:hint="eastAsia"/>
          <w:lang w:val="en-US" w:eastAsia="zh-CN"/>
        </w:rPr>
        <w:t xml:space="preserve">   </w:t>
      </w:r>
      <w:r>
        <w:rPr>
          <w:rFonts w:hint="eastAsia"/>
          <w:lang w:val="zh-CN"/>
        </w:rPr>
        <w:t>饶纪有</w:t>
      </w:r>
    </w:p>
    <w:p w14:paraId="7DCA744D">
      <w:pPr>
        <w:pStyle w:val="3"/>
        <w:bidi w:val="0"/>
        <w:rPr>
          <w:rFonts w:hint="eastAsia"/>
          <w:lang w:val="zh-CN"/>
        </w:rPr>
      </w:pPr>
      <w:r>
        <w:rPr>
          <w:rFonts w:hint="eastAsia"/>
          <w:lang w:val="zh-CN"/>
        </w:rPr>
        <w:t>党校工作</w:t>
      </w:r>
    </w:p>
    <w:p w14:paraId="0FF2A4A1">
      <w:pPr>
        <w:pStyle w:val="4"/>
        <w:bidi w:val="0"/>
        <w:rPr>
          <w:rFonts w:hint="eastAsia"/>
          <w:lang w:val="zh-CN"/>
        </w:rPr>
      </w:pPr>
      <w:r>
        <w:rPr>
          <w:rFonts w:hint="eastAsia"/>
          <w:lang w:val="zh-CN"/>
        </w:rPr>
        <w:t>【概况】</w:t>
      </w:r>
    </w:p>
    <w:p w14:paraId="3AF55014">
      <w:pPr>
        <w:bidi w:val="0"/>
        <w:rPr>
          <w:rFonts w:hint="eastAsia"/>
          <w:lang w:val="zh-CN"/>
        </w:rPr>
      </w:pPr>
      <w:r>
        <w:rPr>
          <w:rFonts w:hint="eastAsia"/>
          <w:lang w:val="zh-CN"/>
        </w:rPr>
        <w:t>中国共产党南雄市委员会党校位于南雄市雄州街道雄东路148号，占地面积1.5万平方米，建筑面积3200多平方米。2003年8月，根据南雄市委办公室文件精神，中国共产党南雄市委员会党校、南雄市广播电视大学（2017年8月更名为南雄开放大学）、南雄市教师进修学校“三校”合并，实行一套人马、三块牌子的办学模式。由南雄市委副书记兼任校长，常务副校长主持学校日常工作，重大事项由党政班子会议讨论决定。为南雄市委直属单位，内设6个股级机构：办公室、教务处、培训处、电教处、后勤处、农村劳动力培训服务中心。领导职数5名（校长1正4副，工会主席1名），内设机构领导职数12名（6正6副）。学校办学经费主要来源于市财政拨款，教职工工资由市财政全额拨付。2018年学校教职工40人，其中专职教师27人，占全体教职工的67.5%（高级教师5人，中级教师19人，初级教师3人），其他专业技术人员2人，参公管理人员7人，职员2人，职工2人。</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7A93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95C51A5">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2995" cy="3766185"/>
                  <wp:effectExtent l="0" t="0" r="8255" b="5715"/>
                  <wp:docPr id="99" name="图片 99" descr="南雄年鉴2019_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南雄年鉴2019_0076"/>
                          <pic:cNvPicPr>
                            <a:picLocks noChangeAspect="1"/>
                          </pic:cNvPicPr>
                        </pic:nvPicPr>
                        <pic:blipFill>
                          <a:blip r:embed="rId88"/>
                          <a:stretch>
                            <a:fillRect/>
                          </a:stretch>
                        </pic:blipFill>
                        <pic:spPr>
                          <a:xfrm>
                            <a:off x="0" y="0"/>
                            <a:ext cx="6182995" cy="3766185"/>
                          </a:xfrm>
                          <a:prstGeom prst="rect">
                            <a:avLst/>
                          </a:prstGeom>
                        </pic:spPr>
                      </pic:pic>
                    </a:graphicData>
                  </a:graphic>
                </wp:inline>
              </w:drawing>
            </w:r>
          </w:p>
        </w:tc>
      </w:tr>
      <w:tr w14:paraId="6EDF2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4958E7C">
            <w:pPr>
              <w:bidi w:val="0"/>
              <w:rPr>
                <w:rFonts w:hint="eastAsia"/>
                <w:vertAlign w:val="baseline"/>
                <w:lang w:val="zh-CN"/>
              </w:rPr>
            </w:pPr>
            <w:r>
              <w:rPr>
                <w:rFonts w:hint="eastAsia" w:ascii="FZKTK--GBK1-0" w:hAnsi="FZKTK--GBK1-0" w:eastAsia="FZKTK--GBK1-0"/>
                <w:sz w:val="20"/>
              </w:rPr>
              <w:t>2018年3月19日，市委副书记、市委党校校长叶济熊（横排左）到学校研究工作</w:t>
            </w:r>
          </w:p>
        </w:tc>
      </w:tr>
    </w:tbl>
    <w:p w14:paraId="6F4504A8">
      <w:pPr>
        <w:pStyle w:val="4"/>
        <w:bidi w:val="0"/>
        <w:rPr>
          <w:rFonts w:hint="eastAsia"/>
          <w:lang w:val="zh-CN"/>
        </w:rPr>
      </w:pPr>
      <w:r>
        <w:rPr>
          <w:rFonts w:hint="eastAsia"/>
          <w:lang w:val="zh-CN"/>
        </w:rPr>
        <w:t>【队伍建设】</w:t>
      </w:r>
    </w:p>
    <w:p w14:paraId="5A81C97C">
      <w:pPr>
        <w:bidi w:val="0"/>
        <w:rPr>
          <w:rFonts w:hint="eastAsia"/>
          <w:lang w:val="zh-CN"/>
        </w:rPr>
      </w:pPr>
      <w:r>
        <w:rPr>
          <w:rFonts w:hint="eastAsia"/>
          <w:lang w:val="zh-CN"/>
        </w:rPr>
        <w:t>聘请知识渊博、实践经验丰富的市直有关单位领导、上级党校专家教授前来授课，不断充实师资力量。加大骨干教师培养力度。学校一贯重视年轻骨干教师的培养，鼓励年轻教师参加上级部门组织的各类竞赛比赛。2018年，学校教师池丽泉和代文乐在韶关市委党校系统精品课评选活动中分别获得理论教育类二等奖和三等奖。此外，学校还鼓励青年教师继续教育学习，积极参加教育教学培训。2018年，学校组织2位骨干教师参加省党校行政学院系统习近平新时代中国特色社会主义思想暨新发展理念教学研讨班和学习贯彻习近平总书记在参加十三届全国人大一次会议广东代表团审议时的重要讲话精神师资培训班；组织2位骨干教师参加韶关市县（处）级党委（党组）理论学习中心组秘书及基层宣讲骨干培训班。</w:t>
      </w:r>
    </w:p>
    <w:p w14:paraId="0F2194D4">
      <w:pPr>
        <w:pStyle w:val="4"/>
        <w:bidi w:val="0"/>
        <w:rPr>
          <w:rFonts w:hint="eastAsia"/>
          <w:lang w:val="zh-CN"/>
        </w:rPr>
      </w:pPr>
      <w:r>
        <w:rPr>
          <w:rFonts w:hint="eastAsia"/>
          <w:lang w:val="zh-CN"/>
        </w:rPr>
        <w:t>【培训开展】</w:t>
      </w:r>
    </w:p>
    <w:p w14:paraId="54DB4521">
      <w:pPr>
        <w:bidi w:val="0"/>
        <w:rPr>
          <w:rFonts w:hint="eastAsia"/>
          <w:lang w:val="zh-CN"/>
        </w:rPr>
      </w:pPr>
      <w:r>
        <w:rPr>
          <w:rFonts w:hint="eastAsia"/>
          <w:lang w:val="zh-CN"/>
        </w:rPr>
        <w:t>学校根据南雄发展实际和市委决策部署，充实和创新教学内容，按照不同类别设置教学班次，为南雄经济社会发展需要设置教学专题。学校始终坚持干部教育培训的主业主课地位，认真贯彻落实中组部、省委组织部《关于加强干部培训学员管理的若干规定》精神，以党的十九大精神、习近平新时代中国特色社会主义思想和习近平总书记参加广东代表团审议时的重要讲话精神为指导，围绕中心，服务大局，同心协力，求实创新，干部教育培训质量进一步提升，全面完成培训、宣讲工作目标。学校先后承接各级各部门举办的入党积极分子培训班、中青班、公务员全员培训班、市直机关基层党组织书记培训班等多个主体班培训等295期，培训学员3.25万人次，详情见下表：</w:t>
      </w:r>
    </w:p>
    <w:p w14:paraId="4E73C5B2">
      <w:pPr>
        <w:bidi w:val="0"/>
        <w:ind w:left="0" w:leftChars="0" w:firstLine="0" w:firstLineChars="0"/>
        <w:jc w:val="center"/>
        <w:rPr>
          <w:rFonts w:hint="eastAsia"/>
          <w:b/>
          <w:bCs/>
          <w:lang w:val="zh-CN"/>
        </w:rPr>
      </w:pPr>
      <w:r>
        <w:rPr>
          <w:rFonts w:hint="eastAsia"/>
          <w:b/>
          <w:bCs/>
          <w:lang w:val="zh-CN"/>
        </w:rPr>
        <w:t>表1</w:t>
      </w:r>
      <w:r>
        <w:rPr>
          <w:rFonts w:hint="eastAsia"/>
          <w:b/>
          <w:bCs/>
          <w:lang w:val="en-US" w:eastAsia="zh-CN"/>
        </w:rPr>
        <w:t xml:space="preserve">  </w:t>
      </w:r>
      <w:r>
        <w:rPr>
          <w:rFonts w:hint="eastAsia"/>
          <w:b/>
          <w:bCs/>
          <w:lang w:val="zh-CN"/>
        </w:rPr>
        <w:t>2018年组织各类培训情况表</w:t>
      </w:r>
    </w:p>
    <w:tbl>
      <w:tblPr>
        <w:tblStyle w:val="7"/>
        <w:tblW w:w="4998" w:type="pct"/>
        <w:tblInd w:w="0" w:type="dxa"/>
        <w:tblLayout w:type="autofit"/>
        <w:tblCellMar>
          <w:top w:w="0" w:type="dxa"/>
          <w:left w:w="0" w:type="dxa"/>
          <w:bottom w:w="0" w:type="dxa"/>
          <w:right w:w="0" w:type="dxa"/>
        </w:tblCellMar>
      </w:tblPr>
      <w:tblGrid>
        <w:gridCol w:w="5307"/>
        <w:gridCol w:w="1041"/>
        <w:gridCol w:w="1696"/>
        <w:gridCol w:w="1698"/>
      </w:tblGrid>
      <w:tr w14:paraId="6029BA93">
        <w:tblPrEx>
          <w:tblCellMar>
            <w:top w:w="0" w:type="dxa"/>
            <w:left w:w="0" w:type="dxa"/>
            <w:bottom w:w="0" w:type="dxa"/>
            <w:right w:w="0" w:type="dxa"/>
          </w:tblCellMar>
        </w:tblPrEx>
        <w:trPr>
          <w:trHeight w:val="396" w:hRule="atLeast"/>
        </w:trPr>
        <w:tc>
          <w:tcPr>
            <w:tcW w:w="2722" w:type="pct"/>
            <w:tcBorders>
              <w:top w:val="single" w:color="auto" w:sz="4" w:space="0"/>
              <w:left w:val="nil"/>
              <w:bottom w:val="single" w:color="auto" w:sz="4" w:space="0"/>
              <w:right w:val="single" w:color="auto" w:sz="4" w:space="0"/>
            </w:tcBorders>
            <w:shd w:val="clear" w:color="auto" w:fill="FFFFFF"/>
            <w:noWrap w:val="0"/>
            <w:vAlign w:val="center"/>
          </w:tcPr>
          <w:p w14:paraId="70B3474B">
            <w:pPr>
              <w:pStyle w:val="11"/>
              <w:bidi w:val="0"/>
              <w:jc w:val="center"/>
              <w:rPr>
                <w:rFonts w:hint="eastAsia"/>
                <w:b/>
                <w:bCs/>
                <w:lang w:val="zh-CN"/>
              </w:rPr>
            </w:pPr>
            <w:r>
              <w:rPr>
                <w:rFonts w:hint="eastAsia"/>
                <w:b/>
                <w:bCs/>
                <w:lang w:val="zh-CN"/>
              </w:rPr>
              <w:t>培训班别</w:t>
            </w:r>
          </w:p>
        </w:tc>
        <w:tc>
          <w:tcPr>
            <w:tcW w:w="534"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373DAB3F">
            <w:pPr>
              <w:pStyle w:val="11"/>
              <w:bidi w:val="0"/>
              <w:jc w:val="center"/>
              <w:rPr>
                <w:rFonts w:hint="eastAsia"/>
                <w:b/>
                <w:bCs/>
                <w:lang w:val="zh-CN"/>
              </w:rPr>
            </w:pPr>
            <w:r>
              <w:rPr>
                <w:rFonts w:hint="eastAsia"/>
                <w:b/>
                <w:bCs/>
                <w:lang w:val="zh-CN"/>
              </w:rPr>
              <w:t>举办期数</w:t>
            </w:r>
          </w:p>
        </w:tc>
        <w:tc>
          <w:tcPr>
            <w:tcW w:w="870"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0" w:type="dxa"/>
              <w:bottom w:w="0" w:type="dxa"/>
              <w:right w:w="0" w:type="dxa"/>
            </w:tcMar>
            <w:vAlign w:val="center"/>
          </w:tcPr>
          <w:p w14:paraId="6F8A7791">
            <w:pPr>
              <w:pStyle w:val="11"/>
              <w:bidi w:val="0"/>
              <w:jc w:val="center"/>
              <w:rPr>
                <w:rFonts w:hint="eastAsia"/>
                <w:b/>
                <w:bCs/>
                <w:lang w:val="zh-CN"/>
              </w:rPr>
            </w:pPr>
            <w:r>
              <w:rPr>
                <w:rFonts w:hint="eastAsia"/>
                <w:b/>
                <w:bCs/>
                <w:lang w:val="zh-CN"/>
              </w:rPr>
              <w:t>培训人数</w:t>
            </w:r>
          </w:p>
        </w:tc>
        <w:tc>
          <w:tcPr>
            <w:tcW w:w="871" w:type="pct"/>
            <w:tcBorders>
              <w:top w:val="single" w:color="auto" w:sz="4" w:space="0"/>
              <w:left w:val="single" w:color="auto" w:sz="4" w:space="0"/>
              <w:bottom w:val="single" w:color="auto" w:sz="4" w:space="0"/>
              <w:right w:val="nil"/>
            </w:tcBorders>
            <w:shd w:val="clear" w:color="auto" w:fill="FFFFFF"/>
            <w:noWrap w:val="0"/>
            <w:tcMar>
              <w:top w:w="0" w:type="dxa"/>
              <w:bottom w:w="0" w:type="dxa"/>
            </w:tcMar>
            <w:vAlign w:val="center"/>
          </w:tcPr>
          <w:p w14:paraId="72E88097">
            <w:pPr>
              <w:pStyle w:val="11"/>
              <w:bidi w:val="0"/>
              <w:jc w:val="center"/>
              <w:rPr>
                <w:rFonts w:hint="eastAsia"/>
                <w:b/>
                <w:bCs/>
                <w:lang w:val="zh-CN"/>
              </w:rPr>
            </w:pPr>
            <w:r>
              <w:rPr>
                <w:rFonts w:hint="eastAsia"/>
                <w:b/>
                <w:bCs/>
                <w:lang w:val="zh-CN"/>
              </w:rPr>
              <w:t>举办部门</w:t>
            </w:r>
          </w:p>
        </w:tc>
      </w:tr>
      <w:tr w14:paraId="6B351C2C">
        <w:tblPrEx>
          <w:tblCellMar>
            <w:top w:w="0" w:type="dxa"/>
            <w:left w:w="0" w:type="dxa"/>
            <w:bottom w:w="0" w:type="dxa"/>
            <w:right w:w="0" w:type="dxa"/>
          </w:tblCellMar>
        </w:tblPrEx>
        <w:trPr>
          <w:trHeight w:val="396" w:hRule="atLeast"/>
        </w:trPr>
        <w:tc>
          <w:tcPr>
            <w:tcW w:w="2722" w:type="pct"/>
            <w:tcBorders>
              <w:top w:val="single" w:color="auto" w:sz="4" w:space="0"/>
              <w:left w:val="nil"/>
              <w:bottom w:val="single" w:color="auto" w:sz="4" w:space="0"/>
              <w:right w:val="single" w:color="auto" w:sz="4" w:space="0"/>
            </w:tcBorders>
            <w:shd w:val="clear" w:color="auto" w:fill="FFFFFF"/>
            <w:noWrap w:val="0"/>
            <w:vAlign w:val="center"/>
          </w:tcPr>
          <w:p w14:paraId="749BC4F2">
            <w:pPr>
              <w:pStyle w:val="11"/>
              <w:bidi w:val="0"/>
              <w:jc w:val="both"/>
              <w:rPr>
                <w:rFonts w:hint="eastAsia"/>
                <w:lang w:val="zh-CN"/>
              </w:rPr>
            </w:pPr>
            <w:r>
              <w:rPr>
                <w:rFonts w:hint="eastAsia"/>
                <w:lang w:val="zh-CN"/>
              </w:rPr>
              <w:t>《习近平谈治国理政》第二卷精神宣讲</w:t>
            </w:r>
          </w:p>
        </w:tc>
        <w:tc>
          <w:tcPr>
            <w:tcW w:w="534"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538CA122">
            <w:pPr>
              <w:pStyle w:val="11"/>
              <w:bidi w:val="0"/>
              <w:jc w:val="center"/>
              <w:rPr>
                <w:rFonts w:hint="eastAsia"/>
                <w:lang w:val="zh-CN"/>
              </w:rPr>
            </w:pPr>
            <w:r>
              <w:rPr>
                <w:rFonts w:hint="eastAsia"/>
                <w:lang w:val="zh-CN"/>
              </w:rPr>
              <w:t>100</w:t>
            </w:r>
          </w:p>
        </w:tc>
        <w:tc>
          <w:tcPr>
            <w:tcW w:w="870"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227" w:type="dxa"/>
              <w:bottom w:w="0" w:type="dxa"/>
              <w:right w:w="57" w:type="dxa"/>
            </w:tcMar>
            <w:vAlign w:val="center"/>
          </w:tcPr>
          <w:p w14:paraId="6FD2E377">
            <w:pPr>
              <w:pStyle w:val="11"/>
              <w:bidi w:val="0"/>
              <w:jc w:val="center"/>
              <w:rPr>
                <w:rFonts w:hint="eastAsia"/>
                <w:lang w:val="zh-CN"/>
              </w:rPr>
            </w:pPr>
            <w:r>
              <w:rPr>
                <w:rFonts w:hint="eastAsia"/>
                <w:lang w:val="zh-CN"/>
              </w:rPr>
              <w:t>8100</w:t>
            </w:r>
          </w:p>
        </w:tc>
        <w:tc>
          <w:tcPr>
            <w:tcW w:w="871" w:type="pct"/>
            <w:tcBorders>
              <w:top w:val="single" w:color="auto" w:sz="4" w:space="0"/>
              <w:left w:val="single" w:color="auto" w:sz="4" w:space="0"/>
              <w:bottom w:val="single" w:color="auto" w:sz="4" w:space="0"/>
              <w:right w:val="nil"/>
            </w:tcBorders>
            <w:shd w:val="clear" w:color="auto" w:fill="FFFFFF"/>
            <w:noWrap w:val="0"/>
            <w:tcMar>
              <w:top w:w="0" w:type="dxa"/>
              <w:bottom w:w="0" w:type="dxa"/>
              <w:right w:w="57" w:type="dxa"/>
            </w:tcMar>
            <w:vAlign w:val="center"/>
          </w:tcPr>
          <w:p w14:paraId="361D68EC">
            <w:pPr>
              <w:pStyle w:val="11"/>
              <w:bidi w:val="0"/>
              <w:jc w:val="center"/>
              <w:rPr>
                <w:rFonts w:hint="eastAsia"/>
                <w:lang w:val="zh-CN"/>
              </w:rPr>
            </w:pPr>
            <w:r>
              <w:rPr>
                <w:rFonts w:hint="eastAsia"/>
                <w:lang w:val="zh-CN"/>
              </w:rPr>
              <w:t>宣传部</w:t>
            </w:r>
          </w:p>
        </w:tc>
      </w:tr>
      <w:tr w14:paraId="03DA8769">
        <w:tblPrEx>
          <w:tblCellMar>
            <w:top w:w="0" w:type="dxa"/>
            <w:left w:w="0" w:type="dxa"/>
            <w:bottom w:w="0" w:type="dxa"/>
            <w:right w:w="0" w:type="dxa"/>
          </w:tblCellMar>
        </w:tblPrEx>
        <w:trPr>
          <w:trHeight w:val="396" w:hRule="atLeast"/>
        </w:trPr>
        <w:tc>
          <w:tcPr>
            <w:tcW w:w="2722" w:type="pct"/>
            <w:tcBorders>
              <w:top w:val="single" w:color="auto" w:sz="4" w:space="0"/>
              <w:left w:val="nil"/>
              <w:bottom w:val="single" w:color="auto" w:sz="4" w:space="0"/>
              <w:right w:val="single" w:color="auto" w:sz="4" w:space="0"/>
            </w:tcBorders>
            <w:shd w:val="clear" w:color="auto" w:fill="FFFFFF"/>
            <w:noWrap w:val="0"/>
            <w:vAlign w:val="center"/>
          </w:tcPr>
          <w:p w14:paraId="6592D699">
            <w:pPr>
              <w:pStyle w:val="11"/>
              <w:bidi w:val="0"/>
              <w:jc w:val="both"/>
              <w:rPr>
                <w:rFonts w:hint="eastAsia"/>
                <w:lang w:val="zh-CN"/>
              </w:rPr>
            </w:pPr>
            <w:r>
              <w:rPr>
                <w:rFonts w:hint="eastAsia"/>
                <w:lang w:val="zh-CN"/>
              </w:rPr>
              <w:t>习近平总书记参加广东代表团审议时重要讲话精神宣讲</w:t>
            </w:r>
          </w:p>
        </w:tc>
        <w:tc>
          <w:tcPr>
            <w:tcW w:w="534"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67948885">
            <w:pPr>
              <w:pStyle w:val="11"/>
              <w:bidi w:val="0"/>
              <w:jc w:val="center"/>
              <w:rPr>
                <w:rFonts w:hint="eastAsia"/>
                <w:lang w:val="zh-CN"/>
              </w:rPr>
            </w:pPr>
            <w:r>
              <w:rPr>
                <w:rFonts w:hint="eastAsia"/>
                <w:lang w:val="zh-CN"/>
              </w:rPr>
              <w:t>57</w:t>
            </w:r>
          </w:p>
        </w:tc>
        <w:tc>
          <w:tcPr>
            <w:tcW w:w="870"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227" w:type="dxa"/>
              <w:bottom w:w="0" w:type="dxa"/>
              <w:right w:w="57" w:type="dxa"/>
            </w:tcMar>
            <w:vAlign w:val="center"/>
          </w:tcPr>
          <w:p w14:paraId="2AD00BA2">
            <w:pPr>
              <w:pStyle w:val="11"/>
              <w:bidi w:val="0"/>
              <w:jc w:val="center"/>
              <w:rPr>
                <w:rFonts w:hint="eastAsia"/>
                <w:lang w:val="zh-CN"/>
              </w:rPr>
            </w:pPr>
            <w:r>
              <w:rPr>
                <w:rFonts w:hint="eastAsia"/>
                <w:lang w:val="zh-CN"/>
              </w:rPr>
              <w:t>8100</w:t>
            </w:r>
          </w:p>
        </w:tc>
        <w:tc>
          <w:tcPr>
            <w:tcW w:w="871" w:type="pct"/>
            <w:tcBorders>
              <w:top w:val="single" w:color="auto" w:sz="4" w:space="0"/>
              <w:left w:val="single" w:color="auto" w:sz="4" w:space="0"/>
              <w:bottom w:val="single" w:color="auto" w:sz="4" w:space="0"/>
              <w:right w:val="nil"/>
            </w:tcBorders>
            <w:shd w:val="clear" w:color="auto" w:fill="FFFFFF"/>
            <w:noWrap w:val="0"/>
            <w:tcMar>
              <w:top w:w="0" w:type="dxa"/>
              <w:bottom w:w="0" w:type="dxa"/>
              <w:right w:w="57" w:type="dxa"/>
            </w:tcMar>
            <w:vAlign w:val="center"/>
          </w:tcPr>
          <w:p w14:paraId="4E678AD2">
            <w:pPr>
              <w:pStyle w:val="11"/>
              <w:bidi w:val="0"/>
              <w:jc w:val="center"/>
              <w:rPr>
                <w:rFonts w:hint="eastAsia"/>
                <w:lang w:val="zh-CN"/>
              </w:rPr>
            </w:pPr>
            <w:r>
              <w:rPr>
                <w:rFonts w:hint="eastAsia"/>
                <w:lang w:val="zh-CN"/>
              </w:rPr>
              <w:t>组织部、宣传部</w:t>
            </w:r>
          </w:p>
        </w:tc>
      </w:tr>
      <w:tr w14:paraId="717B441D">
        <w:tblPrEx>
          <w:tblCellMar>
            <w:top w:w="0" w:type="dxa"/>
            <w:left w:w="0" w:type="dxa"/>
            <w:bottom w:w="0" w:type="dxa"/>
            <w:right w:w="0" w:type="dxa"/>
          </w:tblCellMar>
        </w:tblPrEx>
        <w:trPr>
          <w:trHeight w:val="396" w:hRule="atLeast"/>
        </w:trPr>
        <w:tc>
          <w:tcPr>
            <w:tcW w:w="2722" w:type="pct"/>
            <w:tcBorders>
              <w:top w:val="single" w:color="auto" w:sz="4" w:space="0"/>
              <w:left w:val="nil"/>
              <w:bottom w:val="single" w:color="auto" w:sz="4" w:space="0"/>
              <w:right w:val="single" w:color="auto" w:sz="4" w:space="0"/>
            </w:tcBorders>
            <w:shd w:val="clear" w:color="auto" w:fill="FFFFFF"/>
            <w:noWrap w:val="0"/>
            <w:vAlign w:val="center"/>
          </w:tcPr>
          <w:p w14:paraId="2D9271C7">
            <w:pPr>
              <w:pStyle w:val="11"/>
              <w:bidi w:val="0"/>
              <w:jc w:val="both"/>
              <w:rPr>
                <w:rFonts w:hint="eastAsia"/>
                <w:lang w:val="zh-CN"/>
              </w:rPr>
            </w:pPr>
            <w:r>
              <w:rPr>
                <w:rFonts w:hint="eastAsia"/>
                <w:lang w:val="zh-CN"/>
              </w:rPr>
              <w:t>2018入党积极分子培训班</w:t>
            </w:r>
          </w:p>
        </w:tc>
        <w:tc>
          <w:tcPr>
            <w:tcW w:w="534"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23E322A2">
            <w:pPr>
              <w:pStyle w:val="11"/>
              <w:bidi w:val="0"/>
              <w:jc w:val="center"/>
              <w:rPr>
                <w:rFonts w:hint="eastAsia"/>
                <w:lang w:val="zh-CN"/>
              </w:rPr>
            </w:pPr>
            <w:r>
              <w:rPr>
                <w:rFonts w:hint="eastAsia"/>
                <w:lang w:val="zh-CN"/>
              </w:rPr>
              <w:t>1</w:t>
            </w:r>
          </w:p>
        </w:tc>
        <w:tc>
          <w:tcPr>
            <w:tcW w:w="870"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227" w:type="dxa"/>
              <w:bottom w:w="0" w:type="dxa"/>
              <w:right w:w="57" w:type="dxa"/>
            </w:tcMar>
            <w:vAlign w:val="center"/>
          </w:tcPr>
          <w:p w14:paraId="0DE18C28">
            <w:pPr>
              <w:pStyle w:val="11"/>
              <w:bidi w:val="0"/>
              <w:jc w:val="center"/>
              <w:rPr>
                <w:rFonts w:hint="eastAsia"/>
                <w:lang w:val="zh-CN"/>
              </w:rPr>
            </w:pPr>
            <w:r>
              <w:rPr>
                <w:rFonts w:hint="eastAsia"/>
                <w:lang w:val="zh-CN"/>
              </w:rPr>
              <w:t>137</w:t>
            </w:r>
          </w:p>
        </w:tc>
        <w:tc>
          <w:tcPr>
            <w:tcW w:w="871" w:type="pct"/>
            <w:tcBorders>
              <w:top w:val="single" w:color="auto" w:sz="4" w:space="0"/>
              <w:left w:val="single" w:color="auto" w:sz="4" w:space="0"/>
              <w:bottom w:val="single" w:color="auto" w:sz="4" w:space="0"/>
              <w:right w:val="nil"/>
            </w:tcBorders>
            <w:shd w:val="clear" w:color="auto" w:fill="FFFFFF"/>
            <w:noWrap w:val="0"/>
            <w:tcMar>
              <w:top w:w="0" w:type="dxa"/>
              <w:bottom w:w="0" w:type="dxa"/>
              <w:right w:w="57" w:type="dxa"/>
            </w:tcMar>
            <w:vAlign w:val="center"/>
          </w:tcPr>
          <w:p w14:paraId="3A6D65E9">
            <w:pPr>
              <w:pStyle w:val="11"/>
              <w:bidi w:val="0"/>
              <w:jc w:val="center"/>
              <w:rPr>
                <w:rFonts w:hint="eastAsia"/>
                <w:lang w:val="zh-CN"/>
              </w:rPr>
            </w:pPr>
            <w:r>
              <w:rPr>
                <w:rFonts w:hint="eastAsia"/>
                <w:lang w:val="zh-CN"/>
              </w:rPr>
              <w:t>直属工委</w:t>
            </w:r>
          </w:p>
        </w:tc>
      </w:tr>
      <w:tr w14:paraId="49F1529F">
        <w:tblPrEx>
          <w:tblCellMar>
            <w:top w:w="0" w:type="dxa"/>
            <w:left w:w="0" w:type="dxa"/>
            <w:bottom w:w="0" w:type="dxa"/>
            <w:right w:w="0" w:type="dxa"/>
          </w:tblCellMar>
        </w:tblPrEx>
        <w:trPr>
          <w:trHeight w:val="396" w:hRule="atLeast"/>
        </w:trPr>
        <w:tc>
          <w:tcPr>
            <w:tcW w:w="2722" w:type="pct"/>
            <w:tcBorders>
              <w:top w:val="single" w:color="auto" w:sz="4" w:space="0"/>
              <w:left w:val="nil"/>
              <w:bottom w:val="single" w:color="auto" w:sz="4" w:space="0"/>
              <w:right w:val="single" w:color="auto" w:sz="4" w:space="0"/>
            </w:tcBorders>
            <w:shd w:val="clear" w:color="auto" w:fill="FFFFFF"/>
            <w:noWrap w:val="0"/>
            <w:vAlign w:val="center"/>
          </w:tcPr>
          <w:p w14:paraId="40235C47">
            <w:pPr>
              <w:pStyle w:val="11"/>
              <w:bidi w:val="0"/>
              <w:jc w:val="both"/>
              <w:rPr>
                <w:rFonts w:hint="eastAsia"/>
                <w:lang w:val="zh-CN"/>
              </w:rPr>
            </w:pPr>
            <w:r>
              <w:rPr>
                <w:rFonts w:hint="eastAsia"/>
                <w:lang w:val="zh-CN"/>
              </w:rPr>
              <w:t>《习近平新时代中国特色社会主义思想三十讲》宣讲</w:t>
            </w:r>
          </w:p>
        </w:tc>
        <w:tc>
          <w:tcPr>
            <w:tcW w:w="534"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01FC0539">
            <w:pPr>
              <w:pStyle w:val="11"/>
              <w:bidi w:val="0"/>
              <w:jc w:val="center"/>
              <w:rPr>
                <w:rFonts w:hint="eastAsia"/>
                <w:lang w:val="zh-CN"/>
              </w:rPr>
            </w:pPr>
            <w:r>
              <w:rPr>
                <w:rFonts w:hint="eastAsia"/>
                <w:lang w:val="zh-CN"/>
              </w:rPr>
              <w:t>71</w:t>
            </w:r>
          </w:p>
        </w:tc>
        <w:tc>
          <w:tcPr>
            <w:tcW w:w="870"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227" w:type="dxa"/>
              <w:bottom w:w="0" w:type="dxa"/>
              <w:right w:w="57" w:type="dxa"/>
            </w:tcMar>
            <w:vAlign w:val="center"/>
          </w:tcPr>
          <w:p w14:paraId="3ABDF4FB">
            <w:pPr>
              <w:pStyle w:val="11"/>
              <w:bidi w:val="0"/>
              <w:jc w:val="center"/>
              <w:rPr>
                <w:rFonts w:hint="eastAsia"/>
                <w:lang w:val="zh-CN"/>
              </w:rPr>
            </w:pPr>
            <w:r>
              <w:rPr>
                <w:rFonts w:hint="eastAsia"/>
                <w:lang w:val="zh-CN"/>
              </w:rPr>
              <w:t>7900</w:t>
            </w:r>
          </w:p>
        </w:tc>
        <w:tc>
          <w:tcPr>
            <w:tcW w:w="871" w:type="pct"/>
            <w:tcBorders>
              <w:top w:val="single" w:color="auto" w:sz="4" w:space="0"/>
              <w:left w:val="single" w:color="auto" w:sz="4" w:space="0"/>
              <w:bottom w:val="single" w:color="auto" w:sz="4" w:space="0"/>
              <w:right w:val="nil"/>
            </w:tcBorders>
            <w:shd w:val="clear" w:color="auto" w:fill="FFFFFF"/>
            <w:noWrap w:val="0"/>
            <w:tcMar>
              <w:top w:w="0" w:type="dxa"/>
              <w:bottom w:w="0" w:type="dxa"/>
              <w:right w:w="57" w:type="dxa"/>
            </w:tcMar>
            <w:vAlign w:val="center"/>
          </w:tcPr>
          <w:p w14:paraId="29E8A585">
            <w:pPr>
              <w:pStyle w:val="11"/>
              <w:bidi w:val="0"/>
              <w:jc w:val="center"/>
              <w:rPr>
                <w:rFonts w:hint="eastAsia"/>
                <w:lang w:val="zh-CN"/>
              </w:rPr>
            </w:pPr>
            <w:r>
              <w:rPr>
                <w:rFonts w:hint="eastAsia"/>
                <w:lang w:val="zh-CN"/>
              </w:rPr>
              <w:t>宣传部</w:t>
            </w:r>
          </w:p>
        </w:tc>
      </w:tr>
      <w:tr w14:paraId="519ECBC4">
        <w:tblPrEx>
          <w:tblCellMar>
            <w:top w:w="0" w:type="dxa"/>
            <w:left w:w="0" w:type="dxa"/>
            <w:bottom w:w="0" w:type="dxa"/>
            <w:right w:w="0" w:type="dxa"/>
          </w:tblCellMar>
        </w:tblPrEx>
        <w:trPr>
          <w:trHeight w:val="396" w:hRule="atLeast"/>
        </w:trPr>
        <w:tc>
          <w:tcPr>
            <w:tcW w:w="2722" w:type="pct"/>
            <w:tcBorders>
              <w:top w:val="single" w:color="auto" w:sz="4" w:space="0"/>
              <w:left w:val="nil"/>
              <w:bottom w:val="single" w:color="auto" w:sz="4" w:space="0"/>
              <w:right w:val="single" w:color="auto" w:sz="4" w:space="0"/>
            </w:tcBorders>
            <w:shd w:val="clear" w:color="auto" w:fill="FFFFFF"/>
            <w:noWrap w:val="0"/>
            <w:vAlign w:val="center"/>
          </w:tcPr>
          <w:p w14:paraId="78C24CB2">
            <w:pPr>
              <w:pStyle w:val="11"/>
              <w:bidi w:val="0"/>
              <w:jc w:val="both"/>
              <w:rPr>
                <w:rFonts w:hint="eastAsia"/>
                <w:lang w:val="zh-CN"/>
              </w:rPr>
            </w:pPr>
            <w:r>
              <w:rPr>
                <w:rFonts w:hint="eastAsia"/>
                <w:lang w:val="zh-CN"/>
              </w:rPr>
              <w:t>中青班</w:t>
            </w:r>
          </w:p>
        </w:tc>
        <w:tc>
          <w:tcPr>
            <w:tcW w:w="534"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7E84EE22">
            <w:pPr>
              <w:pStyle w:val="11"/>
              <w:bidi w:val="0"/>
              <w:jc w:val="center"/>
              <w:rPr>
                <w:rFonts w:hint="eastAsia"/>
                <w:lang w:val="zh-CN"/>
              </w:rPr>
            </w:pPr>
            <w:r>
              <w:rPr>
                <w:rFonts w:hint="eastAsia"/>
                <w:lang w:val="zh-CN"/>
              </w:rPr>
              <w:t>1</w:t>
            </w:r>
          </w:p>
        </w:tc>
        <w:tc>
          <w:tcPr>
            <w:tcW w:w="870"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227" w:type="dxa"/>
              <w:bottom w:w="0" w:type="dxa"/>
              <w:right w:w="57" w:type="dxa"/>
            </w:tcMar>
            <w:vAlign w:val="center"/>
          </w:tcPr>
          <w:p w14:paraId="38C32E40">
            <w:pPr>
              <w:pStyle w:val="11"/>
              <w:bidi w:val="0"/>
              <w:jc w:val="center"/>
              <w:rPr>
                <w:rFonts w:hint="eastAsia"/>
                <w:lang w:val="zh-CN"/>
              </w:rPr>
            </w:pPr>
            <w:r>
              <w:rPr>
                <w:rFonts w:hint="eastAsia"/>
                <w:lang w:val="zh-CN"/>
              </w:rPr>
              <w:t>50</w:t>
            </w:r>
          </w:p>
        </w:tc>
        <w:tc>
          <w:tcPr>
            <w:tcW w:w="871" w:type="pct"/>
            <w:tcBorders>
              <w:top w:val="single" w:color="auto" w:sz="4" w:space="0"/>
              <w:left w:val="single" w:color="auto" w:sz="4" w:space="0"/>
              <w:bottom w:val="single" w:color="auto" w:sz="4" w:space="0"/>
              <w:right w:val="nil"/>
            </w:tcBorders>
            <w:shd w:val="clear" w:color="auto" w:fill="FFFFFF"/>
            <w:noWrap w:val="0"/>
            <w:tcMar>
              <w:top w:w="0" w:type="dxa"/>
              <w:bottom w:w="0" w:type="dxa"/>
              <w:right w:w="57" w:type="dxa"/>
            </w:tcMar>
            <w:vAlign w:val="center"/>
          </w:tcPr>
          <w:p w14:paraId="0F80EE56">
            <w:pPr>
              <w:pStyle w:val="11"/>
              <w:bidi w:val="0"/>
              <w:jc w:val="center"/>
              <w:rPr>
                <w:rFonts w:hint="eastAsia"/>
                <w:lang w:val="zh-CN"/>
              </w:rPr>
            </w:pPr>
            <w:r>
              <w:rPr>
                <w:rFonts w:hint="eastAsia"/>
                <w:lang w:val="zh-CN"/>
              </w:rPr>
              <w:t>组织部</w:t>
            </w:r>
          </w:p>
        </w:tc>
      </w:tr>
      <w:tr w14:paraId="729C502C">
        <w:tblPrEx>
          <w:tblCellMar>
            <w:top w:w="0" w:type="dxa"/>
            <w:left w:w="0" w:type="dxa"/>
            <w:bottom w:w="0" w:type="dxa"/>
            <w:right w:w="0" w:type="dxa"/>
          </w:tblCellMar>
        </w:tblPrEx>
        <w:trPr>
          <w:trHeight w:val="396" w:hRule="atLeast"/>
        </w:trPr>
        <w:tc>
          <w:tcPr>
            <w:tcW w:w="2722" w:type="pct"/>
            <w:tcBorders>
              <w:top w:val="single" w:color="auto" w:sz="4" w:space="0"/>
              <w:left w:val="nil"/>
              <w:bottom w:val="single" w:color="auto" w:sz="4" w:space="0"/>
              <w:right w:val="single" w:color="auto" w:sz="4" w:space="0"/>
            </w:tcBorders>
            <w:shd w:val="clear" w:color="auto" w:fill="FFFFFF"/>
            <w:noWrap w:val="0"/>
            <w:vAlign w:val="center"/>
          </w:tcPr>
          <w:p w14:paraId="4185D471">
            <w:pPr>
              <w:pStyle w:val="11"/>
              <w:bidi w:val="0"/>
              <w:jc w:val="both"/>
              <w:rPr>
                <w:rFonts w:hint="eastAsia"/>
                <w:lang w:val="zh-CN"/>
              </w:rPr>
            </w:pPr>
            <w:r>
              <w:rPr>
                <w:rFonts w:hint="eastAsia"/>
                <w:lang w:val="zh-CN"/>
              </w:rPr>
              <w:t>公务员全员培训班</w:t>
            </w:r>
          </w:p>
        </w:tc>
        <w:tc>
          <w:tcPr>
            <w:tcW w:w="534"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05EBBE51">
            <w:pPr>
              <w:pStyle w:val="11"/>
              <w:bidi w:val="0"/>
              <w:jc w:val="center"/>
              <w:rPr>
                <w:rFonts w:hint="eastAsia"/>
                <w:lang w:val="zh-CN"/>
              </w:rPr>
            </w:pPr>
            <w:r>
              <w:rPr>
                <w:rFonts w:hint="eastAsia"/>
                <w:lang w:val="zh-CN"/>
              </w:rPr>
              <w:t>17</w:t>
            </w:r>
          </w:p>
        </w:tc>
        <w:tc>
          <w:tcPr>
            <w:tcW w:w="870"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227" w:type="dxa"/>
              <w:bottom w:w="0" w:type="dxa"/>
              <w:right w:w="57" w:type="dxa"/>
            </w:tcMar>
            <w:vAlign w:val="center"/>
          </w:tcPr>
          <w:p w14:paraId="4FFD617C">
            <w:pPr>
              <w:pStyle w:val="11"/>
              <w:bidi w:val="0"/>
              <w:jc w:val="center"/>
              <w:rPr>
                <w:rFonts w:hint="eastAsia"/>
                <w:lang w:val="zh-CN"/>
              </w:rPr>
            </w:pPr>
            <w:r>
              <w:rPr>
                <w:rFonts w:hint="eastAsia"/>
                <w:lang w:val="zh-CN"/>
              </w:rPr>
              <w:t>2171</w:t>
            </w:r>
          </w:p>
        </w:tc>
        <w:tc>
          <w:tcPr>
            <w:tcW w:w="871" w:type="pct"/>
            <w:tcBorders>
              <w:top w:val="single" w:color="auto" w:sz="4" w:space="0"/>
              <w:left w:val="single" w:color="auto" w:sz="4" w:space="0"/>
              <w:bottom w:val="single" w:color="auto" w:sz="4" w:space="0"/>
              <w:right w:val="nil"/>
            </w:tcBorders>
            <w:shd w:val="clear" w:color="auto" w:fill="FFFFFF"/>
            <w:noWrap w:val="0"/>
            <w:tcMar>
              <w:top w:w="0" w:type="dxa"/>
              <w:bottom w:w="0" w:type="dxa"/>
              <w:right w:w="57" w:type="dxa"/>
            </w:tcMar>
            <w:vAlign w:val="center"/>
          </w:tcPr>
          <w:p w14:paraId="5F16E06B">
            <w:pPr>
              <w:pStyle w:val="11"/>
              <w:bidi w:val="0"/>
              <w:jc w:val="center"/>
              <w:rPr>
                <w:rFonts w:hint="eastAsia"/>
                <w:lang w:val="zh-CN"/>
              </w:rPr>
            </w:pPr>
            <w:r>
              <w:rPr>
                <w:rFonts w:hint="eastAsia"/>
                <w:lang w:val="zh-CN"/>
              </w:rPr>
              <w:t>组织部、人社局</w:t>
            </w:r>
          </w:p>
        </w:tc>
      </w:tr>
      <w:tr w14:paraId="443A02A7">
        <w:tblPrEx>
          <w:tblCellMar>
            <w:top w:w="0" w:type="dxa"/>
            <w:left w:w="0" w:type="dxa"/>
            <w:bottom w:w="0" w:type="dxa"/>
            <w:right w:w="0" w:type="dxa"/>
          </w:tblCellMar>
        </w:tblPrEx>
        <w:trPr>
          <w:trHeight w:val="396" w:hRule="atLeast"/>
        </w:trPr>
        <w:tc>
          <w:tcPr>
            <w:tcW w:w="2722" w:type="pct"/>
            <w:tcBorders>
              <w:top w:val="single" w:color="auto" w:sz="4" w:space="0"/>
              <w:left w:val="nil"/>
              <w:bottom w:val="single" w:color="auto" w:sz="4" w:space="0"/>
              <w:right w:val="single" w:color="auto" w:sz="4" w:space="0"/>
            </w:tcBorders>
            <w:shd w:val="clear" w:color="auto" w:fill="FFFFFF"/>
            <w:noWrap w:val="0"/>
            <w:vAlign w:val="center"/>
          </w:tcPr>
          <w:p w14:paraId="6345439A">
            <w:pPr>
              <w:pStyle w:val="11"/>
              <w:bidi w:val="0"/>
              <w:jc w:val="both"/>
              <w:rPr>
                <w:rFonts w:hint="eastAsia"/>
                <w:lang w:val="zh-CN"/>
              </w:rPr>
            </w:pPr>
            <w:r>
              <w:rPr>
                <w:rFonts w:hint="eastAsia"/>
                <w:lang w:val="zh-CN"/>
              </w:rPr>
              <w:t>市直机关基层党组织书记培训班</w:t>
            </w:r>
          </w:p>
        </w:tc>
        <w:tc>
          <w:tcPr>
            <w:tcW w:w="534"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4B7379D7">
            <w:pPr>
              <w:pStyle w:val="11"/>
              <w:bidi w:val="0"/>
              <w:jc w:val="center"/>
              <w:rPr>
                <w:rFonts w:hint="eastAsia"/>
                <w:lang w:val="zh-CN"/>
              </w:rPr>
            </w:pPr>
            <w:r>
              <w:rPr>
                <w:rFonts w:hint="eastAsia"/>
                <w:lang w:val="zh-CN"/>
              </w:rPr>
              <w:t>1</w:t>
            </w:r>
          </w:p>
        </w:tc>
        <w:tc>
          <w:tcPr>
            <w:tcW w:w="870"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227" w:type="dxa"/>
              <w:bottom w:w="0" w:type="dxa"/>
              <w:right w:w="57" w:type="dxa"/>
            </w:tcMar>
            <w:vAlign w:val="center"/>
          </w:tcPr>
          <w:p w14:paraId="417B66AC">
            <w:pPr>
              <w:pStyle w:val="11"/>
              <w:bidi w:val="0"/>
              <w:jc w:val="center"/>
              <w:rPr>
                <w:rFonts w:hint="eastAsia"/>
                <w:lang w:val="zh-CN"/>
              </w:rPr>
            </w:pPr>
            <w:r>
              <w:rPr>
                <w:rFonts w:hint="eastAsia"/>
                <w:lang w:val="zh-CN"/>
              </w:rPr>
              <w:t>135</w:t>
            </w:r>
          </w:p>
        </w:tc>
        <w:tc>
          <w:tcPr>
            <w:tcW w:w="871" w:type="pct"/>
            <w:tcBorders>
              <w:top w:val="single" w:color="auto" w:sz="4" w:space="0"/>
              <w:left w:val="single" w:color="auto" w:sz="4" w:space="0"/>
              <w:bottom w:val="single" w:color="auto" w:sz="4" w:space="0"/>
              <w:right w:val="nil"/>
            </w:tcBorders>
            <w:shd w:val="clear" w:color="auto" w:fill="FFFFFF"/>
            <w:noWrap w:val="0"/>
            <w:tcMar>
              <w:top w:w="0" w:type="dxa"/>
              <w:bottom w:w="0" w:type="dxa"/>
              <w:right w:w="57" w:type="dxa"/>
            </w:tcMar>
            <w:vAlign w:val="center"/>
          </w:tcPr>
          <w:p w14:paraId="35F6D438">
            <w:pPr>
              <w:pStyle w:val="11"/>
              <w:bidi w:val="0"/>
              <w:jc w:val="center"/>
              <w:rPr>
                <w:rFonts w:hint="eastAsia"/>
                <w:lang w:val="zh-CN"/>
              </w:rPr>
            </w:pPr>
            <w:r>
              <w:rPr>
                <w:rFonts w:hint="eastAsia"/>
                <w:lang w:val="zh-CN"/>
              </w:rPr>
              <w:t>直属工委</w:t>
            </w:r>
          </w:p>
        </w:tc>
      </w:tr>
      <w:tr w14:paraId="5555B63E">
        <w:tblPrEx>
          <w:tblCellMar>
            <w:top w:w="0" w:type="dxa"/>
            <w:left w:w="0" w:type="dxa"/>
            <w:bottom w:w="0" w:type="dxa"/>
            <w:right w:w="0" w:type="dxa"/>
          </w:tblCellMar>
        </w:tblPrEx>
        <w:trPr>
          <w:trHeight w:val="396" w:hRule="atLeast"/>
        </w:trPr>
        <w:tc>
          <w:tcPr>
            <w:tcW w:w="2722" w:type="pct"/>
            <w:tcBorders>
              <w:top w:val="single" w:color="auto" w:sz="4" w:space="0"/>
              <w:left w:val="nil"/>
              <w:bottom w:val="single" w:color="auto" w:sz="4" w:space="0"/>
              <w:right w:val="single" w:color="auto" w:sz="4" w:space="0"/>
            </w:tcBorders>
            <w:shd w:val="clear" w:color="auto" w:fill="FFFFFF"/>
            <w:noWrap w:val="0"/>
            <w:vAlign w:val="center"/>
          </w:tcPr>
          <w:p w14:paraId="1030A813">
            <w:pPr>
              <w:pStyle w:val="11"/>
              <w:bidi w:val="0"/>
              <w:jc w:val="both"/>
              <w:rPr>
                <w:rFonts w:hint="eastAsia"/>
                <w:lang w:val="zh-CN"/>
              </w:rPr>
            </w:pPr>
            <w:r>
              <w:rPr>
                <w:rFonts w:hint="eastAsia"/>
                <w:lang w:val="zh-CN"/>
              </w:rPr>
              <w:t>习近平总书记视察广东重要讲话精神宣讲</w:t>
            </w:r>
          </w:p>
        </w:tc>
        <w:tc>
          <w:tcPr>
            <w:tcW w:w="534"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01DEE9ED">
            <w:pPr>
              <w:pStyle w:val="11"/>
              <w:bidi w:val="0"/>
              <w:jc w:val="center"/>
              <w:rPr>
                <w:rFonts w:hint="eastAsia"/>
                <w:lang w:val="zh-CN"/>
              </w:rPr>
            </w:pPr>
            <w:r>
              <w:rPr>
                <w:rFonts w:hint="eastAsia"/>
                <w:lang w:val="zh-CN"/>
              </w:rPr>
              <w:t>47</w:t>
            </w:r>
          </w:p>
        </w:tc>
        <w:tc>
          <w:tcPr>
            <w:tcW w:w="870"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227" w:type="dxa"/>
              <w:bottom w:w="0" w:type="dxa"/>
              <w:right w:w="57" w:type="dxa"/>
            </w:tcMar>
            <w:vAlign w:val="center"/>
          </w:tcPr>
          <w:p w14:paraId="4C4FF792">
            <w:pPr>
              <w:pStyle w:val="11"/>
              <w:bidi w:val="0"/>
              <w:jc w:val="center"/>
              <w:rPr>
                <w:rFonts w:hint="eastAsia"/>
                <w:lang w:val="zh-CN"/>
              </w:rPr>
            </w:pPr>
            <w:r>
              <w:rPr>
                <w:rFonts w:hint="eastAsia"/>
                <w:lang w:val="zh-CN"/>
              </w:rPr>
              <w:t>5929</w:t>
            </w:r>
          </w:p>
        </w:tc>
        <w:tc>
          <w:tcPr>
            <w:tcW w:w="871" w:type="pct"/>
            <w:tcBorders>
              <w:top w:val="single" w:color="auto" w:sz="4" w:space="0"/>
              <w:left w:val="single" w:color="auto" w:sz="4" w:space="0"/>
              <w:bottom w:val="single" w:color="auto" w:sz="4" w:space="0"/>
              <w:right w:val="nil"/>
            </w:tcBorders>
            <w:shd w:val="clear" w:color="auto" w:fill="FFFFFF"/>
            <w:noWrap w:val="0"/>
            <w:tcMar>
              <w:top w:w="0" w:type="dxa"/>
              <w:bottom w:w="0" w:type="dxa"/>
              <w:right w:w="57" w:type="dxa"/>
            </w:tcMar>
            <w:vAlign w:val="center"/>
          </w:tcPr>
          <w:p w14:paraId="210DDEB5">
            <w:pPr>
              <w:pStyle w:val="11"/>
              <w:bidi w:val="0"/>
              <w:jc w:val="center"/>
              <w:rPr>
                <w:rFonts w:hint="eastAsia"/>
                <w:lang w:val="zh-CN"/>
              </w:rPr>
            </w:pPr>
            <w:r>
              <w:rPr>
                <w:rFonts w:hint="eastAsia"/>
                <w:lang w:val="zh-CN"/>
              </w:rPr>
              <w:t>宣传部</w:t>
            </w:r>
          </w:p>
        </w:tc>
      </w:tr>
      <w:tr w14:paraId="56715F55">
        <w:tblPrEx>
          <w:tblCellMar>
            <w:top w:w="0" w:type="dxa"/>
            <w:left w:w="0" w:type="dxa"/>
            <w:bottom w:w="0" w:type="dxa"/>
            <w:right w:w="0" w:type="dxa"/>
          </w:tblCellMar>
        </w:tblPrEx>
        <w:trPr>
          <w:trHeight w:val="396" w:hRule="atLeast"/>
        </w:trPr>
        <w:tc>
          <w:tcPr>
            <w:tcW w:w="2722" w:type="pct"/>
            <w:tcBorders>
              <w:top w:val="single" w:color="auto" w:sz="4" w:space="0"/>
              <w:left w:val="nil"/>
              <w:bottom w:val="single" w:color="auto" w:sz="4" w:space="0"/>
              <w:right w:val="single" w:color="auto" w:sz="4" w:space="0"/>
            </w:tcBorders>
            <w:shd w:val="clear" w:color="auto" w:fill="FFFFFF"/>
            <w:noWrap w:val="0"/>
            <w:vAlign w:val="center"/>
          </w:tcPr>
          <w:p w14:paraId="46735962">
            <w:pPr>
              <w:pStyle w:val="11"/>
              <w:bidi w:val="0"/>
              <w:jc w:val="both"/>
              <w:rPr>
                <w:rFonts w:hint="eastAsia"/>
                <w:lang w:val="zh-CN"/>
              </w:rPr>
            </w:pPr>
            <w:r>
              <w:rPr>
                <w:rFonts w:hint="eastAsia"/>
                <w:lang w:val="zh-CN"/>
              </w:rPr>
              <w:t>合计</w:t>
            </w:r>
          </w:p>
        </w:tc>
        <w:tc>
          <w:tcPr>
            <w:tcW w:w="534"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5C4BFDC0">
            <w:pPr>
              <w:pStyle w:val="11"/>
              <w:bidi w:val="0"/>
              <w:jc w:val="center"/>
              <w:rPr>
                <w:rFonts w:hint="eastAsia"/>
                <w:lang w:val="zh-CN"/>
              </w:rPr>
            </w:pPr>
            <w:r>
              <w:rPr>
                <w:rFonts w:hint="eastAsia"/>
                <w:lang w:val="zh-CN"/>
              </w:rPr>
              <w:t>295</w:t>
            </w:r>
          </w:p>
        </w:tc>
        <w:tc>
          <w:tcPr>
            <w:tcW w:w="870"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227" w:type="dxa"/>
              <w:bottom w:w="0" w:type="dxa"/>
              <w:right w:w="57" w:type="dxa"/>
            </w:tcMar>
            <w:vAlign w:val="center"/>
          </w:tcPr>
          <w:p w14:paraId="5D99C5A2">
            <w:pPr>
              <w:pStyle w:val="11"/>
              <w:bidi w:val="0"/>
              <w:jc w:val="center"/>
              <w:rPr>
                <w:rFonts w:hint="eastAsia"/>
                <w:lang w:val="zh-CN"/>
              </w:rPr>
            </w:pPr>
            <w:r>
              <w:rPr>
                <w:rFonts w:hint="eastAsia"/>
                <w:lang w:val="zh-CN"/>
              </w:rPr>
              <w:t>32522</w:t>
            </w:r>
          </w:p>
        </w:tc>
        <w:tc>
          <w:tcPr>
            <w:tcW w:w="871" w:type="pct"/>
            <w:tcBorders>
              <w:top w:val="single" w:color="auto" w:sz="4" w:space="0"/>
              <w:left w:val="single" w:color="auto" w:sz="4" w:space="0"/>
              <w:bottom w:val="single" w:color="auto" w:sz="4" w:space="0"/>
              <w:right w:val="nil"/>
            </w:tcBorders>
            <w:shd w:val="clear" w:color="auto" w:fill="FFFFFF"/>
            <w:noWrap w:val="0"/>
            <w:tcMar>
              <w:top w:w="0" w:type="dxa"/>
              <w:bottom w:w="0" w:type="dxa"/>
              <w:right w:w="57" w:type="dxa"/>
            </w:tcMar>
            <w:vAlign w:val="center"/>
          </w:tcPr>
          <w:p w14:paraId="2CA6E081">
            <w:pPr>
              <w:pStyle w:val="11"/>
              <w:bidi w:val="0"/>
              <w:jc w:val="center"/>
              <w:rPr>
                <w:rFonts w:hint="eastAsia"/>
              </w:rPr>
            </w:pPr>
          </w:p>
        </w:tc>
      </w:tr>
    </w:tbl>
    <w:p w14:paraId="22C5242B">
      <w:pPr>
        <w:pStyle w:val="4"/>
        <w:bidi w:val="0"/>
        <w:rPr>
          <w:rFonts w:hint="eastAsia"/>
          <w:lang w:val="zh-CN"/>
        </w:rPr>
      </w:pPr>
      <w:r>
        <w:rPr>
          <w:rFonts w:hint="eastAsia"/>
          <w:lang w:val="zh-CN"/>
        </w:rPr>
        <w:t>【学历教育】</w:t>
      </w:r>
    </w:p>
    <w:p w14:paraId="06F2D4AB">
      <w:pPr>
        <w:bidi w:val="0"/>
        <w:rPr>
          <w:rFonts w:hint="eastAsia"/>
          <w:lang w:val="zh-CN"/>
        </w:rPr>
      </w:pPr>
      <w:r>
        <w:rPr>
          <w:rFonts w:hint="eastAsia"/>
          <w:lang w:val="zh-CN"/>
        </w:rPr>
        <w:t>南雄开放大学按照国家开放大学的办学要求，主要运用计算机网络、卫星电视、文字及音像教材等多种媒体开展教学，实行统筹规划、分级办学、分级管理的办学和管理体制。2018年，南雄开放大学在成人学历教育工作上进一步提高入学要求，严把生源质量。南雄开放大学开设行政管理、法学、汉语言文学等专业本科、专科班。2018年春、秋两季入学新生263人，其中专科学生152人、本科学生111人，在校学生777人。2018年毕业生224人，其中本科班学员106人，大专班学员118人。在教育教学管理上，学校进一步健全教学管理制度，严格按照制度开展教学管理工作。加强班主任管理工作，要求班主任加强与学员的联系沟通，认真做好学员的思想教育工作，让学员按时完成学业；加强科任教师业务能力培训，提高教师业务水平，严格要求教师认真备好课、上好课，重视教学的研究与反思，不断改进教学方法；坚持规范办学，配强班主任，严格考试纪律，保证学校教学服务应有的质量。</w:t>
      </w:r>
    </w:p>
    <w:p w14:paraId="094DA78B">
      <w:pPr>
        <w:pStyle w:val="4"/>
        <w:bidi w:val="0"/>
        <w:rPr>
          <w:rFonts w:hint="eastAsia"/>
          <w:lang w:val="zh-CN"/>
        </w:rPr>
      </w:pPr>
      <w:r>
        <w:rPr>
          <w:rFonts w:hint="eastAsia"/>
          <w:lang w:val="zh-CN"/>
        </w:rPr>
        <w:t>【科研工作】</w:t>
      </w:r>
    </w:p>
    <w:p w14:paraId="4790BDB4">
      <w:pPr>
        <w:bidi w:val="0"/>
        <w:rPr>
          <w:rFonts w:hint="eastAsia"/>
          <w:lang w:val="zh-CN"/>
        </w:rPr>
      </w:pPr>
      <w:r>
        <w:rPr>
          <w:rFonts w:hint="eastAsia"/>
          <w:lang w:val="zh-CN"/>
        </w:rPr>
        <w:t>学校贯彻落实“围绕中心，科研兴校”的方针，按照年度工作计划的要求，加强科研协作，重视发挥调查研究的作用，将提升科研水平与服务当地科学发展结合起来，积极引导教师关注本地经济社会发展的重大问题，按照“教学出题目，科研做文章”的思想，结合南雄经济社会发展的热点难点，切实开展以问题为导向的社会调查和社会实践活动，让科研有效地服务培训、服务地方发展。坚持创造条件组织教师申报各类各级别的科研课题，坚持科研课题既注重数量又注重质量的原则，确保申报和结项课题的品质。2018年度，组织教师申报韶关市委党校科研课题1项，组织实施学校科研课题2项，在CN级期刊发表课题研究成果论文6篇。</w:t>
      </w:r>
    </w:p>
    <w:p w14:paraId="4639E5B9">
      <w:pPr>
        <w:pStyle w:val="4"/>
        <w:bidi w:val="0"/>
        <w:rPr>
          <w:rFonts w:hint="eastAsia"/>
          <w:lang w:val="zh-CN"/>
        </w:rPr>
      </w:pPr>
      <w:r>
        <w:rPr>
          <w:rFonts w:hint="eastAsia"/>
          <w:lang w:val="zh-CN"/>
        </w:rPr>
        <w:t>【学校和个人荣誉】</w:t>
      </w:r>
    </w:p>
    <w:p w14:paraId="4088EB1A">
      <w:pPr>
        <w:bidi w:val="0"/>
        <w:rPr>
          <w:rFonts w:hint="eastAsia"/>
          <w:lang w:val="zh-CN"/>
        </w:rPr>
      </w:pPr>
      <w:r>
        <w:rPr>
          <w:rFonts w:hint="eastAsia"/>
          <w:lang w:val="zh-CN"/>
        </w:rPr>
        <w:t>2018年，池丽泉、代文乐两位老师在韶关市党校系统精品课评选活动中分别获理论教育类二等奖和三等奖。</w:t>
      </w:r>
      <w:r>
        <w:rPr>
          <w:rFonts w:hint="eastAsia"/>
          <w:b/>
          <w:bCs/>
          <w:lang w:val="zh-CN"/>
        </w:rPr>
        <w:t>（欧阳效敬）</w:t>
      </w:r>
    </w:p>
    <w:p w14:paraId="39DDC854">
      <w:pPr>
        <w:bidi w:val="0"/>
        <w:ind w:left="0" w:leftChars="0" w:firstLine="0" w:firstLineChars="0"/>
        <w:rPr>
          <w:rFonts w:hint="eastAsia"/>
          <w:b/>
          <w:bCs/>
          <w:lang w:val="zh-CN"/>
        </w:rPr>
      </w:pPr>
      <w:r>
        <w:rPr>
          <w:rFonts w:hint="eastAsia"/>
          <w:b/>
          <w:bCs/>
          <w:lang w:val="zh-CN"/>
        </w:rPr>
        <w:t>附：2018年市委党校领导班子成员名单</w:t>
      </w:r>
    </w:p>
    <w:p w14:paraId="13C587B8">
      <w:pPr>
        <w:bidi w:val="0"/>
        <w:ind w:left="0" w:leftChars="0" w:firstLine="0" w:firstLineChars="0"/>
        <w:rPr>
          <w:rFonts w:hint="eastAsia"/>
          <w:lang w:val="zh-CN"/>
        </w:rPr>
      </w:pPr>
      <w:r>
        <w:rPr>
          <w:rFonts w:hint="eastAsia"/>
          <w:b/>
          <w:bCs/>
          <w:lang w:val="zh-CN"/>
        </w:rPr>
        <w:t>校</w:t>
      </w:r>
      <w:r>
        <w:rPr>
          <w:rFonts w:hint="eastAsia"/>
          <w:b/>
          <w:bCs/>
          <w:lang w:val="en-US" w:eastAsia="zh-CN"/>
        </w:rPr>
        <w:t xml:space="preserve">      </w:t>
      </w:r>
      <w:r>
        <w:rPr>
          <w:rFonts w:hint="eastAsia"/>
          <w:b/>
          <w:bCs/>
          <w:lang w:val="zh-CN"/>
        </w:rPr>
        <w:t>长：</w:t>
      </w:r>
      <w:r>
        <w:rPr>
          <w:rFonts w:hint="eastAsia"/>
          <w:lang w:val="zh-CN"/>
        </w:rPr>
        <w:t>叶济熊（1月兼任）</w:t>
      </w:r>
    </w:p>
    <w:p w14:paraId="600567B1">
      <w:pPr>
        <w:bidi w:val="0"/>
        <w:ind w:left="0" w:leftChars="0" w:firstLine="0" w:firstLineChars="0"/>
        <w:rPr>
          <w:rFonts w:hint="eastAsia"/>
          <w:lang w:val="zh-CN"/>
        </w:rPr>
      </w:pPr>
      <w:r>
        <w:rPr>
          <w:rFonts w:hint="eastAsia"/>
          <w:b/>
          <w:bCs/>
          <w:lang w:val="zh-CN"/>
        </w:rPr>
        <w:t>常务副校长：</w:t>
      </w:r>
      <w:r>
        <w:rPr>
          <w:rFonts w:hint="eastAsia"/>
          <w:lang w:val="zh-CN"/>
        </w:rPr>
        <w:t>何</w:t>
      </w:r>
      <w:r>
        <w:rPr>
          <w:rFonts w:hint="eastAsia"/>
          <w:lang w:val="en-US" w:eastAsia="zh-CN"/>
        </w:rPr>
        <w:t xml:space="preserve">  </w:t>
      </w:r>
      <w:r>
        <w:rPr>
          <w:rFonts w:hint="eastAsia"/>
          <w:lang w:val="zh-CN"/>
        </w:rPr>
        <w:t>坚</w:t>
      </w:r>
    </w:p>
    <w:p w14:paraId="166925D5">
      <w:pPr>
        <w:bidi w:val="0"/>
        <w:ind w:left="0" w:leftChars="0" w:firstLine="0" w:firstLineChars="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校</w:t>
      </w:r>
      <w:r>
        <w:rPr>
          <w:rFonts w:hint="eastAsia"/>
          <w:b/>
          <w:bCs/>
          <w:lang w:val="en-US" w:eastAsia="zh-CN"/>
        </w:rPr>
        <w:t xml:space="preserve">  </w:t>
      </w:r>
      <w:r>
        <w:rPr>
          <w:rFonts w:hint="eastAsia"/>
          <w:b/>
          <w:bCs/>
          <w:lang w:val="zh-CN"/>
        </w:rPr>
        <w:t>长：</w:t>
      </w:r>
      <w:r>
        <w:rPr>
          <w:rFonts w:hint="eastAsia"/>
          <w:lang w:val="zh-CN"/>
        </w:rPr>
        <w:t>刘致虎</w:t>
      </w:r>
      <w:r>
        <w:rPr>
          <w:rFonts w:hint="eastAsia"/>
          <w:lang w:val="en-US" w:eastAsia="zh-CN"/>
        </w:rPr>
        <w:t xml:space="preserve">   </w:t>
      </w:r>
      <w:r>
        <w:rPr>
          <w:rFonts w:hint="eastAsia"/>
          <w:lang w:val="zh-CN"/>
        </w:rPr>
        <w:t>何英钊</w:t>
      </w:r>
    </w:p>
    <w:p w14:paraId="31FE3874">
      <w:pPr>
        <w:bidi w:val="0"/>
        <w:ind w:left="1260" w:leftChars="600" w:firstLine="0" w:firstLineChars="0"/>
        <w:rPr>
          <w:rFonts w:hint="eastAsia"/>
          <w:lang w:val="zh-CN"/>
        </w:rPr>
      </w:pPr>
      <w:r>
        <w:rPr>
          <w:rFonts w:hint="eastAsia"/>
          <w:lang w:val="zh-CN"/>
        </w:rPr>
        <w:t>戴卫芳</w:t>
      </w:r>
    </w:p>
    <w:p w14:paraId="0B05DFC0">
      <w:pPr>
        <w:bidi w:val="0"/>
        <w:ind w:left="0" w:leftChars="0" w:firstLine="0" w:firstLineChars="0"/>
        <w:rPr>
          <w:rFonts w:hint="eastAsia"/>
          <w:lang w:val="zh-CN"/>
        </w:rPr>
      </w:pPr>
      <w:r>
        <w:rPr>
          <w:rFonts w:hint="eastAsia"/>
          <w:b/>
          <w:bCs/>
          <w:lang w:val="zh-CN"/>
        </w:rPr>
        <w:t>工</w:t>
      </w:r>
      <w:r>
        <w:rPr>
          <w:rFonts w:hint="eastAsia"/>
          <w:b/>
          <w:bCs/>
          <w:lang w:val="en-US" w:eastAsia="zh-CN"/>
        </w:rPr>
        <w:t xml:space="preserve"> </w:t>
      </w:r>
      <w:r>
        <w:rPr>
          <w:rFonts w:hint="eastAsia"/>
          <w:b/>
          <w:bCs/>
          <w:lang w:val="zh-CN"/>
        </w:rPr>
        <w:t>会</w:t>
      </w:r>
      <w:r>
        <w:rPr>
          <w:rFonts w:hint="eastAsia"/>
          <w:b/>
          <w:bCs/>
          <w:lang w:val="en-US" w:eastAsia="zh-CN"/>
        </w:rPr>
        <w:t xml:space="preserve"> </w:t>
      </w:r>
      <w:r>
        <w:rPr>
          <w:rFonts w:hint="eastAsia"/>
          <w:b/>
          <w:bCs/>
          <w:lang w:val="zh-CN"/>
        </w:rPr>
        <w:t>主席：</w:t>
      </w:r>
      <w:r>
        <w:rPr>
          <w:rFonts w:hint="eastAsia"/>
          <w:lang w:val="zh-CN"/>
        </w:rPr>
        <w:t>邓宇行</w:t>
      </w:r>
    </w:p>
    <w:p w14:paraId="1E20BB67">
      <w:pPr>
        <w:pStyle w:val="3"/>
        <w:bidi w:val="0"/>
        <w:rPr>
          <w:rFonts w:hint="eastAsia"/>
          <w:lang w:val="zh-CN"/>
        </w:rPr>
      </w:pPr>
      <w:r>
        <w:rPr>
          <w:rFonts w:hint="eastAsia"/>
          <w:lang w:val="zh-CN"/>
        </w:rPr>
        <w:t>机构编制</w:t>
      </w:r>
    </w:p>
    <w:p w14:paraId="0C1481DD">
      <w:pPr>
        <w:pStyle w:val="4"/>
        <w:bidi w:val="0"/>
        <w:rPr>
          <w:rFonts w:hint="eastAsia"/>
          <w:lang w:val="zh-CN"/>
        </w:rPr>
      </w:pPr>
      <w:r>
        <w:rPr>
          <w:rFonts w:hint="eastAsia"/>
          <w:lang w:val="zh-CN"/>
        </w:rPr>
        <w:t>【概况】</w:t>
      </w:r>
    </w:p>
    <w:p w14:paraId="501239F2">
      <w:pPr>
        <w:bidi w:val="0"/>
        <w:rPr>
          <w:rFonts w:hint="eastAsia"/>
          <w:lang w:val="zh-CN"/>
        </w:rPr>
      </w:pPr>
      <w:r>
        <w:rPr>
          <w:rFonts w:hint="eastAsia"/>
          <w:lang w:val="zh-CN"/>
        </w:rPr>
        <w:t>南雄市机构编制委员会办公室是市机构编制委员会常设办事机构，在市机构编制委员会领导下负责全市行政管理体制改革和机构改革、事业单位管理体制改革及机构编制日常管理工作。2010年8月，南雄市机构编制委员会办公室调整为单独设置，列市委机构序列。内设3个股室：综合股、机构编制股、监督检查股，1个直属副科级行政单位——南雄市事业单位登记管理局。2013年9月，经编委会研究，同意成立南雄市行政审批制度改革办公室，正股级，挂靠南雄市编办管理。</w:t>
      </w:r>
    </w:p>
    <w:p w14:paraId="0B8B1B24">
      <w:pPr>
        <w:pStyle w:val="4"/>
        <w:bidi w:val="0"/>
        <w:rPr>
          <w:rFonts w:hint="eastAsia"/>
          <w:lang w:val="zh-CN"/>
        </w:rPr>
      </w:pPr>
      <w:r>
        <w:rPr>
          <w:rFonts w:hint="eastAsia"/>
          <w:lang w:val="zh-CN"/>
        </w:rPr>
        <w:t>【机构改革】</w:t>
      </w:r>
    </w:p>
    <w:p w14:paraId="74C6477B">
      <w:pPr>
        <w:bidi w:val="0"/>
        <w:rPr>
          <w:rFonts w:hint="eastAsia"/>
          <w:lang w:val="zh-CN"/>
        </w:rPr>
      </w:pPr>
      <w:r>
        <w:rPr>
          <w:rFonts w:hint="eastAsia"/>
          <w:lang w:val="zh-CN"/>
        </w:rPr>
        <w:t>先后组织工作人员对涉及新一轮机构改革的33个党政部门及相关事业单位进行调研，详细了解各部门在机构设置、人员编制、职责履行等方面情况。通过召开部门座谈会和协调会，围绕当前各项机构改革过程中存在的职责划分、职能移交、人员调配、派出机构设置、经费物资保障等焦点问题进行探讨和研究，确保改革过渡期间各项工作不乱、监管执法效果不减、改革目标落实到位。印发《南雄市行政许可事项目录（2018年版）》和《南雄市行政许可调整事项目录（2018年版）》的通知（雄府〔2018〕54号）。印发《南雄市人民政府关于第三批清理规范市政府部门行政审批中介服务事项的决定》（雄府〔2018〕16号），清理规范4项市政府部门行政审批中介服务事项。印发《南雄市人民政府部门权责清单（2018年版）》（雄府〔2018〕15号），包括发改局等38个部门各类职权事项6533项，其中行政许可255项，行政处罚3748项，行政强制265项，行政征收19项，行政给付37项，行政检查491项，行政确认94项，行政奖励30项，行政裁决7项，其他1587项。</w:t>
      </w:r>
    </w:p>
    <w:p w14:paraId="44CAF178">
      <w:pPr>
        <w:pStyle w:val="4"/>
        <w:bidi w:val="0"/>
        <w:rPr>
          <w:rFonts w:hint="eastAsia"/>
          <w:lang w:val="zh-CN"/>
        </w:rPr>
      </w:pPr>
      <w:r>
        <w:rPr>
          <w:rFonts w:hint="eastAsia"/>
          <w:lang w:val="zh-CN"/>
        </w:rPr>
        <w:t>【实名制管理】</w:t>
      </w:r>
    </w:p>
    <w:p w14:paraId="69CF6F93">
      <w:pPr>
        <w:bidi w:val="0"/>
        <w:rPr>
          <w:rFonts w:hint="eastAsia"/>
          <w:lang w:val="zh-CN"/>
        </w:rPr>
      </w:pPr>
      <w:r>
        <w:rPr>
          <w:rFonts w:hint="eastAsia"/>
          <w:lang w:val="zh-CN"/>
        </w:rPr>
        <w:t>2018年对广东省机构编制实名制管理系统中682名人员进行变动（含减员、入编），其中行政单位189人，事业单位493人。</w:t>
      </w:r>
    </w:p>
    <w:p w14:paraId="281DFA22">
      <w:pPr>
        <w:pStyle w:val="4"/>
        <w:bidi w:val="0"/>
        <w:rPr>
          <w:rFonts w:hint="eastAsia"/>
          <w:lang w:val="zh-CN"/>
        </w:rPr>
      </w:pPr>
      <w:r>
        <w:rPr>
          <w:rFonts w:hint="eastAsia"/>
          <w:lang w:val="zh-CN"/>
        </w:rPr>
        <w:t>【事业单位登记】</w:t>
      </w:r>
    </w:p>
    <w:p w14:paraId="6CB6F0B5">
      <w:pPr>
        <w:bidi w:val="0"/>
        <w:rPr>
          <w:rFonts w:hint="eastAsia"/>
          <w:lang w:val="zh-CN"/>
        </w:rPr>
      </w:pPr>
      <w:r>
        <w:rPr>
          <w:rFonts w:hint="eastAsia"/>
          <w:lang w:val="zh-CN"/>
        </w:rPr>
        <w:t>2018年，设立登记事业单位33个，变更登记事业单位88个，补领证书事业单位3个。注销登记事业单位2个，遗失声明登记事业单位2个，事业单位提交2018年度法人报告239份，完成事业单位法人公开239份，报送率和公开率100%。颁发机关、群团等统一社会信用代码证书初领9个，变更5个，撤销3个。编办事业单位登记管理局负责审批的事业单位法人登记事项进驻市行政服务中心综合服务窗口统一办理，达到事业单位法人登记事项全流程网上申办要求，基本实现“不见面”“零跑动”的目标。</w:t>
      </w:r>
    </w:p>
    <w:p w14:paraId="1374595C">
      <w:pPr>
        <w:pStyle w:val="4"/>
        <w:bidi w:val="0"/>
        <w:rPr>
          <w:rFonts w:hint="eastAsia"/>
          <w:lang w:val="zh-CN"/>
        </w:rPr>
      </w:pPr>
      <w:r>
        <w:rPr>
          <w:rFonts w:hint="eastAsia"/>
          <w:lang w:val="zh-CN"/>
        </w:rPr>
        <w:t>【网上名称管理】</w:t>
      </w:r>
    </w:p>
    <w:p w14:paraId="42EF2630">
      <w:pPr>
        <w:bidi w:val="0"/>
        <w:rPr>
          <w:rFonts w:hint="eastAsia"/>
          <w:lang w:val="zh-CN"/>
        </w:rPr>
      </w:pPr>
      <w:r>
        <w:rPr>
          <w:rFonts w:hint="eastAsia"/>
          <w:lang w:val="zh-CN"/>
        </w:rPr>
        <w:t>南雄市需注册续费机关事业单位419个，其中注册续费机关69个，事业单位347个，社会团体3个，注册续费率100%。</w:t>
      </w:r>
      <w:r>
        <w:rPr>
          <w:rFonts w:hint="eastAsia"/>
          <w:b/>
          <w:bCs/>
          <w:lang w:val="zh-CN"/>
        </w:rPr>
        <w:t>（谭利民）</w:t>
      </w:r>
    </w:p>
    <w:p w14:paraId="36B24EF0">
      <w:pPr>
        <w:pStyle w:val="11"/>
        <w:bidi w:val="0"/>
        <w:rPr>
          <w:rFonts w:hint="eastAsia"/>
          <w:b/>
          <w:bCs/>
          <w:lang w:val="zh-CN"/>
        </w:rPr>
      </w:pPr>
      <w:r>
        <w:rPr>
          <w:rFonts w:hint="eastAsia"/>
          <w:b/>
          <w:bCs/>
          <w:lang w:val="zh-CN"/>
        </w:rPr>
        <w:t>附：2018年市委编办领导班子成员名单</w:t>
      </w:r>
    </w:p>
    <w:p w14:paraId="02236F4A">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谢兆锋</w:t>
      </w:r>
    </w:p>
    <w:p w14:paraId="776517BA">
      <w:pPr>
        <w:pStyle w:val="11"/>
        <w:bidi w:val="0"/>
        <w:rPr>
          <w:rFonts w:hint="eastAsia"/>
          <w:lang w:val="zh-CN"/>
        </w:rPr>
      </w:pPr>
      <w:r>
        <w:rPr>
          <w:rFonts w:hint="eastAsia"/>
          <w:b/>
          <w:bCs/>
          <w:lang w:val="zh-CN"/>
        </w:rPr>
        <w:t>副主任：</w:t>
      </w:r>
      <w:r>
        <w:rPr>
          <w:rFonts w:hint="eastAsia"/>
          <w:lang w:val="zh-CN"/>
        </w:rPr>
        <w:t>张荣凤</w:t>
      </w:r>
      <w:r>
        <w:rPr>
          <w:rFonts w:hint="eastAsia"/>
          <w:lang w:val="en-US" w:eastAsia="zh-CN"/>
        </w:rPr>
        <w:t xml:space="preserve">   </w:t>
      </w:r>
      <w:r>
        <w:rPr>
          <w:rFonts w:hint="eastAsia"/>
          <w:lang w:val="zh-CN"/>
        </w:rPr>
        <w:t>吴</w:t>
      </w:r>
      <w:r>
        <w:rPr>
          <w:rFonts w:hint="eastAsia"/>
          <w:lang w:val="en-US" w:eastAsia="zh-CN"/>
        </w:rPr>
        <w:t xml:space="preserve">  </w:t>
      </w:r>
      <w:r>
        <w:rPr>
          <w:rFonts w:hint="eastAsia"/>
          <w:lang w:val="zh-CN"/>
        </w:rPr>
        <w:t>勤</w:t>
      </w:r>
    </w:p>
    <w:p w14:paraId="7AADEEA3">
      <w:pPr>
        <w:pStyle w:val="11"/>
        <w:bidi w:val="0"/>
        <w:rPr>
          <w:rFonts w:hint="eastAsia"/>
          <w:b/>
          <w:bCs/>
          <w:lang w:val="zh-CN"/>
        </w:rPr>
      </w:pPr>
      <w:r>
        <w:rPr>
          <w:rFonts w:hint="eastAsia"/>
          <w:b/>
          <w:bCs/>
          <w:lang w:val="zh-CN"/>
        </w:rPr>
        <w:t>市事业单位登记管理局局长：</w:t>
      </w:r>
    </w:p>
    <w:p w14:paraId="6D2531F3">
      <w:pPr>
        <w:pStyle w:val="11"/>
        <w:bidi w:val="0"/>
        <w:ind w:leftChars="400"/>
        <w:rPr>
          <w:rFonts w:hint="eastAsia"/>
          <w:lang w:val="zh-CN"/>
        </w:rPr>
      </w:pPr>
      <w:r>
        <w:rPr>
          <w:rFonts w:hint="eastAsia"/>
          <w:lang w:val="zh-CN"/>
        </w:rPr>
        <w:t>王小英</w:t>
      </w:r>
    </w:p>
    <w:p w14:paraId="2379481B">
      <w:pPr>
        <w:pStyle w:val="3"/>
        <w:bidi w:val="0"/>
        <w:rPr>
          <w:rFonts w:hint="eastAsia"/>
          <w:lang w:val="zh-CN"/>
        </w:rPr>
      </w:pPr>
      <w:r>
        <w:rPr>
          <w:rFonts w:hint="eastAsia"/>
          <w:lang w:val="zh-CN"/>
        </w:rPr>
        <w:t>史志工作</w:t>
      </w:r>
    </w:p>
    <w:p w14:paraId="348FEAF4">
      <w:pPr>
        <w:pStyle w:val="4"/>
        <w:bidi w:val="0"/>
        <w:rPr>
          <w:rFonts w:hint="eastAsia"/>
          <w:lang w:val="zh-CN"/>
        </w:rPr>
      </w:pPr>
      <w:r>
        <w:rPr>
          <w:rFonts w:hint="eastAsia"/>
          <w:lang w:val="zh-CN"/>
        </w:rPr>
        <w:t>【概况】</w:t>
      </w:r>
    </w:p>
    <w:p w14:paraId="0657523D">
      <w:pPr>
        <w:bidi w:val="0"/>
        <w:rPr>
          <w:rFonts w:hint="eastAsia"/>
          <w:lang w:val="zh-CN"/>
        </w:rPr>
      </w:pPr>
      <w:r>
        <w:rPr>
          <w:rFonts w:hint="eastAsia"/>
          <w:lang w:val="zh-CN"/>
        </w:rPr>
        <w:t>南雄市史志办公室设置于2001年12月。原中共南雄市委党史研究室成立于1982年6月，原南雄市地方志编纂委员会办公室设置于1984年11月。因机构改革，2001年12月，两个单位合并后称今名。属正科级参公管理事业单位，内设3个股室：人秘股、党史股、方志股，编制6名，其中主任1名，副主任2名，正股级职数3名。2018年在职人数7人。</w:t>
      </w:r>
    </w:p>
    <w:p w14:paraId="1F674FEE">
      <w:pPr>
        <w:pStyle w:val="4"/>
        <w:bidi w:val="0"/>
        <w:rPr>
          <w:rFonts w:hint="eastAsia"/>
          <w:lang w:val="zh-CN"/>
        </w:rPr>
      </w:pPr>
      <w:r>
        <w:rPr>
          <w:rFonts w:hint="eastAsia"/>
          <w:lang w:val="zh-CN"/>
        </w:rPr>
        <w:t>【年鉴编纂】</w:t>
      </w:r>
    </w:p>
    <w:p w14:paraId="17119415">
      <w:pPr>
        <w:bidi w:val="0"/>
        <w:rPr>
          <w:rFonts w:hint="eastAsia"/>
          <w:lang w:val="zh-CN"/>
        </w:rPr>
      </w:pPr>
      <w:r>
        <w:rPr>
          <w:rFonts w:hint="eastAsia"/>
          <w:lang w:val="zh-CN"/>
        </w:rPr>
        <w:t>由南雄市委办公室、市政府办公室下发《关于印发〈南雄年鉴（2018）〉编纂方案的通知》后，进入组稿、统稿、审稿阶段。通过加强组织编纂，进行四审四校后，实现“一年一鉴，公开出版”工作目标。《南雄年鉴（2018）》在保持往年年鉴基本框架的前提下，对部分条目和内容进行更新、调整、充实，采用四色全彩、轻涂纸印刷，编纂出版质量得到大幅提升，首次被广东省地方志办公室评为年鉴质量三等奖。《南雄年鉴（2018）》全书57.8万字，印刷出版1000册。该年鉴全面、翔实记载南雄行政辖区内2017年度自然、政治、经济、文化、社会等方面基本情况，作为史料保存，为政府科学决策提供依据，为外商投资提供指南，也为外地人士了解南雄提供参考。</w:t>
      </w:r>
    </w:p>
    <w:p w14:paraId="503A1792">
      <w:pPr>
        <w:pStyle w:val="4"/>
        <w:bidi w:val="0"/>
        <w:rPr>
          <w:rFonts w:hint="eastAsia"/>
          <w:lang w:val="zh-CN"/>
        </w:rPr>
      </w:pPr>
      <w:r>
        <w:rPr>
          <w:rFonts w:hint="eastAsia"/>
          <w:lang w:val="zh-CN"/>
        </w:rPr>
        <w:t>【党史工作】</w:t>
      </w:r>
    </w:p>
    <w:p w14:paraId="3B6610AB">
      <w:pPr>
        <w:bidi w:val="0"/>
        <w:rPr>
          <w:rFonts w:hint="eastAsia"/>
          <w:lang w:val="zh-CN"/>
        </w:rPr>
      </w:pPr>
      <w:r>
        <w:rPr>
          <w:rFonts w:hint="eastAsia"/>
          <w:lang w:val="zh-CN"/>
        </w:rPr>
        <w:t>在完成《中国共产党南雄历史第三卷（1978—2002）》初稿的基础上，将记述年限延长至2012年，组织开展续编工作，补充相关材料。支持、参与市老促会开展《南雄革命老区发展史》的组织编纂工作。为慰藉革命先烈，继承革命传统，弘扬红色精神，在南雄市委、市人民政府与汉中市南郑区委、区人民政府的共同努力下，在史志办的积极对接、筹备、组织下，何挺颖烈士纪念碑在油山革命纪念广场顺利落成，进一步丰富南雄的红色旅游资源。</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9"/>
        <w:gridCol w:w="3433"/>
      </w:tblGrid>
      <w:tr w14:paraId="5434C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gridSpan w:val="2"/>
            <w:tcBorders>
              <w:top w:val="nil"/>
              <w:left w:val="nil"/>
              <w:bottom w:val="nil"/>
              <w:right w:val="nil"/>
            </w:tcBorders>
          </w:tcPr>
          <w:p w14:paraId="05B2862C">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79820" cy="3771900"/>
                  <wp:effectExtent l="0" t="0" r="11430" b="0"/>
                  <wp:docPr id="100" name="图片 100" descr="南雄年鉴2019_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南雄年鉴2019_0077"/>
                          <pic:cNvPicPr>
                            <a:picLocks noChangeAspect="1"/>
                          </pic:cNvPicPr>
                        </pic:nvPicPr>
                        <pic:blipFill>
                          <a:blip r:embed="rId89"/>
                          <a:stretch>
                            <a:fillRect/>
                          </a:stretch>
                        </pic:blipFill>
                        <pic:spPr>
                          <a:xfrm>
                            <a:off x="0" y="0"/>
                            <a:ext cx="6179820" cy="3771900"/>
                          </a:xfrm>
                          <a:prstGeom prst="rect">
                            <a:avLst/>
                          </a:prstGeom>
                        </pic:spPr>
                      </pic:pic>
                    </a:graphicData>
                  </a:graphic>
                </wp:inline>
              </w:drawing>
            </w:r>
          </w:p>
        </w:tc>
      </w:tr>
      <w:tr w14:paraId="1DD71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6529" w:type="dxa"/>
            <w:tcBorders>
              <w:top w:val="nil"/>
              <w:left w:val="nil"/>
              <w:bottom w:val="nil"/>
              <w:right w:val="nil"/>
            </w:tcBorders>
          </w:tcPr>
          <w:p w14:paraId="1C9E4D41">
            <w:pPr>
              <w:bidi w:val="0"/>
              <w:rPr>
                <w:rFonts w:hint="eastAsia"/>
                <w:vertAlign w:val="baseline"/>
                <w:lang w:val="zh-CN"/>
              </w:rPr>
            </w:pPr>
            <w:r>
              <w:rPr>
                <w:rFonts w:hint="eastAsia" w:ascii="FZKTK--GBK1-0" w:hAnsi="FZKTK--GBK1-0" w:eastAsia="FZKTK--GBK1-0"/>
                <w:sz w:val="20"/>
              </w:rPr>
              <w:t>9月7日，召开南雄市南粤古驿道沿线村史编纂动员会</w:t>
            </w:r>
          </w:p>
        </w:tc>
        <w:tc>
          <w:tcPr>
            <w:tcW w:w="3433" w:type="dxa"/>
            <w:tcBorders>
              <w:top w:val="nil"/>
              <w:left w:val="nil"/>
              <w:bottom w:val="nil"/>
              <w:right w:val="nil"/>
            </w:tcBorders>
          </w:tcPr>
          <w:p w14:paraId="2018C937">
            <w:pPr>
              <w:bidi w:val="0"/>
              <w:jc w:val="right"/>
              <w:rPr>
                <w:rFonts w:hint="eastAsia" w:ascii="FZKTK--GBK1-0" w:hAnsi="FZKTK--GBK1-0" w:eastAsia="FZKTK--GBK1-0"/>
                <w:sz w:val="20"/>
              </w:rPr>
            </w:pPr>
            <w:r>
              <w:rPr>
                <w:rFonts w:hint="eastAsia" w:ascii="FZKTK--GBK1-0" w:hAnsi="FZKTK--GBK1-0" w:eastAsia="FZKTK--GBK1-0"/>
                <w:sz w:val="20"/>
              </w:rPr>
              <w:t>（史志办</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60A3F648">
      <w:pPr>
        <w:pStyle w:val="4"/>
        <w:bidi w:val="0"/>
        <w:rPr>
          <w:rFonts w:hint="eastAsia"/>
          <w:lang w:val="zh-CN"/>
        </w:rPr>
      </w:pPr>
      <w:r>
        <w:rPr>
          <w:rFonts w:hint="eastAsia"/>
          <w:lang w:val="zh-CN"/>
        </w:rPr>
        <w:t>【革命遗址保护】</w:t>
      </w:r>
    </w:p>
    <w:p w14:paraId="0EF83D15">
      <w:pPr>
        <w:bidi w:val="0"/>
        <w:rPr>
          <w:rFonts w:hint="eastAsia"/>
          <w:lang w:val="zh-CN"/>
        </w:rPr>
      </w:pPr>
      <w:r>
        <w:rPr>
          <w:rFonts w:hint="eastAsia"/>
          <w:lang w:val="zh-CN"/>
        </w:rPr>
        <w:t>通过现场踩点、实地了解情况、全面核查资料等方式，分批确认新增革命遗址，全市革命遗址由原来的41个增加到55个，并建立台账进行动态管理。协助市委宣传部，向省委宣传部申报扶持红色革命遗址修缮维护及改陈布展项目资金，已批准的革命遗址有瑶坑省委机关旧址、乌迳红军长征入粤第一仗遗址纪念园、油山南方三年游击战争主题园、南雄红色革命历史陈列馆等4个项目。</w:t>
      </w:r>
    </w:p>
    <w:p w14:paraId="72FF13E7">
      <w:pPr>
        <w:pStyle w:val="4"/>
        <w:bidi w:val="0"/>
        <w:rPr>
          <w:rFonts w:hint="eastAsia"/>
          <w:lang w:val="zh-CN"/>
        </w:rPr>
      </w:pPr>
      <w:r>
        <w:rPr>
          <w:rFonts w:hint="eastAsia"/>
          <w:lang w:val="zh-CN"/>
        </w:rPr>
        <w:t>【党史资料收集】</w:t>
      </w:r>
    </w:p>
    <w:p w14:paraId="27A9746C">
      <w:pPr>
        <w:bidi w:val="0"/>
        <w:rPr>
          <w:rFonts w:hint="eastAsia"/>
          <w:lang w:val="zh-CN"/>
        </w:rPr>
      </w:pPr>
      <w:r>
        <w:rPr>
          <w:rFonts w:hint="eastAsia"/>
          <w:lang w:val="zh-CN"/>
        </w:rPr>
        <w:t>积极对接革命先辈后代来访，主动联系革命先辈及后代进行专访。协同南雄市委宣传部主要领导，专程到北京对百岁老将军杨永松少将、朱德元帅外孙刘健、彭德怀元帅侄外孙张峰、陈毅元帅儿子陈昊苏、罗荣桓元帅儿子罗东进中将、罗瑞卿上将儿子罗箭少将等进行专访，收集一批革命先辈的回忆录、传记等图文资料。参与水口战役的杨永松老将军欣然题词：“苏区南雄，红色热土；保卫苏区，水口战役。”南雄电视台对专访进行专题报道。</w:t>
      </w:r>
    </w:p>
    <w:p w14:paraId="1E6A586F">
      <w:pPr>
        <w:bidi w:val="0"/>
        <w:rPr>
          <w:rFonts w:hint="eastAsia"/>
          <w:lang w:val="zh-CN"/>
        </w:rPr>
      </w:pPr>
      <w:r>
        <w:rPr>
          <w:rFonts w:hint="eastAsia"/>
          <w:lang w:val="zh-CN"/>
        </w:rPr>
        <w:t>组织开展外出查找有关党史资料。联系军事科学院、解放军档案馆，到南京中国第二历史档案馆、井冈山干部教育学院、赣南等地，查找有关党史资料，共收集218项467页，并将收集到的党史资料图片转换成文档格式，字数近80万字，同时建立目录进行电子化管理。为丰富党史研究基础资料，出资3万多元收集、购买关于毛泽东、陈毅等革命领导人和有关水口战役、南方三年游击战争等题材书籍，共170项341册，为党史研究提供有力的佐证。</w:t>
      </w:r>
    </w:p>
    <w:p w14:paraId="35849EE3">
      <w:pPr>
        <w:pStyle w:val="4"/>
        <w:bidi w:val="0"/>
        <w:rPr>
          <w:rFonts w:hint="eastAsia"/>
          <w:lang w:val="zh-CN"/>
        </w:rPr>
      </w:pPr>
      <w:r>
        <w:rPr>
          <w:rFonts w:hint="eastAsia"/>
          <w:lang w:val="zh-CN"/>
        </w:rPr>
        <w:t>【红色村建设】</w:t>
      </w:r>
    </w:p>
    <w:p w14:paraId="7758DC33">
      <w:pPr>
        <w:bidi w:val="0"/>
        <w:rPr>
          <w:rFonts w:hint="eastAsia"/>
          <w:lang w:val="zh-CN"/>
        </w:rPr>
      </w:pPr>
      <w:r>
        <w:rPr>
          <w:rFonts w:hint="eastAsia"/>
          <w:lang w:val="zh-CN"/>
        </w:rPr>
        <w:t>协同市委组织部等单位推进水口镇水口村、珠玑镇灵潭村、油山镇上朔村、湖口镇新迳村、雄州街道荆岗村等5个“红色村”建设。</w:t>
      </w:r>
    </w:p>
    <w:p w14:paraId="00D83C2B">
      <w:pPr>
        <w:pStyle w:val="4"/>
        <w:bidi w:val="0"/>
        <w:rPr>
          <w:rFonts w:hint="eastAsia"/>
          <w:lang w:val="zh-CN"/>
        </w:rPr>
      </w:pPr>
      <w:r>
        <w:rPr>
          <w:rFonts w:hint="eastAsia"/>
          <w:lang w:val="zh-CN"/>
        </w:rPr>
        <w:t>【自然村落普查】</w:t>
      </w:r>
    </w:p>
    <w:p w14:paraId="4E664B2B">
      <w:pPr>
        <w:bidi w:val="0"/>
        <w:rPr>
          <w:rFonts w:hint="eastAsia"/>
          <w:lang w:val="zh-CN"/>
        </w:rPr>
      </w:pPr>
      <w:r>
        <w:rPr>
          <w:rFonts w:hint="eastAsia"/>
          <w:lang w:val="zh-CN"/>
        </w:rPr>
        <w:t>完成全市1853个自然村落历史人文普查文稿的复审和韶关终审。为确保照片质量，聘请专业团队完成各自然村落全貌图航拍和特色照片拍摄，全面更换原文稿中手机拍摄的照片，为《全粤村情·南雄卷》出版打下坚实基础。将有关红色文化村、历史文化村、美丽乡村、特色建筑等资料上报省地方志办，申报列入“广东名村系列丛书”。</w:t>
      </w:r>
    </w:p>
    <w:p w14:paraId="5B8596BA">
      <w:pPr>
        <w:pStyle w:val="4"/>
        <w:bidi w:val="0"/>
        <w:rPr>
          <w:rFonts w:hint="eastAsia"/>
          <w:lang w:val="zh-CN"/>
        </w:rPr>
      </w:pPr>
      <w:r>
        <w:rPr>
          <w:rFonts w:hint="eastAsia"/>
          <w:lang w:val="zh-CN"/>
        </w:rPr>
        <w:t>【地方志工作】</w:t>
      </w:r>
    </w:p>
    <w:p w14:paraId="3CB44F52">
      <w:pPr>
        <w:bidi w:val="0"/>
        <w:rPr>
          <w:rFonts w:hint="eastAsia"/>
          <w:lang w:val="zh-CN"/>
        </w:rPr>
      </w:pPr>
      <w:r>
        <w:rPr>
          <w:rFonts w:hint="eastAsia"/>
          <w:lang w:val="zh-CN"/>
        </w:rPr>
        <w:t>为编修第三轮市志提供基础资料，完成全市各单位2016、2017年度的地方志资料年报组稿，并进行审核、整理、汇编。</w:t>
      </w:r>
    </w:p>
    <w:p w14:paraId="5847CEB3">
      <w:pPr>
        <w:bidi w:val="0"/>
        <w:rPr>
          <w:rFonts w:hint="eastAsia"/>
          <w:lang w:val="zh-CN"/>
        </w:rPr>
      </w:pPr>
      <w:r>
        <w:rPr>
          <w:rFonts w:hint="eastAsia"/>
          <w:lang w:val="zh-CN"/>
        </w:rPr>
        <w:t>根据县级地情网站集约化建设要求，将南雄地情网关停，相关数据和信息分别迁移至韶关市地情网和南雄市政府门户网站，并完成各年度南雄年鉴上传工作。</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81B1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F28C60A">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2360" cy="3789045"/>
                  <wp:effectExtent l="0" t="0" r="8890" b="1905"/>
                  <wp:docPr id="103" name="图片 103" descr="南雄年鉴2019_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南雄年鉴2019_0078"/>
                          <pic:cNvPicPr>
                            <a:picLocks noChangeAspect="1"/>
                          </pic:cNvPicPr>
                        </pic:nvPicPr>
                        <pic:blipFill>
                          <a:blip r:embed="rId90"/>
                          <a:stretch>
                            <a:fillRect/>
                          </a:stretch>
                        </pic:blipFill>
                        <pic:spPr>
                          <a:xfrm>
                            <a:off x="0" y="0"/>
                            <a:ext cx="6182360" cy="3789045"/>
                          </a:xfrm>
                          <a:prstGeom prst="rect">
                            <a:avLst/>
                          </a:prstGeom>
                        </pic:spPr>
                      </pic:pic>
                    </a:graphicData>
                  </a:graphic>
                </wp:inline>
              </w:drawing>
            </w:r>
          </w:p>
        </w:tc>
      </w:tr>
      <w:tr w14:paraId="52B5B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D61D4E9">
            <w:pPr>
              <w:bidi w:val="0"/>
              <w:rPr>
                <w:rFonts w:hint="eastAsia"/>
                <w:vertAlign w:val="baseline"/>
                <w:lang w:val="zh-CN"/>
              </w:rPr>
            </w:pPr>
            <w:r>
              <w:rPr>
                <w:rFonts w:hint="eastAsia" w:ascii="FZKTK--GBK1-0" w:hAnsi="FZKTK--GBK1-0" w:eastAsia="FZKTK--GBK1-0"/>
                <w:sz w:val="20"/>
              </w:rPr>
              <w:t>2018年5月25日，史志办主任肖兴麟（左一）陪同南雄市委常委、宣传部长温春花（左三）到北京专访参加过水口战役的杨永松少将（右一）（市史志办</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6D76491B">
      <w:pPr>
        <w:pStyle w:val="4"/>
        <w:bidi w:val="0"/>
        <w:rPr>
          <w:rFonts w:hint="eastAsia"/>
          <w:lang w:val="zh-CN"/>
        </w:rPr>
      </w:pPr>
      <w:r>
        <w:rPr>
          <w:rFonts w:hint="eastAsia"/>
          <w:lang w:val="zh-CN"/>
        </w:rPr>
        <w:t>【村史编纂】</w:t>
      </w:r>
    </w:p>
    <w:p w14:paraId="5AEBC614">
      <w:pPr>
        <w:bidi w:val="0"/>
        <w:rPr>
          <w:rFonts w:hint="eastAsia"/>
          <w:lang w:val="zh-CN"/>
        </w:rPr>
      </w:pPr>
      <w:r>
        <w:rPr>
          <w:rFonts w:hint="eastAsia"/>
          <w:lang w:val="zh-CN"/>
        </w:rPr>
        <w:t>根据南雄市重点工作项目安排，着手整理编纂梅关—乌迳古驿道沿线中站、梅岭、角湾、泰源、灵潭、里东、石塘、聪背、珠玑、新田、山下、田心、白胜、孔江、大竹、乌迳等16个村的村史。各相关村成立协修小组，相关镇指定专人跟进，史志办安排人员加强跟进联系、协调指导，并提供相关基础资料给承修单位，逐步推进南粤古驿道沿线村史的编纂工作。</w:t>
      </w:r>
      <w:r>
        <w:rPr>
          <w:rFonts w:hint="eastAsia"/>
          <w:b/>
          <w:bCs/>
          <w:lang w:val="zh-CN"/>
        </w:rPr>
        <w:t>（庄素梅）</w:t>
      </w:r>
    </w:p>
    <w:p w14:paraId="014CD444">
      <w:pPr>
        <w:pStyle w:val="11"/>
        <w:bidi w:val="0"/>
        <w:rPr>
          <w:rFonts w:hint="eastAsia"/>
          <w:b/>
          <w:bCs/>
          <w:lang w:val="zh-CN"/>
        </w:rPr>
      </w:pPr>
      <w:r>
        <w:rPr>
          <w:rFonts w:hint="eastAsia"/>
          <w:b/>
          <w:bCs/>
          <w:lang w:val="zh-CN"/>
        </w:rPr>
        <w:t>附：2018年市史志办领导班子成员名单</w:t>
      </w:r>
    </w:p>
    <w:p w14:paraId="4158FA03">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肖兴麟（2月任职）</w:t>
      </w:r>
    </w:p>
    <w:p w14:paraId="6AA5DA96">
      <w:pPr>
        <w:pStyle w:val="11"/>
        <w:bidi w:val="0"/>
        <w:ind w:leftChars="400"/>
        <w:rPr>
          <w:rFonts w:hint="eastAsia"/>
          <w:lang w:val="zh-CN"/>
        </w:rPr>
      </w:pPr>
      <w:r>
        <w:rPr>
          <w:rFonts w:hint="eastAsia"/>
          <w:lang w:val="zh-CN"/>
        </w:rPr>
        <w:t>孔永明（任至2月）</w:t>
      </w:r>
    </w:p>
    <w:p w14:paraId="19741DFC">
      <w:pPr>
        <w:pStyle w:val="11"/>
        <w:bidi w:val="0"/>
        <w:rPr>
          <w:rFonts w:hint="eastAsia"/>
          <w:lang w:val="zh-CN"/>
        </w:rPr>
      </w:pPr>
      <w:r>
        <w:rPr>
          <w:rFonts w:hint="eastAsia"/>
          <w:b/>
          <w:bCs/>
          <w:lang w:val="zh-CN"/>
        </w:rPr>
        <w:t>副主任：</w:t>
      </w:r>
      <w:r>
        <w:rPr>
          <w:rFonts w:hint="eastAsia"/>
          <w:lang w:val="zh-CN"/>
        </w:rPr>
        <w:t>谢</w:t>
      </w:r>
      <w:r>
        <w:rPr>
          <w:rFonts w:hint="eastAsia"/>
          <w:lang w:val="en-US" w:eastAsia="zh-CN"/>
        </w:rPr>
        <w:t xml:space="preserve">  </w:t>
      </w:r>
      <w:r>
        <w:rPr>
          <w:rFonts w:hint="eastAsia"/>
          <w:lang w:val="zh-CN"/>
        </w:rPr>
        <w:t>平</w:t>
      </w:r>
      <w:r>
        <w:rPr>
          <w:rFonts w:hint="eastAsia"/>
          <w:lang w:val="en-US" w:eastAsia="zh-CN"/>
        </w:rPr>
        <w:t xml:space="preserve">   </w:t>
      </w:r>
      <w:r>
        <w:rPr>
          <w:rFonts w:hint="eastAsia"/>
          <w:lang w:val="zh-CN"/>
        </w:rPr>
        <w:t>庄素梅</w:t>
      </w:r>
    </w:p>
    <w:p w14:paraId="0D0B4B6A">
      <w:pPr>
        <w:pStyle w:val="2"/>
        <w:bidi w:val="0"/>
        <w:rPr>
          <w:rFonts w:hint="eastAsia"/>
        </w:rPr>
      </w:pPr>
      <w:r>
        <w:rPr>
          <w:rFonts w:hint="eastAsia"/>
        </w:rPr>
        <w:t>南雄市人民代表大会</w:t>
      </w:r>
    </w:p>
    <w:p w14:paraId="2D3CFFE4">
      <w:pPr>
        <w:pStyle w:val="3"/>
        <w:bidi w:val="0"/>
        <w:rPr>
          <w:rFonts w:hint="eastAsia"/>
          <w:lang w:val="zh-CN"/>
        </w:rPr>
      </w:pPr>
      <w:r>
        <w:rPr>
          <w:rFonts w:hint="eastAsia"/>
          <w:lang w:val="zh-CN"/>
        </w:rPr>
        <w:t>综述</w:t>
      </w:r>
    </w:p>
    <w:p w14:paraId="76CE1BAB">
      <w:pPr>
        <w:pStyle w:val="4"/>
        <w:bidi w:val="0"/>
        <w:rPr>
          <w:rFonts w:hint="eastAsia"/>
          <w:lang w:val="zh-CN"/>
        </w:rPr>
      </w:pPr>
      <w:r>
        <w:rPr>
          <w:rFonts w:hint="eastAsia"/>
          <w:lang w:val="zh-CN"/>
        </w:rPr>
        <w:t>【市人大机构概况】</w:t>
      </w:r>
    </w:p>
    <w:p w14:paraId="525CA558">
      <w:pPr>
        <w:bidi w:val="0"/>
        <w:rPr>
          <w:rFonts w:hint="eastAsia"/>
          <w:lang w:val="zh-CN"/>
        </w:rPr>
      </w:pPr>
      <w:r>
        <w:rPr>
          <w:rFonts w:hint="eastAsia"/>
          <w:lang w:val="zh-CN"/>
        </w:rPr>
        <w:t>2018年，根据《中共中央转发〈全国人大常委会党组关于加强县乡人大工作和建设的若干意见〉的通知》（中发〔2015〕18号）和《中共广东省委关于加强新形势下人大工作的决定》（粤发〔2016〕4号）文件精神，经请示市委同意，新设立南雄市人民代表大会法制委员会、财政经济委员会两个专门委员会，原作为常委会办事机构的“内务司法工作委员会”和“经济工作委员会”，分别更名为“法制工作委员会”和“财政经济工作委员会”，与专门委员会合署办公。同时常委会新设立“城乡建设环境资源与保护工作委员会”。机构变更和新增以后，市人大专门机构2个，即：法制委员会、财政经济委员会；常委会工作机构6个，即：办公室、法制工作委员会、财政经济工作委员会、教育科学文化卫生工作委员会、选举联络人事任免工作委员会、城乡建设环境资源与保护工作委员会；常委会派出机构1个，即雄州街道人大工作委员会。根据现有编制安排，办公室、财经工委各设主任1名、副主任2名，其他工委均设主任1名和副主任1名。办公室内设综合股、行秘股和议案信访股。市人大常委会机关“三定”编制数为21人，其中行政编制19人，工勤编制2人。2018年，市人大常委会机关在编23人（含2个记账式行政编，不含常委会领导），其中科级领导干部13人，科级非领导干部4人，工勤2人。常委会设主任1名，副主任6名。2018年召开人民代表大会2次、常委会会议10次、主任会议14次，听取和审议“一府两院”专项工作报告23项，作出决议、决定22项，提出审议意见67条，检查2部法律法规实施情况，对4个部门开展工作评议，开展专题工作调研25项，配合上级人大常委会开展活动34次，圆满完成南雄市十五届人大四次会议确定的各项目标任务，为南雄经济社会发展和民主法治建设作出贡献。</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BB58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356F8E8">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2995" cy="3766185"/>
                  <wp:effectExtent l="0" t="0" r="8255" b="5715"/>
                  <wp:docPr id="104" name="图片 104" descr="南雄年鉴2019_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南雄年鉴2019_0079"/>
                          <pic:cNvPicPr>
                            <a:picLocks noChangeAspect="1"/>
                          </pic:cNvPicPr>
                        </pic:nvPicPr>
                        <pic:blipFill>
                          <a:blip r:embed="rId91"/>
                          <a:stretch>
                            <a:fillRect/>
                          </a:stretch>
                        </pic:blipFill>
                        <pic:spPr>
                          <a:xfrm>
                            <a:off x="0" y="0"/>
                            <a:ext cx="6182995" cy="3766185"/>
                          </a:xfrm>
                          <a:prstGeom prst="rect">
                            <a:avLst/>
                          </a:prstGeom>
                        </pic:spPr>
                      </pic:pic>
                    </a:graphicData>
                  </a:graphic>
                </wp:inline>
              </w:drawing>
            </w:r>
          </w:p>
        </w:tc>
      </w:tr>
      <w:tr w14:paraId="5341B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B092CC6">
            <w:pPr>
              <w:bidi w:val="0"/>
              <w:rPr>
                <w:rFonts w:hint="eastAsia"/>
                <w:vertAlign w:val="baseline"/>
                <w:lang w:val="zh-CN"/>
              </w:rPr>
            </w:pPr>
            <w:r>
              <w:rPr>
                <w:rFonts w:hint="eastAsia" w:ascii="FZKTK--GBK1-0" w:hAnsi="FZKTK--GBK1-0" w:eastAsia="FZKTK--GBK1-0"/>
                <w:sz w:val="20"/>
              </w:rPr>
              <w:t>2018年1月9日，在南雄市第十五届人民代表大会第三次会议上，市人大常委会主任陈玉英（右）为新当选的监委主任徐建坤（左）颁发</w:t>
            </w:r>
            <w:r>
              <w:rPr>
                <w:rFonts w:hint="eastAsia" w:ascii="FZKTK--GBK1-0" w:hAnsi="FZKTK--GBK1-0" w:eastAsia="FZKTK--GBK1-0"/>
                <w:sz w:val="20"/>
                <w:lang w:val="en-US" w:eastAsia="zh-CN"/>
              </w:rPr>
              <w:t>当</w:t>
            </w:r>
            <w:r>
              <w:rPr>
                <w:rFonts w:hint="eastAsia" w:ascii="FZKTK--GBK1-0" w:hAnsi="FZKTK--GBK1-0" w:eastAsia="FZKTK--GBK1-0"/>
                <w:sz w:val="20"/>
              </w:rPr>
              <w:t>选证书（市人大办</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3308C23D">
      <w:pPr>
        <w:pStyle w:val="4"/>
        <w:bidi w:val="0"/>
        <w:rPr>
          <w:rFonts w:hint="eastAsia"/>
          <w:lang w:val="zh-CN"/>
        </w:rPr>
      </w:pPr>
      <w:r>
        <w:rPr>
          <w:rFonts w:hint="eastAsia"/>
          <w:lang w:val="zh-CN"/>
        </w:rPr>
        <w:t>【市十五届人大三次会议】</w:t>
      </w:r>
    </w:p>
    <w:p w14:paraId="3CD885B9">
      <w:pPr>
        <w:bidi w:val="0"/>
        <w:rPr>
          <w:rFonts w:hint="eastAsia"/>
          <w:lang w:val="zh-CN"/>
        </w:rPr>
      </w:pPr>
      <w:r>
        <w:rPr>
          <w:rFonts w:hint="eastAsia"/>
          <w:lang w:val="zh-CN"/>
        </w:rPr>
        <w:t>1月8日至9日，南雄市第十五届人民代表大会第三次会议在市迎宾馆1号会议室召开。市第十五届人民代表大会第三次会议应到代表202名，实到代表186名，出席人数符合法定人数。市委、市政府、市政协、市人民法院、市人民检察院、市纪委相关领导列席会议。会议审议并接受叶邱婷、黄文儒、董圣国、张益平等同志因工作需要辞去南雄市第十五届人大代表职务，王高峰同志因工作需要辞去市第十五届人大常务委员会委员职务的请求。会议依法选举徐建坤同志为南雄市监察委员会主任。</w:t>
      </w:r>
    </w:p>
    <w:p w14:paraId="3112ADD8">
      <w:pPr>
        <w:pStyle w:val="4"/>
        <w:bidi w:val="0"/>
        <w:rPr>
          <w:rFonts w:hint="eastAsia"/>
          <w:lang w:val="zh-CN"/>
        </w:rPr>
      </w:pPr>
      <w:r>
        <w:rPr>
          <w:rFonts w:hint="eastAsia"/>
          <w:lang w:val="zh-CN"/>
        </w:rPr>
        <w:t>【市十五届人大四次会议】</w:t>
      </w:r>
    </w:p>
    <w:p w14:paraId="03C0EFB8">
      <w:pPr>
        <w:bidi w:val="0"/>
        <w:rPr>
          <w:rFonts w:hint="eastAsia"/>
          <w:lang w:val="zh-CN"/>
        </w:rPr>
      </w:pPr>
      <w:r>
        <w:rPr>
          <w:rFonts w:hint="eastAsia"/>
          <w:lang w:val="zh-CN"/>
        </w:rPr>
        <w:t>3月27日至29日，南雄市第十五届人民代表大会第四次会议在市实验中学体育馆召开。大会应出席代表209人，出席201人，出席人数符合法定人数。市委、市政府、市政协、市监委有关领导，市法院、市检察院、市武装部负责人，正科以上市委工作部门、市政府工作部门、群团组织、事业单位，中央、省驻雄单位，金融单位、市属企业主要负责人，各镇（街道）政府（办事处）镇长（主任），驻雄省、韶关市人大代表列席会议；历届市人大常委会退休领导、出席政协南雄市第十届委员会第三次会议全体人员应邀列席大会开幕式。会议听取和审议市政府工作报告、市人大常委会工作报告、市法院工作报告、市检察院工作报告，审查和批准南雄市2017年国民经济和社会发展计划执行情况与2018年国民经济和社会发展计划草案报告、南雄市2017年预算执行情况与2018年预算草案报告，批准南雄市2018年国民经济和社会发展计划、2018年市级预算，审议通过关于加快推进黄坑等镇自来水工程建设议案决议。会议依法选举肖丽琼、陈健生、黄泰昌、曾昭雄、江继宽、苏德椿、刘福娣、董雪英等8位同志为南雄市第十五届人民代表大会常务委员会委员。会议通过南雄市第十五届人民代表大会法制委员会、财政经济委员会主任委员、副主任委员和委员人选。其中法制委员会主任委员陈焱煌，副主任委员何金生，委员朱庭文、刘世娣、刘福娣（女）、苏德椿、胡小明；财政经济委员主任委员刘运平，副主任委员曾昭雄，委员刘奇勇、陈健生、郭蕙梅（女）、黄泰昌、潘雄辉。</w:t>
      </w:r>
    </w:p>
    <w:p w14:paraId="36566520">
      <w:pPr>
        <w:pStyle w:val="4"/>
        <w:bidi w:val="0"/>
        <w:rPr>
          <w:rFonts w:hint="eastAsia"/>
          <w:lang w:val="zh-CN"/>
        </w:rPr>
      </w:pPr>
      <w:r>
        <w:rPr>
          <w:rFonts w:hint="eastAsia"/>
          <w:lang w:val="zh-CN"/>
        </w:rPr>
        <w:t>【市人大常务委员会】</w:t>
      </w:r>
    </w:p>
    <w:p w14:paraId="21BAEEF6">
      <w:pPr>
        <w:bidi w:val="0"/>
        <w:rPr>
          <w:rFonts w:hint="eastAsia"/>
          <w:lang w:val="zh-CN"/>
        </w:rPr>
      </w:pPr>
      <w:r>
        <w:rPr>
          <w:rFonts w:hint="eastAsia"/>
          <w:b/>
          <w:bCs/>
          <w:lang w:val="zh-CN"/>
        </w:rPr>
        <w:t>市十五届人大常委会第十四次会议</w:t>
      </w:r>
      <w:r>
        <w:rPr>
          <w:rFonts w:hint="eastAsia"/>
          <w:b/>
          <w:bCs/>
          <w:lang w:val="en-US" w:eastAsia="zh-CN"/>
        </w:rPr>
        <w:t xml:space="preserve">   </w:t>
      </w:r>
      <w:r>
        <w:rPr>
          <w:rFonts w:hint="eastAsia"/>
          <w:lang w:val="zh-CN"/>
        </w:rPr>
        <w:t>1月8日南雄市第十五届人民代表大会常务委员会第十四次会议在市迎宾馆2号会议室召开，市人大常委会主任陈玉英主持会议。会议审议通过关于南雄市监察委员会副主任、委员任免及主任、副主任、委员宪法宣誓有关事项决定。会议根据南雄市第十五届人民代表大会常务委员会第十五次主任会议所作提请，审议《关于提请审议〈南雄市人民代表大会常务委员会关于南雄市监察委员会副主任、委员任免及主任、副主任、委员宪法宣誓有关事项的决定〉的议案》。会议按照《全国人民代表大会常务委员会关于在全国各地推开国家监察体制改革试点工作的决定》《全国人民代表大会常务委员会关于实行宪法宣誓制度的决定》《广东省实施宪法宣誓制度办法》有关规定，通过《南雄市人民代表大会常务委员会关于南雄市监察委员会副主任、委员任免及主任、副主任、委员宪法宣誓有关事项的决定》。</w:t>
      </w:r>
    </w:p>
    <w:p w14:paraId="69149641">
      <w:pPr>
        <w:bidi w:val="0"/>
        <w:rPr>
          <w:rFonts w:hint="eastAsia"/>
          <w:lang w:val="zh-CN"/>
        </w:rPr>
      </w:pPr>
      <w:r>
        <w:rPr>
          <w:rFonts w:hint="eastAsia"/>
          <w:b/>
          <w:bCs/>
          <w:lang w:val="zh-CN"/>
        </w:rPr>
        <w:t>市十五届人大常委会第十五次会议</w:t>
      </w:r>
      <w:r>
        <w:rPr>
          <w:rFonts w:hint="eastAsia"/>
          <w:b/>
          <w:bCs/>
          <w:lang w:val="en-US" w:eastAsia="zh-CN"/>
        </w:rPr>
        <w:t xml:space="preserve">   </w:t>
      </w:r>
      <w:r>
        <w:rPr>
          <w:rFonts w:hint="eastAsia"/>
          <w:lang w:val="zh-CN"/>
        </w:rPr>
        <w:t>1月9日，南雄市第十五届人民代表大会常务委员会第十五次会议在市人大常委会会议室召开，市人大常委会主任陈玉英主持会议。会议依法补选马绍椿、张益平为韶关市第十四届人民代表大会代表，并报韶关市人民代表大会常务委员会审查确认。会议根据南雄市第十五届人民代表大会常务委员会第十六次主任会议所作提请，审议《关于提请审议〈南雄市人民代表大会常务委员会关于增设城乡建设环境与资源保护工作委员会等问题的决定〉的议案》。根据工作需要，会议决定南雄市人民代表大会常务委员会增设城乡建设环境与资源保护工作委员会，南雄市人民代表大会常务委员会经济工作委员会更名为南雄市人民代表大会常务委员会财政经济工作委员会，南雄市人民代表大会常务委员会内务司法工作委员会更名为南雄市人民代表大会常务委员会法制工作委员会。会议根据南雄市第十五届人民代表大会常务委员会第十六次主任会议所作提请，审议《关于提请审议张新同志免职的议案》和《关于提请审议杨珂等同志任职的议案》。会议任命：杨珂为南雄市人民代表大会常务委员会办公室主任，陈焱煌为南雄市人民代表大会常务委员会法制工作委员会主任，刘运平为南雄市人民代表大会常务委员会财政经济工作委员会主任，陈健生为南雄市人民代表大会常务委员会城乡建设环境与资源保护工作委员会副主任（主持工作，正科级），何金生为南雄市人民代表大会常务委员会法制工作委员会副主任（正科级），曾昭雄为南雄市人民代表大会常务委员会财政经济工作委员会副主任，朱志康为南雄市人民代表大会常务委员会城乡建设环境与资源保护工作委员会副主任，刘雄明为南雄市人民代表大会常务委员会雄州街道工作委员会副主任；免去张新的南雄市人民代表大会常务委员会办公室主任职务。会议根据南雄市监察委主任徐建坤所作提请，审议《关于提请审议曾光等同志任职的议案》。会议按照《全国人民代表大会常务委员会关于在全国各地推开国家监察体制改革试点工作的决定》《南雄市人民代表大会常务委员会关于南雄市监察委员会副主任、委员任免及主任、副主任、委员宪法宣誓有关事项的决定》《广东省各级人民代表大会常务委员会人事任免办法》有关规定，任命曾光、黄文儒为南雄市监察委员会副主任，王长连、李进为南雄市监察委员会委员，谢金城为南雄市监察委员会专职委员。</w:t>
      </w:r>
    </w:p>
    <w:p w14:paraId="227FA60C">
      <w:pPr>
        <w:bidi w:val="0"/>
        <w:rPr>
          <w:rFonts w:hint="eastAsia"/>
          <w:lang w:val="zh-CN"/>
        </w:rPr>
      </w:pPr>
      <w:r>
        <w:rPr>
          <w:rFonts w:hint="eastAsia"/>
          <w:b/>
          <w:bCs/>
          <w:lang w:val="zh-CN"/>
        </w:rPr>
        <w:t>市十五届人大常委会第十六次会议</w:t>
      </w:r>
      <w:r>
        <w:rPr>
          <w:rFonts w:hint="eastAsia"/>
          <w:b/>
          <w:bCs/>
          <w:lang w:val="en-US" w:eastAsia="zh-CN"/>
        </w:rPr>
        <w:t xml:space="preserve">   </w:t>
      </w:r>
      <w:r>
        <w:rPr>
          <w:rFonts w:hint="eastAsia"/>
          <w:lang w:val="zh-CN"/>
        </w:rPr>
        <w:t>2月6日，南雄市第十五届人民代表大会常务委员会第十六次会议在市人大常委会会议室召开，市人大常委会主任陈玉英主持会议。会议根据市政府副市长邵锦炯代表市长林小龙所作提请，审议《关于提请审议焦晓松同志任职的议案》。会议按照《中华人民共和国地方各级人民代表大会和地方各级人民政府组织法》和《广东省各级人民代表大会常务委员会人事任免办法》规定，决定任命焦晓松为南雄市人民政府副市长。听取和审议市人民法院院长杨应荣提请人事任免事项。会议按照《中华人民共和国地方各级人民代表大会和地方各级人民政府组织法》和《广东省各级人民代表大会常务委员会人事任免办法》规定，任命钟治优为南雄市人民法院刑事审判庭庭长、审判委员会委员，刘辉龙为南雄市人民法院民事审判第一庭庭长、审判委员会委员，何纪源为南雄市人民法院民事审判第二庭庭长，陈章健为南雄市人民法院立案庭庭长，邓小华为南雄市人民法院全安人民法庭庭长，陈亿祥为南雄市人民法院湖口人民法庭庭长，刘发荣为南雄市人民法院乌迳人民法庭副庭长，魏修文为南雄市人民法院执行局副局长；免去陈建麟的南雄市人民法院刑事审判庭庭长职务，徐平庆的南雄市人民法院民事审判第一庭庭长、审判委员会委员职务，刘文英的南雄市人民法院立案庭庭长职务，钟治优的南雄市人民法院全安人民法庭庭长职务，陈章健的南雄市人民法院湖口人民法庭庭长职务，朱祖良的南雄市人民法院民事审判第一庭副庭长职务，刘发荣的南雄市人民法院民事审判第三庭副庭长职务，魏修文的南雄市人民法院乌迳人民法庭副庭长职务，田华的南雄市人民法院立案庭副庭长、审判员职务，黄永华的南雄市人民法院审判员职务，魏先山的南雄市人民法院审判员职务，欧作家的南雄市人民法院审判员职务。会议审议通过南雄市人民代表大会常务委员会2018年工作要点。</w:t>
      </w:r>
    </w:p>
    <w:p w14:paraId="15419D61">
      <w:pPr>
        <w:bidi w:val="0"/>
        <w:rPr>
          <w:rFonts w:hint="eastAsia"/>
          <w:lang w:val="zh-CN"/>
        </w:rPr>
      </w:pPr>
      <w:r>
        <w:rPr>
          <w:rFonts w:hint="eastAsia"/>
          <w:b/>
          <w:bCs/>
          <w:lang w:val="zh-CN"/>
        </w:rPr>
        <w:t>市十五届人大常委会第十七次会议</w:t>
      </w:r>
      <w:r>
        <w:rPr>
          <w:rFonts w:hint="eastAsia"/>
          <w:b/>
          <w:bCs/>
          <w:lang w:val="en-US" w:eastAsia="zh-CN"/>
        </w:rPr>
        <w:t xml:space="preserve">   </w:t>
      </w:r>
      <w:r>
        <w:rPr>
          <w:rFonts w:hint="eastAsia"/>
          <w:lang w:val="zh-CN"/>
        </w:rPr>
        <w:t>3月16日，南雄市第十五届人民代表大会常务委员会第十七次会议在市人大常委会会议室召开，市人大常委会主任陈玉英主持本次会议。会议听取和审议市人民法院副院长何文涛代表院长杨应荣提请人事任免事项。会议按照《中华人民共和国地方各级人民代表大会和地方各级人民政府组织法》和《广东省各级人民代表大会常务委员会人事任免办法》规定，任命吴七妹、严振清、龚德灵、温福丽、高英为南雄市人民法院人民陪审员；免去刘辉龙的南雄市人民法院乌迳人民法庭庭长职务。会议听取和审议南雄市第十五届人民代表大会常务委员会代表资格审查委员会关于部分增补选南雄市第十五届人民代表大会代表的代表资格审查报告，确认增补选代表（全安镇机关选区补选的陈健生、黄坑镇机关选区补选的黄泰昌、坪田镇机关选区补选的刘福娣、江头镇机关选区增选的曾昭雄、邓坊镇机关选区增选的江继宽、雄州镇机关选区增选的苏德椿、界址镇机关选区增选的董雪英）的代表资格。会议审议通过关于召开南雄市第十五届人民代表大会第四次会议若干事项安排及建议名单。会议决定南雄市第十五届人民代表大会第四次会议于2018年3月27日至29日（含预备会议）在南雄大会堂举行。会议审议通过南雄市人民代表大会常务委员会工作报告。</w:t>
      </w:r>
    </w:p>
    <w:p w14:paraId="0A935E48">
      <w:pPr>
        <w:bidi w:val="0"/>
        <w:rPr>
          <w:rFonts w:hint="eastAsia"/>
          <w:lang w:val="zh-CN"/>
        </w:rPr>
      </w:pPr>
      <w:r>
        <w:rPr>
          <w:rFonts w:hint="eastAsia"/>
          <w:b/>
          <w:bCs/>
          <w:lang w:val="zh-CN"/>
        </w:rPr>
        <w:t>市十五届人大常委会第十八次会议</w:t>
      </w:r>
      <w:r>
        <w:rPr>
          <w:rFonts w:hint="eastAsia"/>
          <w:b/>
          <w:bCs/>
          <w:lang w:val="en-US" w:eastAsia="zh-CN"/>
        </w:rPr>
        <w:t xml:space="preserve">   </w:t>
      </w:r>
      <w:r>
        <w:rPr>
          <w:rFonts w:hint="eastAsia"/>
          <w:lang w:val="zh-CN"/>
        </w:rPr>
        <w:t>4月27日，南雄市第十五届人民代表大会常务委员会第十八次会议在市人大常委会会议室召开，市人大常委会主任陈玉英主持会议。会议听取和审议市环保局局长叶贤银受市人民政府委托所作的《关于南雄市2017年全市环境状况和环境保护目标完成情况的报告》。会议还听取和审议市财政局局长姚远华受市人民政府委托所作的《关于南雄市2017年地方政府债务限额的报告》《关于南雄市2017年度国有资本经营预算执行情况的报告》。会议审查和批准市人民政府关于南雄市2017年地方政府债务限额。会议对市十五届人大四次会议代表测评“一府两院”各单位以及其他市直有关单位（含垂直管理单位）工作情况进行通报（书面）。会议根据南雄市第十五届人民代表大会第四次会议代表测评“一府两院”各单位及其他市直有关单位（含垂直管理单位）工作情况的结果，确定市市场监督管理局、市民政局、市教育局、市烟草（公司）专卖局为2018年度南雄市人大常委会开展工作评议对象单位。</w:t>
      </w:r>
    </w:p>
    <w:p w14:paraId="34D025A7">
      <w:pPr>
        <w:bidi w:val="0"/>
        <w:rPr>
          <w:rFonts w:hint="eastAsia"/>
          <w:lang w:val="zh-CN"/>
        </w:rPr>
      </w:pPr>
      <w:r>
        <w:rPr>
          <w:rFonts w:hint="eastAsia"/>
          <w:b/>
          <w:bCs/>
          <w:lang w:val="zh-CN"/>
        </w:rPr>
        <w:t>市十五届人大常委会第十九次会议</w:t>
      </w:r>
      <w:r>
        <w:rPr>
          <w:rFonts w:hint="eastAsia"/>
          <w:b/>
          <w:bCs/>
          <w:lang w:val="en-US" w:eastAsia="zh-CN"/>
        </w:rPr>
        <w:t xml:space="preserve">   </w:t>
      </w:r>
      <w:r>
        <w:rPr>
          <w:rFonts w:hint="eastAsia"/>
          <w:lang w:val="zh-CN"/>
        </w:rPr>
        <w:t>6月28日，南雄市第十五届人民代表大会常务委员会第十九次会议在市人大常委会会议室召开，市人大常委会主任陈玉英主持会议。会议根据市政府常务副市长朱海兵代表市长林小龙所作的提请，审议《关于提请审议沈文昌同志免职的议案》。会议按照《中华人民共和国地方各级人民代表大会和地方各级人民政府组织法》和《广东省各级人民代表大会常务委员会人事任免办法》规定，决定免去沈文昌的南雄市国土资源局局长职务。会议根据代表个人辞职请求，按照《中华人民共和国地方各级人民代表大会和地方各级人民政府组织法》《中华人民共和国全国人民代表大会和地方各级人民代表大会选举法》《广东省各级人民代表大会选举实施细则》的规定，同意接受邓树源辞去韶关市第十四届人民代表大会代表职务，报韶关市人民代表大会常务委员会备案。会议听取和审议南雄市农业局局长董书海受南雄市人民政府委托所作的《关于贯彻实施〈中华人民共和国农产品质量安全法〉情况的报告》。会议分别对市市场监督管理局、市民政局、市教育局、市烟草（公司）专卖局等单位进行工作评议。</w:t>
      </w:r>
    </w:p>
    <w:p w14:paraId="5D3C617C">
      <w:pPr>
        <w:bidi w:val="0"/>
        <w:rPr>
          <w:rFonts w:hint="eastAsia"/>
          <w:lang w:val="zh-CN"/>
        </w:rPr>
      </w:pPr>
      <w:r>
        <w:rPr>
          <w:rFonts w:hint="eastAsia"/>
          <w:b/>
          <w:bCs/>
          <w:lang w:val="zh-CN"/>
        </w:rPr>
        <w:t>市十五届人大常委会第二十次会议</w:t>
      </w:r>
      <w:r>
        <w:rPr>
          <w:rFonts w:hint="eastAsia"/>
          <w:b/>
          <w:bCs/>
          <w:lang w:val="en-US" w:eastAsia="zh-CN"/>
        </w:rPr>
        <w:t xml:space="preserve">   </w:t>
      </w:r>
      <w:r>
        <w:rPr>
          <w:rFonts w:hint="eastAsia"/>
          <w:lang w:val="zh-CN"/>
        </w:rPr>
        <w:t>7月20日，南雄市第十五届人民代表大会常务委员会第二十次会议在市人大常委会会议室召开，市人大常委会主任陈玉英主持会议。会议审议通过市政府关于提请审议《关于南雄市珠玑古巷改造提升工作情况报告》的议案。会议听取和审议市珠玑梅关景区主任温世雄受市政府委托所作的《关于南雄市珠玑古巷改造提升工作情况报告》。市委常委、统战部部长、珠玑镇党委书记陈志光就珠玑古巷改造提升工作发表讲话，指出珠玑古巷改造提升工作重要性与必要性。市旅游局、市住建局、市国土局、市文广新局等单位主要领导结合本单位主要职责，就珠玑古巷改造提升作表态性发言，一致同意对珠玑古巷进行改造提升。</w:t>
      </w:r>
    </w:p>
    <w:p w14:paraId="1B67C4B3">
      <w:pPr>
        <w:bidi w:val="0"/>
        <w:rPr>
          <w:rFonts w:hint="eastAsia"/>
          <w:lang w:val="zh-CN"/>
        </w:rPr>
      </w:pPr>
      <w:r>
        <w:rPr>
          <w:rFonts w:hint="eastAsia"/>
          <w:b/>
          <w:bCs/>
          <w:lang w:val="zh-CN"/>
        </w:rPr>
        <w:t>市十五届人大常委会第二十一次会议</w:t>
      </w:r>
      <w:r>
        <w:rPr>
          <w:rFonts w:hint="eastAsia"/>
          <w:b/>
          <w:bCs/>
          <w:lang w:val="en-US" w:eastAsia="zh-CN"/>
        </w:rPr>
        <w:t xml:space="preserve">   </w:t>
      </w:r>
      <w:r>
        <w:rPr>
          <w:rFonts w:hint="eastAsia"/>
          <w:lang w:val="zh-CN"/>
        </w:rPr>
        <w:t>8月30日，南雄市第十五届人民代表大会常务委员会第二十一次会议在市人大常委会会议室召开，市人大常委会主任陈玉英主持会议。会议通过关于授权市人大常委会财政经济工作委员会对南雄市国民经济和社会发展计划草案报告、财政预算草案报告、决算草案报告以及南雄市国民经济和社会发展计划、财政预算部分调整方案进行初审有关事项。会议听取和审议市住建局局长刘先辉受市政府委托所作的《南雄市人民政府关于贯彻实施〈中华人民共和国城乡规划法〉情况的报告》和市人大常委会执法检查组所作的《关于对南雄市实施〈中华人民共和国城乡规划法〉情况的执法检查报告》。会议听取和审议市发改局局长李指源受市政府委托所作的《关于南雄市2018年上半年国民经济和社会发展计划执行情况的报告》。会议听取和审议市财政局局长姚远华受市政府委托所作的《关于南雄市2016年和2017年地方政府新增债券项目调整方案（草案）的报告》《关于南雄市2018年地方政府债务限额及2018年地方政府新增债券项目调整方案（草案）的报告》《关于南雄市2017年决算草案的报告》《关于南雄市2018年上半年预算执行情况的报告》。会议听取和审议市审计局局长张政平受市政府委托所作的《关于南雄市2017年度本级预算执行情况和其他财政收支的审计工作报告》。会议审议通过关于批准南雄市2017年决算决议、关于批准南雄市2016年和2017年地方政府新增债券项目调整方案决议、关于南雄市2018年地方政府债务限额及2018年地方政府新增债券项目调整方案决议。</w:t>
      </w:r>
    </w:p>
    <w:p w14:paraId="1BB704FB">
      <w:pPr>
        <w:bidi w:val="0"/>
        <w:rPr>
          <w:rFonts w:hint="eastAsia"/>
          <w:lang w:val="zh-CN"/>
        </w:rPr>
      </w:pPr>
      <w:r>
        <w:rPr>
          <w:rFonts w:hint="eastAsia"/>
          <w:b/>
          <w:bCs/>
          <w:lang w:val="zh-CN"/>
        </w:rPr>
        <w:t>市十五届人大常委会第二十二次会议</w:t>
      </w:r>
      <w:r>
        <w:rPr>
          <w:rFonts w:hint="eastAsia"/>
          <w:b/>
          <w:bCs/>
          <w:lang w:val="en-US" w:eastAsia="zh-CN"/>
        </w:rPr>
        <w:t xml:space="preserve">   </w:t>
      </w:r>
      <w:r>
        <w:rPr>
          <w:rFonts w:hint="eastAsia"/>
          <w:lang w:val="zh-CN"/>
        </w:rPr>
        <w:t>10月31日，南雄市第十五届人民代表大会常务委员会第二十二次会议在市迎宾馆1号会议室召开，市人大常委会主任陈玉英主持会议。会议审议市人民法院《关于提请确定南雄市人民法院人民陪审员名额的议案》。会议根据《中华人民共和国地方各级人民代表大会和地方人民政府组织法》《中华人民共和国人民陪审员法》和全国人大常委会《关于完善人民陪审员制度的决定》精神，结合人民法院审判工作新变化需求，决定确定南雄市人民法院人民陪审员名额为77名。会议听取和审议南雄市第十五届人民代表大会常务委员会代表资格审查委员会关于个别增选市第十五届人民代表大会代表的代表资格审查报告，确认增选代表（黄德忠，帽子峰镇第二选区）的代表资格。会议审议市人民政府关于提请审议《关于南雄市2018年重点建设项目计划调整报告》的议案，审查和批准南雄市2018年重点建设项目计划调整。会议审议市人民政府关于提请审议《关于南雄市2018年重点建设项目计划调整报告》的议案，并听取市发改局局长李指源受市政府委托所作的关于南雄市2018年重点建设项目计划调整情况说明。会议同意南雄人大常委会财政经济工作委员会的审查意见报告，决定批准南雄市2018年重点建设项目计划调整，重点建设项目由38个调整为34个，计划投资由48.7亿元调整为45亿元。会议听取和审议市人民政府《关于南雄市学前教育工作的情况报告》。会议听取和审议市市场监督管理局、市教育局、市民政局、市烟草（公司）专卖局等单位关于落实工作评议整改情况报告，并相应予以等次评定。</w:t>
      </w:r>
    </w:p>
    <w:p w14:paraId="58C9009F">
      <w:pPr>
        <w:bidi w:val="0"/>
        <w:rPr>
          <w:rFonts w:hint="eastAsia"/>
          <w:lang w:val="zh-CN"/>
        </w:rPr>
      </w:pPr>
      <w:r>
        <w:rPr>
          <w:rFonts w:hint="eastAsia"/>
          <w:b/>
          <w:bCs/>
          <w:lang w:val="zh-CN"/>
        </w:rPr>
        <w:t>市十五届人大常委会第二十三次会议</w:t>
      </w:r>
      <w:r>
        <w:rPr>
          <w:rFonts w:hint="eastAsia"/>
          <w:b/>
          <w:bCs/>
          <w:lang w:val="en-US" w:eastAsia="zh-CN"/>
        </w:rPr>
        <w:t xml:space="preserve">   </w:t>
      </w:r>
      <w:r>
        <w:rPr>
          <w:rFonts w:hint="eastAsia"/>
          <w:lang w:val="zh-CN"/>
        </w:rPr>
        <w:t>12月29日，南雄市第十五届人民代表大会常务委员会第二十三次会议在市人大常委会会议室召开，市人大常委会主任陈玉英主持会议。会议审议通过市财政局局长姚远华受市政府委托所作的《关于南雄市2018年预算调整方案（草案）报告》。会议审查和批准南雄市2018年预算调整方案。会议审议通过市交通运输局局长廖声华受市政府委托所作的《关于粤赣运河南雄市区段改线的报告》。会议听取和审议市政府副市长焦晓松受市人民政府委托所作的《关于办理市十五届人大四次会议代表议案、建议和批评意见情况的报告》《关于办理2018年市人大常委会会议提出意见建议落实情况的报告》《关于落实2018年民生实事进展情况的报告》。会议审议和通过市人大常委会《关于实施民生实事项目代表票决制的决定》。会议审议通过市人大常委会《关于市人民政府民生实事项目人大代表票决制实施办法（试行）》。会议审议通过个别韶关市人大代表辞职事项。会议根据及代表个人辞职请求，按照《中华人民共和国地方各级人民代表大会和地方各级人民政府组织法》《中华人民共和国全国人民代表大会和地方各级人民代表大会选举法》《广东省各级人民代表大会选举实施细则》规定，同意接受刘炳、李海军、顾惠林等3位同志辞去韶关市第十四届人民代表大会代表职务，报韶关市人民代表大会常务委员会备案。</w:t>
      </w:r>
    </w:p>
    <w:p w14:paraId="3C02A483">
      <w:pPr>
        <w:pStyle w:val="11"/>
        <w:bidi w:val="0"/>
        <w:rPr>
          <w:rFonts w:hint="eastAsia"/>
          <w:b/>
          <w:bCs/>
          <w:lang w:val="zh-CN"/>
        </w:rPr>
      </w:pPr>
      <w:r>
        <w:rPr>
          <w:rFonts w:hint="eastAsia"/>
          <w:b/>
          <w:bCs/>
          <w:lang w:val="zh-CN"/>
        </w:rPr>
        <w:t>附：2018年南雄市人大常务委员会成员名单</w:t>
      </w:r>
    </w:p>
    <w:p w14:paraId="192C0DFD">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陈玉英</w:t>
      </w:r>
    </w:p>
    <w:p w14:paraId="2C9FD6A2">
      <w:pPr>
        <w:pStyle w:val="11"/>
        <w:bidi w:val="0"/>
        <w:rPr>
          <w:rFonts w:hint="eastAsia"/>
          <w:lang w:val="zh-CN"/>
        </w:rPr>
      </w:pPr>
      <w:r>
        <w:rPr>
          <w:rFonts w:hint="eastAsia"/>
          <w:b/>
          <w:bCs/>
          <w:lang w:val="zh-CN"/>
        </w:rPr>
        <w:t>副主任：</w:t>
      </w:r>
      <w:r>
        <w:rPr>
          <w:rFonts w:hint="eastAsia"/>
          <w:lang w:val="zh-CN"/>
        </w:rPr>
        <w:t>黄德群</w:t>
      </w:r>
      <w:r>
        <w:rPr>
          <w:rFonts w:hint="eastAsia"/>
          <w:lang w:val="en-US" w:eastAsia="zh-CN"/>
        </w:rPr>
        <w:t xml:space="preserve">   </w:t>
      </w:r>
      <w:r>
        <w:rPr>
          <w:rFonts w:hint="eastAsia"/>
          <w:lang w:val="zh-CN"/>
        </w:rPr>
        <w:t>李</w:t>
      </w:r>
      <w:r>
        <w:rPr>
          <w:rFonts w:hint="eastAsia"/>
          <w:lang w:val="en-US" w:eastAsia="zh-CN"/>
        </w:rPr>
        <w:t xml:space="preserve">  </w:t>
      </w:r>
      <w:r>
        <w:rPr>
          <w:rFonts w:hint="eastAsia"/>
          <w:lang w:val="zh-CN"/>
        </w:rPr>
        <w:t>冰</w:t>
      </w:r>
    </w:p>
    <w:p w14:paraId="210E46E6">
      <w:pPr>
        <w:pStyle w:val="11"/>
        <w:bidi w:val="0"/>
        <w:ind w:leftChars="400"/>
        <w:rPr>
          <w:rFonts w:hint="eastAsia"/>
          <w:lang w:val="zh-CN"/>
        </w:rPr>
      </w:pPr>
      <w:r>
        <w:rPr>
          <w:rFonts w:hint="eastAsia"/>
          <w:lang w:val="zh-CN"/>
        </w:rPr>
        <w:t>刘发龙</w:t>
      </w:r>
      <w:r>
        <w:rPr>
          <w:rFonts w:hint="eastAsia"/>
          <w:lang w:val="en-US" w:eastAsia="zh-CN"/>
        </w:rPr>
        <w:t xml:space="preserve">   </w:t>
      </w:r>
      <w:r>
        <w:rPr>
          <w:rFonts w:hint="eastAsia"/>
          <w:lang w:val="zh-CN"/>
        </w:rPr>
        <w:t>陈仁麟</w:t>
      </w:r>
    </w:p>
    <w:p w14:paraId="40DCAA7D">
      <w:pPr>
        <w:pStyle w:val="11"/>
        <w:bidi w:val="0"/>
        <w:ind w:leftChars="400"/>
        <w:rPr>
          <w:rFonts w:hint="eastAsia"/>
          <w:lang w:val="zh-CN"/>
        </w:rPr>
      </w:pPr>
      <w:r>
        <w:rPr>
          <w:rFonts w:hint="eastAsia"/>
          <w:lang w:val="zh-CN"/>
        </w:rPr>
        <w:t>何文忠</w:t>
      </w:r>
      <w:r>
        <w:rPr>
          <w:rFonts w:hint="eastAsia"/>
          <w:lang w:val="en-US" w:eastAsia="zh-CN"/>
        </w:rPr>
        <w:t xml:space="preserve">   </w:t>
      </w:r>
      <w:r>
        <w:rPr>
          <w:rFonts w:hint="eastAsia"/>
          <w:lang w:val="zh-CN"/>
        </w:rPr>
        <w:t>叶凌峰</w:t>
      </w:r>
    </w:p>
    <w:p w14:paraId="2AA63706">
      <w:pPr>
        <w:pStyle w:val="4"/>
        <w:bidi w:val="0"/>
        <w:rPr>
          <w:rFonts w:hint="eastAsia"/>
          <w:lang w:val="zh-CN"/>
        </w:rPr>
      </w:pPr>
      <w:r>
        <w:rPr>
          <w:rFonts w:hint="eastAsia"/>
          <w:lang w:val="zh-CN"/>
        </w:rPr>
        <w:t>【重要活动及主要工作】</w:t>
      </w:r>
    </w:p>
    <w:p w14:paraId="3BFBF751">
      <w:pPr>
        <w:bidi w:val="0"/>
        <w:rPr>
          <w:rFonts w:hint="eastAsia"/>
          <w:lang w:val="zh-CN"/>
        </w:rPr>
      </w:pPr>
      <w:r>
        <w:rPr>
          <w:rFonts w:hint="eastAsia"/>
          <w:lang w:val="zh-CN"/>
        </w:rPr>
        <w:t>审议通过有关人事辞职事项：会议根据代表个人辞职请求，按照《中华人民共和国地方各级人民代表大会和地方各级人民政府组织法》《中华人民共和国全国人民代表大会和地方各级人民代表大会选举法》《广东省各级人民代表大会选举实施细则》的规定，于6月28日，在南雄市第十五届人民代表大会常务委员会第十九次会议上，同意接受邓树源辞去韶关市第十四届人民代表大会代表职务，报韶关市人民代表大会常务委员会备案；会议根据及代表个人辞职请求，按照《中华人民共和国地方各级人民代表大会和地方各级人民政府组织法》《中华人民共和国全国人民代表大会和地方各级人民代表大会选举法》《广东省各级人民代表大会选举实施细则》规定，于12月29日，在南雄市第十五届人民代表大会常务委员会第二十三次会议上，同意接受刘炳、李海军、顾惠林等3位同志辞去韶关市第十四届人民代表大会代表职务，报韶关市人民代表大会常务委员会备案。审议通过有关人事任免事项：1月9日，南雄市第十五届人民代表大会常务委员会第十五次会议根据南雄市第十五届人民代表大会常务委员会第十六次主任会议所作提请，审议《关于提请审议张新同志免职的议案》和《关于提请审议杨珂等同志任职的议案》，按照《中华人民共和国地方各级人民代表大会和地方各级人民政府组织法》和《广东省各级人民代表大会常务委员会人事任免办法》规定，任命杨珂为南雄市人民代表大会常务委员会办公室主任，陈焱煌为南雄市人民代表大会常务委员会法制工作委员会主任，刘运平为南雄市人民代表大会常务委员会财政经济工作委员会主任，陈健生为南雄市人民代表大会常务委员会城乡建设环境与资源保护工作委员会副主任（主持工作，正科级），何金生为南雄市人民代表大会常务委员会法制工作委员会副主任（正科级），曾昭雄为南雄市人民代表大会常务委员会财政经济工作委员会副主任，朱志康为南雄市人民代表大会常务委员会城乡建设环境与资源保护工作委员会副主任，刘雄明为南雄市人民代表大会常务委员会雄州街道工作委员会副主任；免去张新的南雄市人民代表大会常务委员会办公室主任职务。根据南雄市监察委主任徐建坤所作提请，审议《关于提请审议曾光等同志任职的议案》。会议按照《全国人民代表大会常务委员会关于在全国各地推开国家监察体制改革试点工作的决定》《南雄市人民代表大会常务委员会关于南雄市监察委员会副主任、委员任免及主任、副主任、委员宪法宣誓有关事项的决定》《广东省各级人民代表大会常务委员会人事任免办法》有关规定，任命曾光为南雄市监察委员会副主任，黄文儒为南雄市监察委员会副主任，王长连为南雄市监察委员会委员，李进为南雄市监察委员会委员，谢金城为南雄市监察委员会专职委员。2月6日，南雄市第十五届人民代表大会常务委员会第十六次会议根据南雄市人民政府副市长邵锦炯代表市长林小龙所作提请，审议《关于提请审议焦晓松同志任职的议案》，按照《中华人民共和国地方各级人民代表大会和地方各级人民政府组织法》和《广东省各级人民代表大会常务委员会人事任免办法》规定，决定任命焦晓松为南雄市人民政府副市长。听取和审议南雄市人民法院院长杨应荣提请人事任免事项，按照《中华人民共和国地方各级人民代表大会和地方各级人民政府组织法》和《广东省各级人民代表大会常务委员会人事任免办法》规定，任命钟治优为南雄市人民法院刑事审判庭庭长、审判委员会委员，刘辉龙为南雄市人民法院民事审判第一庭庭长、审判委员会委员，何纪源为南雄市人民法院民事审判第二庭庭长，陈章健为南雄市人民法院立案庭庭长，邓小华为南雄市人民法院全安人民法庭庭长，陈亿祥为南雄市人民法院湖口人民法庭庭长，刘发荣为南雄市人民法院乌迳人民法庭副庭长，魏修文为南雄市人民法院执行局副局长；免去陈建麟的南雄市人民法院刑事审判庭庭长职务，徐平庆的南雄市人民法院民事审判第一庭庭长、审判委员会委员职务，刘文英的南雄市人民法院立案庭庭长职务，钟治优的南雄市人民法院全安人民法庭庭长职务，陈章健的南雄市人民法院湖口人民法庭庭长职务，朱祖良的南雄市人民法院民事审判第一庭副庭长职务，刘发荣的南雄市人民法院民事审判第三庭副庭长职务，魏修文的南雄市人民法院乌迳人民法庭副庭长职务，田华的南雄市人民法院立案庭副庭长、审判员职务，黄永华、魏先山和欧作家的南雄市人民法院审判员职务。3月16日，南雄市第十五届人民代表大会常务委员会第十七次会议听取和审议人民法院副院长何文涛代表院长杨应荣提请人事任免事项。会议按照《中华人民共和国地方各级人民代表大会和地方各级人民政府组织法》和《广东省各级人民代表大会常务委员会人事任免办法》规定，任命吴七妹、严振清、龚德灵、温福丽、高英为南雄市人民法院人民陪审员；免去刘辉龙的南雄市人民法院乌迳人民法庭庭长职务。6月28日，南雄市第十五届人民代表大会常务委员会第十九次会议根据南雄市人民政府常务副市长朱海兵代表市长林小龙所作的提请，审议《关于提请审议沈文昌同志免职的议案》。会议按照《中华人民共和国地方各级人民代表大会和地方各级人民政府组织法》和《广东省各级人民代表大会常务委员会人事任免办法》规定，决定免去沈文昌的南雄市国土资源局局长职务。确认增补选代表资格：1月9日，南雄市第十五届人民代表大会常务委员会第十五次会议根据《中华人民共和国地方各级人民代表大会和地方各级人民政府组织法》和《中华人民共和国全国人民代表大会和地方各级人民代表大会选举法》有关规定，依法补选马绍椿、张益平为韶关市第十四届人民代表大会代表，并报韶关市人民代表大会常务委员会审查确认。3月16日，南雄市第十五届人民代表大会常务委员会第十七次会议听取和审议南雄市第十五届人民代表大会常务委员会代表资格审查委员会关于部分增补选南雄市第十五届人民代表大会代表的代表资格审查报告，确认增补选代表（全安镇机关选区补选的陈健生、黄坑镇机关选区补选的黄泰昌、坪田镇机关选区补选的刘福娣、江头镇机关选区增选的曾昭雄、邓坊镇机关选区增选的江继宽、雄州镇机关选区增选的苏德椿、界址镇机关选区增选的董雪英）的代表资格。听取和审议南雄市第十五届人民代表大会常务委员会代表资格审查委员会关于个别增选南雄市第十五届人民代表大会代表的代表资格审查报告，确认增选代表（黄德忠，帽子峰镇第二选区）的代表资格。审议通过《南雄市人民代表大会常务委员会关于南雄市监察委员会副主任、委员任免及主任、副主任、委员宪法宣誓有关事项的决定》。审议通过南雄市人民代表大会常务委员会2018年工作计划。审议通过关于召开南雄市第十五届人民代表大会第四次会议若干事项安排及建议名单。会议决定南雄市第十五届人民代表大会第四次会议于2018年3月27日至29日（含预备会议）在南雄大会堂举行。审议通过南雄市人民代表大会常务委员会工作报告。听取和审议南雄市环保局局长叶贤银受南雄市人民政府委托所作的《关于南雄市2017年全市环境状况和环境保护目标完成情况的报告》、南雄市财政局局长姚远华受南雄市人民政府委托所作的《关于南雄市2017年地方政府债务限额的报告》《关于南雄市2017年度国有资本经营预算执行情况的报告》《关于南雄市2016年和2017年地方政府新增债券项目调整方案（草案）的报告》《关于南雄市2018年地方政府债务限额及2018年地方政府新增债券项目调整方案（草案）的报告》《关于南雄市2017年决算草案的报告》《关于南雄市2018年上半年预算执行情况的报告》、南雄市住建局局长刘先辉受南雄市人民政府委托所作的《南雄市人民政府关于贯彻实施〈中华人民共和国城乡规划法〉情况的报告》和市人大常委会执法检查组所作的《关于对南雄市实施〈中华人民共和国城乡规划法〉情况的执法检查报告》、南雄市发改局局长李指源受南雄市人民政府委托所作的《关于南雄市2018年上半年国民经济和社会发展计划执行情况的报告》、南雄市审计局局长张政平受南雄市人民政府委托所作的《关于南雄市2017年度本级预算执行情况和其他财政收支的审计工作报告》、南雄市农业局局长董书海受南雄市人民政府委托所作的《关于贯彻实施〈中华人民共和国农产品质量安全法〉情况的报告》。审议通过关于批准南雄市2017年决算决议、关于批准南雄市2016年和2017年地方政府新增债券项目调整方案决议、关于南雄市2018年地方政府债务限额及2018年地方政府新增债券项目调整方案决议、南雄市人民政府关于提请审议《关于南雄市珠玑古巷改造提升工作情况报告》的议案，通过关于授权南雄市人民代表大会常务委员会财政经济工作委员会对南雄市国民经济和社会发展计划草案报告、财政预算草案报告、决算草案报告以及南雄市国民经济和社会发展计划、财政预算部分调整方案进行初审有关事项、南雄市人民政府关于南雄市2017年地方政府债务限额。对南雄市十五届人大四次会议代表测评“一府两院”各单位以及其他市直有关单位（含垂直管理单位）工作情况进行通报（书面）。根据南雄市第十五届人民代表大会第四次会议代表测评“一府两院”各单位及其他市直有关单位（含垂直管理单位）工作情况的结果，确定南雄市市场监督管理局、南雄市民政局、南雄市教育局、南雄市烟草（公司）专卖局为2018年度南雄市人大常委会开展工作评议对象单位。分别对南雄市市场监督管理局、南雄市民政局、南雄市教育局、南雄市烟草（公司）专卖局等单位进行工作评议，听取和审议南雄市市场监督管理局、教育局、民政局、烟草（公司）专卖局等单位关于落实工作评议整改情况报告，并相应予以评定等次。审议南雄市人民法院《关于提请确定南雄市人民法院人民陪审员名额的议案》。会议根据《中华人民共和国地方各级人民代表大会和地方人民政府组织法》《中华人民共和国人民陪审员法》和全国人大常委会《关于完善人民陪审员制度的决定》精神，结合人民法院审判工作新变化需求，决定确定南雄市人民法院人民陪审员名额为77名。审议南雄市人民政府关于提请审议《关于南雄市2018年重点建设项目计划调整报告》的议案，审</w:t>
      </w:r>
      <w:r>
        <w:rPr>
          <w:rFonts w:hint="eastAsia"/>
          <w:lang w:val="zh-CN"/>
        </w:rPr>
        <w:t>查和批准南雄市2018年重点建设项目计划调整。审议南雄市人民政府关于提请审议《关于南雄市2018年重点建设项目计划调整报告》的议案，并听取南雄市发改局局长李指源受南雄市人民政府委托所作的关于南雄市2018年重点建设项目计划调整情况说明。批准南雄市2018年重点建设项目计划调整，重点建设项目由38个调整为34个，计划投资由48.7亿元调整为45亿元。听取和审议南雄市人民政府《关于南雄市学前教育工作的情况报告》。审查和批准南雄市2018年预算调整方案。审议通过南雄市交通运输局局长廖声华受南雄市人民政府委托所作的《关于粤赣运河南雄市区段改线的报告》。听取和审议南雄市人民政府副市长焦晓松受南雄市人民政府委托所作的《关于办理市十五届人大四次会议代表议案、建议和批评意见情况的报告》《关于办理2018年市人大常委会会议提出意见建议落实情况的报告》《关于落实2018年民生实事进展情况的报告》。会议审议和通过南雄市人大常委会《关于实施民生实事项目代表票决制的决定》。审议通过南雄市人大常委会《关于市人民政府民生实事项目人大代表票决制实施办法（试行）》。</w:t>
      </w:r>
    </w:p>
    <w:p w14:paraId="34E3F0FF">
      <w:pPr>
        <w:pStyle w:val="4"/>
        <w:bidi w:val="0"/>
        <w:rPr>
          <w:rFonts w:hint="eastAsia"/>
          <w:lang w:val="zh-CN"/>
        </w:rPr>
      </w:pPr>
      <w:r>
        <w:rPr>
          <w:rFonts w:hint="eastAsia"/>
          <w:lang w:val="zh-CN"/>
        </w:rPr>
        <w:t>【监督工作】</w:t>
      </w:r>
    </w:p>
    <w:p w14:paraId="5D03F099">
      <w:pPr>
        <w:bidi w:val="0"/>
        <w:rPr>
          <w:rFonts w:hint="eastAsia"/>
          <w:lang w:val="zh-CN"/>
        </w:rPr>
      </w:pPr>
      <w:r>
        <w:rPr>
          <w:rFonts w:hint="eastAsia"/>
          <w:b/>
          <w:bCs/>
          <w:lang w:val="zh-CN"/>
        </w:rPr>
        <w:t>经济社会发展监督</w:t>
      </w:r>
      <w:r>
        <w:rPr>
          <w:rFonts w:hint="eastAsia"/>
          <w:b/>
          <w:bCs/>
          <w:lang w:val="en-US" w:eastAsia="zh-CN"/>
        </w:rPr>
        <w:t xml:space="preserve">   </w:t>
      </w:r>
      <w:r>
        <w:rPr>
          <w:rFonts w:hint="eastAsia"/>
          <w:lang w:val="zh-CN"/>
        </w:rPr>
        <w:t>常委会立足改革发展稳定大局，坚持问题导向，全力助推经济社会高质量发展，切实依法履职行权，听取和审议南雄市人民政府关于南雄市2018年上半年国民经济计划执行情况报告、2017年预算执行和其他财政支出情况审计报告、2017年决算情况报告、2018年上半年预算执行情况报告，对2018年预算进行调整，并就继续加强项目建设、严格预算约束、提高财政资金使用效益等方面提出建议要求，做出系列决议。为防范债务风险，常委会先后听取和审议南雄市人民政府政府关于南雄市2016年和2017年地方政府新增债券项目调整方案草案报告、关于南雄市2018年地方政府债务限额和2018年地方政府新增债券项目调整方案草案报告，并相应作出决议。常委会重视审计结果运用，专项听取和审议审计查出问题整改落实情况专题报告，对审计查出问题整改落实情况进行跟踪检查。按照中共中央《关于人大预算审查监督重点向支出预算和政策拓展的指导意见》要求，常委会充分发挥财政预决算审查咨询委员会智库作用，稳步推进预算联网监督工作，提高财经监督工作专业化、规范化水平。此外，常委会听取和审议关于国有资本经营管理情况报告，在完善监管体制、优化国有资本配置、履行出资人职责、落实国有资产保值增值责任等方面提出要求。常委会行使重大事项决定权，考虑宏观政策、市场消极影响因素增多等原因，适时对南雄市2018年重点建设项目计划进行调整。常委会高度关注南雄市城镇提升战略实施、珠玑古巷改造提升和粤赣运河南雄市区段改线工作，听取和审议有关工作报告并相应作出决议推动落实。常委会高度重视生态环境保护工作，根据监督法、环境保护法规定及南雄市人大常委会工作计划安排，就南雄市2017年环境状况和环境保护目标完成情况开展专题调研，听取和审议南雄市政府相关专题报告，提出要加快城镇污水处理设施建设进度、加大主要污染物减排力度、建立健全环境保护长效机制等意见。</w:t>
      </w:r>
    </w:p>
    <w:p w14:paraId="029186BA">
      <w:pPr>
        <w:bidi w:val="0"/>
        <w:rPr>
          <w:rFonts w:hint="eastAsia"/>
          <w:lang w:val="zh-CN"/>
        </w:rPr>
      </w:pPr>
      <w:r>
        <w:rPr>
          <w:rFonts w:hint="eastAsia"/>
          <w:b/>
          <w:bCs/>
          <w:lang w:val="zh-CN"/>
        </w:rPr>
        <w:t>民生事业监督</w:t>
      </w:r>
      <w:r>
        <w:rPr>
          <w:rFonts w:hint="eastAsia"/>
          <w:b/>
          <w:bCs/>
          <w:lang w:val="en-US" w:eastAsia="zh-CN"/>
        </w:rPr>
        <w:t xml:space="preserve">   </w:t>
      </w:r>
      <w:r>
        <w:rPr>
          <w:rFonts w:hint="eastAsia"/>
          <w:lang w:val="zh-CN"/>
        </w:rPr>
        <w:t>常委会牢固树立以人民为中心的发展思想，切实关注民生民愿，突出工作重点，开展民生领域监督工作。常委会组织辖区省、韶关以及南雄三级人大代表对珠玑纸业排污管控治理情况开展专题调研视察，并从提升环保理念认识高度、加大排污管控治理力度、正确对待群众合理诉求、履行环境保护社会责任等方面对企业提出具体工作要求，敦促企业重视群众呼声，抓好排污管控治理，落实好保护生态环境责任。常委会听取和审议南雄市人民政府关于南雄市学前教育工作情况报告，提出政府及其相关职能部门要在合理规划布局、加大资金投入、落实安全办学、扶持民办教育、强化队伍建设等五大方面下功夫，规范学前教育教学管理等工作，切实解决“入园难”问题。常委会组织驻南雄省、韶关市以及部分南雄市人大代表，对南雄市人民政府在南雄市十五届人大四次会议上承诺民生实事落实进展情况进行视察，并听取政府有关汇报，针对存在问题，指出政府要继续加大力度，集中调度和落实各项民生实事进展，让政府承诺落到实处，并建议政府及早科学谋划来年民生实事项目，加紧启动民生实事代表票决制有关工作。年内，常委会作出关于实施民生实事项目票决制决定，并审议通过关于南雄市人民政府民生实事项目人大代表票决制实施办法（试行），为今后民生项目实施提供坚实制度保障。根据南雄市第十五届人民代表大会第四次会议代表民主测评结果，对南雄市市场监督管理局、南雄市民政局、南雄市教育局、南雄市烟草专卖局等四个单位开展工作评议，实现开展评议工作与解决社会热点难点问题之间的成果转化。</w:t>
      </w:r>
    </w:p>
    <w:p w14:paraId="77623EB6">
      <w:pPr>
        <w:pStyle w:val="4"/>
        <w:bidi w:val="0"/>
        <w:rPr>
          <w:rFonts w:hint="eastAsia"/>
          <w:lang w:val="zh-CN"/>
        </w:rPr>
      </w:pPr>
      <w:r>
        <w:rPr>
          <w:rFonts w:hint="eastAsia"/>
          <w:lang w:val="zh-CN"/>
        </w:rPr>
        <w:t>【推进法治建设】</w:t>
      </w:r>
    </w:p>
    <w:p w14:paraId="50A74314">
      <w:pPr>
        <w:bidi w:val="0"/>
        <w:rPr>
          <w:rFonts w:hint="eastAsia"/>
          <w:lang w:val="zh-CN"/>
        </w:rPr>
      </w:pPr>
      <w:r>
        <w:rPr>
          <w:rFonts w:hint="eastAsia"/>
          <w:lang w:val="zh-CN"/>
        </w:rPr>
        <w:t>常委会落实宪法宣誓制度，组织新任命国家机关工作人员进行宪法宣誓，举办全市四级人大代表宪法专题法律讲座，布置第五个国家宪法日法治宣传栏，营造尊崇宪法权威、弘扬宪法精神良好社会氛围。听取和审议南雄市人民法院、南雄市人民检察院关于员额制改革以来工作情况报告，组织人大代表旁听重大案件庭审，参加检察院开放日观摩活动，出席南雄市首届国家机关“谁执法谁普法”履职报告评议会，进村入户宣传韶关市野外用火管理条例。常委会根据全国人大常委会关于完善人民陪审员制度的决定并结合南雄市法院审判工作实际，对77名南雄市人民法院人民陪审员名额予以确定。常委会成立执法检查组，到相关镇（街道）及市直单位，对南雄市贯彻实施农产品质量安全法、城乡规划法情况进行检查，并提出相关意见建议。常委会严格执行《广东省各级人民代表大会常务委员会规范性文件备案审查条例》，对南雄市人民政府提交的7件规范性文件进行备案审查。此外，常委会做好群众来信来访工作，引导信访群众理性表达合理诉求。一年来，共受理来信来访31件，接待来访群众75人次。</w:t>
      </w:r>
    </w:p>
    <w:p w14:paraId="78843B68">
      <w:pPr>
        <w:pStyle w:val="4"/>
        <w:bidi w:val="0"/>
        <w:rPr>
          <w:rFonts w:hint="eastAsia"/>
          <w:lang w:val="zh-CN"/>
        </w:rPr>
      </w:pPr>
      <w:r>
        <w:rPr>
          <w:rFonts w:hint="eastAsia"/>
          <w:lang w:val="zh-CN"/>
        </w:rPr>
        <w:t>【人大代表工作】</w:t>
      </w:r>
    </w:p>
    <w:p w14:paraId="06AFD822">
      <w:pPr>
        <w:bidi w:val="0"/>
        <w:rPr>
          <w:rFonts w:hint="eastAsia"/>
          <w:lang w:val="zh-CN"/>
        </w:rPr>
      </w:pPr>
      <w:r>
        <w:rPr>
          <w:rFonts w:hint="eastAsia"/>
          <w:lang w:val="zh-CN"/>
        </w:rPr>
        <w:t>常委会始终坚持人大工作中代表主体地位，依法保障代表执行职务，切实增强代表行权动力、行权能力、行权效力。组织代表学习习近平总书记系列重要讲话精神和《韶关市野外用火管理条例》。分期分批组织部分省、韶关市以及南雄市人大代表赴高校参加培训，把学习培训成果转化为依法履职工作成效。及时向代表通报常委会和“一府一委两院”重要工作，通过融媒体平台发布法律法规和履职知识、寄送学习资料等形式，使代表及时掌握新知识新动态，帮助代表知情知政。落实代表活动经费，调动基层代表履职。加强代表履职管理，严格代表履职登记，开展代表向选区选民述职，接受选民评议活动，做好代表信息库录入管理工作，推广使用蓝信平台，促使代表增强履职意识。依法开展代表资格审查，配合做好省人大代表和韶关市人大代表提名推荐工作。继续开展“双联”活动，邀请人大代表参加常委执法检查、专题调研、集中视察等活动，丰富代表履职形式。推荐代表参加法院、检察院开放日及参与行风评议等活动，拓宽代表知情知政及监督渠道。推动代表联系群众平台建设，在全市各镇（街道）实现代表联络室全覆盖基础上，珠玑灵潭、黄坑小陂等有条件的村（居）委会设立代表联络站，把代表工作延伸至最基层，解决代表联系群众“最后一千米”问题。探索代表参与中心工作途径，根据省人大常委会统一部署，四级人大代表首次集中开展以“我为民、我履职、我行动”为主旨的“更好发挥人大代表作用”主题实践活动。全市累计有847名各级人大代表参加主题活动，提出意见建议391件。全市各级人大组织代表小组活动173次，接待人民群众780人次，组织67名代表向选民述职，彰显根本政治制度特点、优势和功效。常委会坚持把提高解决率作为建议办理工作标准，年初召开代表建议、批评和意见交办会，及时将代表提交的建议、批评和意见交由相关单位办理。坚持代表重点建议跟踪督办机制，由常委会领导牵头对7件代表建议进行重点督办，并对办理情况全程跟踪问效，推动代表建议落到实处。在常委会督促下，各承办单位开展代表建议办理工作，代表提出的48件建议办复完毕，较好解决一批热点难点问题。</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8C1D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97B6789">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6170" cy="3771900"/>
                  <wp:effectExtent l="0" t="0" r="5080" b="0"/>
                  <wp:docPr id="105" name="图片 105" descr="南雄年鉴2019_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南雄年鉴2019_0080"/>
                          <pic:cNvPicPr>
                            <a:picLocks noChangeAspect="1"/>
                          </pic:cNvPicPr>
                        </pic:nvPicPr>
                        <pic:blipFill>
                          <a:blip r:embed="rId92"/>
                          <a:stretch>
                            <a:fillRect/>
                          </a:stretch>
                        </pic:blipFill>
                        <pic:spPr>
                          <a:xfrm>
                            <a:off x="0" y="0"/>
                            <a:ext cx="6186170" cy="3771900"/>
                          </a:xfrm>
                          <a:prstGeom prst="rect">
                            <a:avLst/>
                          </a:prstGeom>
                        </pic:spPr>
                      </pic:pic>
                    </a:graphicData>
                  </a:graphic>
                </wp:inline>
              </w:drawing>
            </w:r>
          </w:p>
        </w:tc>
      </w:tr>
      <w:tr w14:paraId="20761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87184C0">
            <w:pPr>
              <w:bidi w:val="0"/>
              <w:rPr>
                <w:rFonts w:hint="eastAsia"/>
                <w:vertAlign w:val="baseline"/>
                <w:lang w:val="zh-CN"/>
              </w:rPr>
            </w:pPr>
            <w:r>
              <w:rPr>
                <w:rFonts w:hint="eastAsia" w:ascii="FZKTK--GBK1-0" w:hAnsi="FZKTK--GBK1-0" w:eastAsia="FZKTK--GBK1-0"/>
                <w:sz w:val="20"/>
              </w:rPr>
              <w:t>12月3日，召开广东省、韶关市、南雄市三级人大代表视察市政府2018年民生实事进展情况汇报会（市人大办</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15BFC23F">
      <w:pPr>
        <w:pStyle w:val="4"/>
        <w:bidi w:val="0"/>
        <w:rPr>
          <w:rFonts w:hint="eastAsia"/>
          <w:lang w:val="zh-CN"/>
        </w:rPr>
      </w:pPr>
      <w:r>
        <w:rPr>
          <w:rFonts w:hint="eastAsia"/>
          <w:lang w:val="zh-CN"/>
        </w:rPr>
        <w:t>【依法行使人事任免权】</w:t>
      </w:r>
    </w:p>
    <w:p w14:paraId="0D537652">
      <w:pPr>
        <w:bidi w:val="0"/>
        <w:rPr>
          <w:rFonts w:hint="eastAsia"/>
          <w:lang w:val="zh-CN"/>
        </w:rPr>
      </w:pPr>
      <w:r>
        <w:rPr>
          <w:rFonts w:hint="eastAsia"/>
          <w:lang w:val="zh-CN"/>
        </w:rPr>
        <w:t>常委会坚持把党管干部原则与人大依法行使任免权相结合，确保把市委经过认真考核合格的干部人选选举好、任命好。全年依法任免国家机关工作人员42人次，增补选8名南雄市人大代表，为地方国家机关有序运转发挥作用。依法实施宪法宣誓，指导有关国家机关和镇级人大组织开展宪法宣誓活动，增强国家机关工作人员宪法意识和公仆意识。</w:t>
      </w:r>
    </w:p>
    <w:p w14:paraId="187A5570">
      <w:pPr>
        <w:pStyle w:val="4"/>
        <w:bidi w:val="0"/>
        <w:rPr>
          <w:rFonts w:hint="eastAsia"/>
          <w:lang w:val="zh-CN"/>
        </w:rPr>
      </w:pPr>
      <w:r>
        <w:rPr>
          <w:rFonts w:hint="eastAsia"/>
          <w:lang w:val="zh-CN"/>
        </w:rPr>
        <w:t>【县乡人大工作和建设】</w:t>
      </w:r>
    </w:p>
    <w:p w14:paraId="2B4F83E2">
      <w:pPr>
        <w:bidi w:val="0"/>
        <w:rPr>
          <w:rFonts w:hint="eastAsia"/>
          <w:lang w:val="zh-CN"/>
        </w:rPr>
      </w:pPr>
      <w:r>
        <w:rPr>
          <w:rFonts w:hint="eastAsia"/>
          <w:lang w:val="zh-CN"/>
        </w:rPr>
        <w:t>常委会严格对照上级标准要求，扎实推动市镇两级人大工作和建设。贯彻落实中央18号文、省委4号文和省“县乡人大工作十条”，及时将全省开展推进县乡人大工作年活动要求向南雄市委汇报。以市委名义出台《关于进一步推进市镇人大工作和建设的实施意见》。4月份，南雄市委还组织召开全市人大工作会议，南雄市委主要领导就今后一段时期市镇两级人大工作和建设作出全面部署。南雄市人大常委会及时召开党组会议和主任会议，成立推进市镇人大工作年领导小组，迅速制定南雄市推进市镇人大工作年实施方案，组织召开专题工作会议，全面推进新一轮市镇人大规范化建设和工作创新。建立南雄市人大常委会班子成员挂点督导镇（街道）和联系协调市直有关单位分工制度，压实工作主体责任，对标对表，主动与南雄市编办等部门单位加强沟通协调，推进市镇两级人大工作和建设。建立健全基层人大工作指导、培训和交流工作机制，通过到示范点观摩学习等形式，提高市镇人大干部工作能力和水平。南雄市市镇两级人大工作和建设各项任务顺利推进，年内顺利通过省人大常委会验收组验收，并于7月份由省人大常委会授予广东省县级人大工作和建设示范点称号。9月份，全国人大常委会在河北石家庄举行学习贯彻习近平总书记关于坚持和完善人民代表大会制度重要思想交流会，南雄市还作为全省县级人大唯一代表单位，向大会提供有关经验材料。南雄市人大常委会机关被评为广东省县乡人大工作和建设先进集体。</w:t>
      </w:r>
    </w:p>
    <w:p w14:paraId="0ACE5809">
      <w:pPr>
        <w:pStyle w:val="4"/>
        <w:bidi w:val="0"/>
        <w:rPr>
          <w:rFonts w:hint="eastAsia"/>
          <w:lang w:val="zh-CN"/>
        </w:rPr>
      </w:pPr>
      <w:r>
        <w:rPr>
          <w:rFonts w:hint="eastAsia"/>
          <w:lang w:val="zh-CN"/>
        </w:rPr>
        <w:t>【思想政治和作风建设】</w:t>
      </w:r>
    </w:p>
    <w:p w14:paraId="6F0C4B40">
      <w:pPr>
        <w:bidi w:val="0"/>
        <w:rPr>
          <w:rFonts w:hint="eastAsia"/>
          <w:lang w:val="zh-CN"/>
        </w:rPr>
      </w:pPr>
      <w:r>
        <w:rPr>
          <w:rFonts w:hint="eastAsia"/>
          <w:lang w:val="zh-CN"/>
        </w:rPr>
        <w:t>围绕建好“两个机关”，在切实提升履职水平、管理水平、创新水平上下功夫。常委会党组坚持把政治建设摆在首位，树牢“四个意识”，坚定“四个自信”，坚决做到“两个维护”，严明政治纪律和政治规矩。开展巡视整改暨全面彻底肃清李嘉、万庆良恶劣影响专题民主生活会，切实履行党建责任，扎实开展“两学一做”学习教育、“双争双促”主题实践活动，激发党员干部干事创业动力。运用“三个在先”工作机制，抓实“四个有关”党建工作，开展模范机关创建活动。针对机关公务用车、差旅、请休假、接待、调研视察等事关作风建设问题，补充完善11项规章制度，坚持用制度管事管物管人。加强机关干部队伍建设，注重培养和使用年轻干部，着力优化人大干部专业和年龄结构，注重机关干部业务培训，增强履职能力和服务水平，以干部作风新转变展示人大机关新形象。开展警示教育，参观廉政教育基地，重温入党誓词，传导责任压力，筑牢拒腐防变思想防线。全力支持南雄市纪委派驻综合一组履行监督职责，加强监督执纪工作。</w:t>
      </w:r>
    </w:p>
    <w:p w14:paraId="58D9F3C9">
      <w:pPr>
        <w:pStyle w:val="4"/>
        <w:bidi w:val="0"/>
        <w:rPr>
          <w:rFonts w:hint="eastAsia"/>
          <w:lang w:val="zh-CN"/>
        </w:rPr>
      </w:pPr>
      <w:r>
        <w:rPr>
          <w:rFonts w:hint="eastAsia"/>
          <w:lang w:val="zh-CN"/>
        </w:rPr>
        <w:t>【人大宣传工作】</w:t>
      </w:r>
    </w:p>
    <w:p w14:paraId="300CA996">
      <w:pPr>
        <w:bidi w:val="0"/>
        <w:rPr>
          <w:rFonts w:hint="eastAsia"/>
          <w:lang w:val="zh-CN"/>
        </w:rPr>
      </w:pPr>
      <w:r>
        <w:rPr>
          <w:rFonts w:hint="eastAsia"/>
          <w:lang w:val="zh-CN"/>
        </w:rPr>
        <w:t>重视加强对常委会重大活动、特色亮点工作和基层人大工作宣传报道。召开全市人大宣传工作会议，表彰人大宣传工作先进单位、优秀通讯员。办好常委会会议纪要，加强网络信息平台建设管理，编发《南雄人大》4期、大美南雄信息56条，在国家、省级媒体刊发稿件10多篇。参评“韶关人大新闻奖”获奖等次和数量位居韶关各县市区第一名。</w:t>
      </w:r>
      <w:r>
        <w:rPr>
          <w:rFonts w:hint="eastAsia"/>
          <w:b/>
          <w:bCs/>
          <w:lang w:val="zh-CN"/>
        </w:rPr>
        <w:t>（刘世春）</w:t>
      </w:r>
    </w:p>
    <w:p w14:paraId="024C2B95">
      <w:pPr>
        <w:pStyle w:val="11"/>
        <w:bidi w:val="0"/>
        <w:rPr>
          <w:rFonts w:hint="eastAsia"/>
          <w:b/>
          <w:bCs/>
          <w:lang w:val="zh-CN"/>
        </w:rPr>
      </w:pPr>
      <w:r>
        <w:rPr>
          <w:rFonts w:hint="eastAsia"/>
          <w:b/>
          <w:bCs/>
          <w:lang w:val="zh-CN"/>
        </w:rPr>
        <w:t>附：2018年南雄市人大常委会机关各室委领导班子成员名单</w:t>
      </w:r>
    </w:p>
    <w:p w14:paraId="096FB1E5">
      <w:pPr>
        <w:pStyle w:val="11"/>
        <w:bidi w:val="0"/>
        <w:rPr>
          <w:rFonts w:hint="eastAsia"/>
          <w:b/>
          <w:bCs/>
          <w:lang w:val="zh-CN"/>
        </w:rPr>
      </w:pPr>
      <w:r>
        <w:rPr>
          <w:rFonts w:hint="eastAsia"/>
          <w:b/>
          <w:bCs/>
          <w:lang w:val="zh-CN"/>
        </w:rPr>
        <w:t>办公室主任：</w:t>
      </w:r>
    </w:p>
    <w:p w14:paraId="66DAF768">
      <w:pPr>
        <w:pStyle w:val="11"/>
        <w:bidi w:val="0"/>
        <w:ind w:leftChars="500"/>
        <w:rPr>
          <w:rFonts w:hint="eastAsia"/>
          <w:lang w:val="zh-CN"/>
        </w:rPr>
      </w:pPr>
      <w:r>
        <w:rPr>
          <w:rFonts w:hint="eastAsia"/>
          <w:lang w:val="zh-CN"/>
        </w:rPr>
        <w:t>杨</w:t>
      </w:r>
      <w:r>
        <w:rPr>
          <w:rFonts w:hint="eastAsia"/>
          <w:lang w:val="en-US" w:eastAsia="zh-CN"/>
        </w:rPr>
        <w:t xml:space="preserve">  </w:t>
      </w:r>
      <w:r>
        <w:rPr>
          <w:rFonts w:hint="eastAsia"/>
          <w:lang w:val="zh-CN"/>
        </w:rPr>
        <w:t>珂（1月任职）</w:t>
      </w:r>
    </w:p>
    <w:p w14:paraId="258DE904">
      <w:pPr>
        <w:pStyle w:val="11"/>
        <w:bidi w:val="0"/>
        <w:rPr>
          <w:rFonts w:hint="eastAsia"/>
          <w:lang w:val="zh-CN"/>
        </w:rPr>
      </w:pPr>
      <w:r>
        <w:rPr>
          <w:rFonts w:hint="eastAsia"/>
          <w:b/>
          <w:bCs/>
          <w:lang w:val="zh-CN"/>
        </w:rPr>
        <w:t>办公室副主任：</w:t>
      </w:r>
      <w:r>
        <w:rPr>
          <w:rFonts w:hint="eastAsia"/>
          <w:lang w:val="zh-CN"/>
        </w:rPr>
        <w:t>黄泰昌</w:t>
      </w:r>
    </w:p>
    <w:p w14:paraId="5F7A50D9">
      <w:pPr>
        <w:pStyle w:val="11"/>
        <w:bidi w:val="0"/>
        <w:rPr>
          <w:rFonts w:hint="eastAsia"/>
          <w:lang w:val="zh-CN"/>
        </w:rPr>
      </w:pPr>
      <w:r>
        <w:rPr>
          <w:rFonts w:hint="eastAsia"/>
          <w:b/>
          <w:bCs/>
          <w:lang w:val="zh-CN"/>
        </w:rPr>
        <w:t>法工委主任：</w:t>
      </w:r>
      <w:r>
        <w:rPr>
          <w:rFonts w:hint="eastAsia"/>
          <w:lang w:val="zh-CN"/>
        </w:rPr>
        <w:t>陈焱煌（1月任职）</w:t>
      </w:r>
    </w:p>
    <w:p w14:paraId="1FC5E93F">
      <w:pPr>
        <w:pStyle w:val="11"/>
        <w:bidi w:val="0"/>
        <w:rPr>
          <w:rFonts w:hint="eastAsia"/>
          <w:b/>
          <w:bCs/>
          <w:lang w:val="zh-CN"/>
        </w:rPr>
      </w:pPr>
      <w:r>
        <w:rPr>
          <w:rFonts w:hint="eastAsia"/>
          <w:b/>
          <w:bCs/>
          <w:lang w:val="zh-CN"/>
        </w:rPr>
        <w:t>法工委副主任：</w:t>
      </w:r>
    </w:p>
    <w:p w14:paraId="707BE75E">
      <w:pPr>
        <w:pStyle w:val="11"/>
        <w:bidi w:val="0"/>
        <w:ind w:leftChars="500"/>
        <w:rPr>
          <w:rFonts w:hint="eastAsia"/>
          <w:lang w:val="zh-CN"/>
        </w:rPr>
      </w:pPr>
      <w:r>
        <w:rPr>
          <w:rFonts w:hint="eastAsia"/>
          <w:lang w:val="zh-CN"/>
        </w:rPr>
        <w:t>何金生（1月任职）</w:t>
      </w:r>
    </w:p>
    <w:p w14:paraId="59335D2E">
      <w:pPr>
        <w:pStyle w:val="11"/>
        <w:bidi w:val="0"/>
        <w:rPr>
          <w:rFonts w:hint="eastAsia"/>
          <w:b/>
          <w:bCs/>
          <w:lang w:val="zh-CN"/>
        </w:rPr>
      </w:pPr>
      <w:r>
        <w:rPr>
          <w:rFonts w:hint="eastAsia"/>
          <w:b/>
          <w:bCs/>
          <w:lang w:val="zh-CN"/>
        </w:rPr>
        <w:t>财经工委主任：</w:t>
      </w:r>
    </w:p>
    <w:p w14:paraId="7F876C23">
      <w:pPr>
        <w:pStyle w:val="11"/>
        <w:bidi w:val="0"/>
        <w:ind w:leftChars="500"/>
        <w:rPr>
          <w:rFonts w:hint="eastAsia"/>
          <w:lang w:val="zh-CN"/>
        </w:rPr>
      </w:pPr>
      <w:r>
        <w:rPr>
          <w:rFonts w:hint="eastAsia"/>
          <w:lang w:val="zh-CN"/>
        </w:rPr>
        <w:t>刘运平（1月任职）</w:t>
      </w:r>
    </w:p>
    <w:p w14:paraId="13F19C97">
      <w:pPr>
        <w:pStyle w:val="11"/>
        <w:bidi w:val="0"/>
        <w:rPr>
          <w:rFonts w:hint="eastAsia"/>
          <w:b/>
          <w:bCs/>
          <w:lang w:val="zh-CN"/>
        </w:rPr>
      </w:pPr>
      <w:r>
        <w:rPr>
          <w:rFonts w:hint="eastAsia"/>
          <w:b/>
          <w:bCs/>
          <w:lang w:val="zh-CN"/>
        </w:rPr>
        <w:t>财经工委副主任：</w:t>
      </w:r>
    </w:p>
    <w:p w14:paraId="0DA1BABA">
      <w:pPr>
        <w:pStyle w:val="11"/>
        <w:bidi w:val="0"/>
        <w:ind w:leftChars="500"/>
        <w:rPr>
          <w:rFonts w:hint="eastAsia"/>
          <w:lang w:val="zh-CN"/>
        </w:rPr>
      </w:pPr>
      <w:r>
        <w:rPr>
          <w:rFonts w:hint="eastAsia"/>
          <w:lang w:val="zh-CN"/>
        </w:rPr>
        <w:t>曾昭雄（1月任职）</w:t>
      </w:r>
    </w:p>
    <w:p w14:paraId="470EB8B9">
      <w:pPr>
        <w:pStyle w:val="11"/>
        <w:bidi w:val="0"/>
        <w:rPr>
          <w:rFonts w:hint="eastAsia"/>
          <w:lang w:val="zh-CN"/>
        </w:rPr>
      </w:pPr>
      <w:r>
        <w:rPr>
          <w:rFonts w:hint="eastAsia"/>
          <w:b/>
          <w:bCs/>
          <w:lang w:val="zh-CN"/>
        </w:rPr>
        <w:t>选联任工委主任：</w:t>
      </w:r>
      <w:r>
        <w:rPr>
          <w:rFonts w:hint="eastAsia"/>
          <w:lang w:val="zh-CN"/>
        </w:rPr>
        <w:t>李文丽</w:t>
      </w:r>
    </w:p>
    <w:p w14:paraId="0CA4B09B">
      <w:pPr>
        <w:pStyle w:val="11"/>
        <w:bidi w:val="0"/>
        <w:rPr>
          <w:rFonts w:hint="eastAsia"/>
          <w:lang w:val="zh-CN"/>
        </w:rPr>
      </w:pPr>
      <w:r>
        <w:rPr>
          <w:rFonts w:hint="eastAsia"/>
          <w:b/>
          <w:bCs/>
          <w:lang w:val="zh-CN"/>
        </w:rPr>
        <w:t>选联任工委副主任：</w:t>
      </w:r>
      <w:r>
        <w:rPr>
          <w:rFonts w:hint="eastAsia"/>
          <w:lang w:val="zh-CN"/>
        </w:rPr>
        <w:t>江继宽</w:t>
      </w:r>
    </w:p>
    <w:p w14:paraId="6F434FD1">
      <w:pPr>
        <w:pStyle w:val="11"/>
        <w:bidi w:val="0"/>
        <w:rPr>
          <w:rFonts w:hint="eastAsia"/>
          <w:lang w:val="zh-CN"/>
        </w:rPr>
      </w:pPr>
      <w:r>
        <w:rPr>
          <w:rFonts w:hint="eastAsia"/>
          <w:b/>
          <w:bCs/>
          <w:lang w:val="zh-CN"/>
        </w:rPr>
        <w:t>教科文卫工委主任：</w:t>
      </w:r>
      <w:r>
        <w:rPr>
          <w:rFonts w:hint="eastAsia"/>
          <w:lang w:val="zh-CN"/>
        </w:rPr>
        <w:t>肖丽琼</w:t>
      </w:r>
    </w:p>
    <w:p w14:paraId="767F3BDB">
      <w:pPr>
        <w:pStyle w:val="11"/>
        <w:bidi w:val="0"/>
        <w:rPr>
          <w:rFonts w:hint="eastAsia"/>
          <w:lang w:val="zh-CN"/>
        </w:rPr>
      </w:pPr>
      <w:r>
        <w:rPr>
          <w:rFonts w:hint="eastAsia"/>
          <w:b/>
          <w:bCs/>
          <w:lang w:val="zh-CN"/>
        </w:rPr>
        <w:t>教科文卫工委副主任：</w:t>
      </w:r>
      <w:r>
        <w:rPr>
          <w:rFonts w:hint="eastAsia"/>
          <w:lang w:val="zh-CN"/>
        </w:rPr>
        <w:t>梁志萍</w:t>
      </w:r>
    </w:p>
    <w:p w14:paraId="7C42E40F">
      <w:pPr>
        <w:pStyle w:val="11"/>
        <w:bidi w:val="0"/>
        <w:rPr>
          <w:rFonts w:hint="eastAsia"/>
          <w:b/>
          <w:bCs/>
          <w:lang w:val="zh-CN"/>
        </w:rPr>
      </w:pPr>
      <w:r>
        <w:rPr>
          <w:rFonts w:hint="eastAsia"/>
          <w:b/>
          <w:bCs/>
          <w:lang w:val="zh-CN"/>
        </w:rPr>
        <w:t>城建环资工委副主任（主持工作，正科级）：</w:t>
      </w:r>
    </w:p>
    <w:p w14:paraId="5996D57F">
      <w:pPr>
        <w:pStyle w:val="11"/>
        <w:bidi w:val="0"/>
        <w:ind w:leftChars="500"/>
        <w:rPr>
          <w:rFonts w:hint="eastAsia"/>
          <w:lang w:val="zh-CN"/>
        </w:rPr>
      </w:pPr>
      <w:r>
        <w:rPr>
          <w:rFonts w:hint="eastAsia"/>
          <w:lang w:val="zh-CN"/>
        </w:rPr>
        <w:t>陈健生（1月任职）</w:t>
      </w:r>
    </w:p>
    <w:p w14:paraId="3EEC611B">
      <w:pPr>
        <w:pStyle w:val="11"/>
        <w:bidi w:val="0"/>
        <w:rPr>
          <w:rFonts w:hint="eastAsia"/>
          <w:b/>
          <w:bCs/>
          <w:lang w:val="zh-CN"/>
        </w:rPr>
      </w:pPr>
      <w:r>
        <w:rPr>
          <w:rFonts w:hint="eastAsia"/>
          <w:b/>
          <w:bCs/>
          <w:lang w:val="zh-CN"/>
        </w:rPr>
        <w:t>城建环资工委副主任：</w:t>
      </w:r>
    </w:p>
    <w:p w14:paraId="79AB78D3">
      <w:pPr>
        <w:pStyle w:val="11"/>
        <w:bidi w:val="0"/>
        <w:ind w:leftChars="500"/>
        <w:rPr>
          <w:rFonts w:hint="eastAsia"/>
          <w:lang w:val="zh-CN"/>
        </w:rPr>
      </w:pPr>
      <w:r>
        <w:rPr>
          <w:rFonts w:hint="eastAsia"/>
          <w:lang w:val="zh-CN"/>
        </w:rPr>
        <w:t>朱志康（1月任职）</w:t>
      </w:r>
    </w:p>
    <w:p w14:paraId="3B9FB7BA">
      <w:pPr>
        <w:pStyle w:val="2"/>
        <w:bidi w:val="0"/>
        <w:rPr>
          <w:rFonts w:hint="eastAsia"/>
        </w:rPr>
      </w:pPr>
      <w:r>
        <w:rPr>
          <w:rFonts w:hint="eastAsia"/>
        </w:rPr>
        <w:t>南雄市人民政府</w:t>
      </w:r>
    </w:p>
    <w:p w14:paraId="003EB771">
      <w:pPr>
        <w:pStyle w:val="3"/>
        <w:bidi w:val="0"/>
        <w:rPr>
          <w:rFonts w:hint="eastAsia"/>
          <w:lang w:val="zh-CN"/>
        </w:rPr>
      </w:pPr>
      <w:r>
        <w:rPr>
          <w:rFonts w:hint="eastAsia"/>
          <w:lang w:val="zh-CN"/>
        </w:rPr>
        <w:t>重要政务</w:t>
      </w:r>
    </w:p>
    <w:p w14:paraId="70D962A2">
      <w:pPr>
        <w:pStyle w:val="4"/>
        <w:bidi w:val="0"/>
        <w:rPr>
          <w:rFonts w:hint="eastAsia"/>
          <w:lang w:val="zh-CN"/>
        </w:rPr>
      </w:pPr>
      <w:r>
        <w:rPr>
          <w:rFonts w:hint="eastAsia"/>
          <w:lang w:val="zh-CN"/>
        </w:rPr>
        <w:t>【现代农业体系初显】</w:t>
      </w:r>
    </w:p>
    <w:p w14:paraId="416F0A77">
      <w:pPr>
        <w:bidi w:val="0"/>
        <w:rPr>
          <w:rFonts w:hint="eastAsia"/>
          <w:lang w:val="zh-CN"/>
        </w:rPr>
      </w:pPr>
      <w:r>
        <w:rPr>
          <w:rFonts w:hint="eastAsia"/>
          <w:lang w:val="zh-CN"/>
        </w:rPr>
        <w:t>完成农林牧渔增加值28.1亿元，增长6.3%。成功申报省级现代粮食产业示范区，“金友米露”入选首批全国“一县一品”品牌农产品名录。新增省市级龙头企业3家、农民专业合作社2家、家庭农场5家。成功举办“中国农民丰收节”暨生态农业博览会。基本完成农村土地承包经营权确权登记颁证工作，代表韶关市迎接省第三方验收获评优秀。</w:t>
      </w:r>
    </w:p>
    <w:p w14:paraId="484F1767">
      <w:pPr>
        <w:pStyle w:val="4"/>
        <w:bidi w:val="0"/>
        <w:rPr>
          <w:rFonts w:hint="eastAsia"/>
          <w:lang w:val="zh-CN"/>
        </w:rPr>
      </w:pPr>
      <w:r>
        <w:rPr>
          <w:rFonts w:hint="eastAsia"/>
          <w:lang w:val="zh-CN"/>
        </w:rPr>
        <w:t>【特色工业提质增效】</w:t>
      </w:r>
    </w:p>
    <w:p w14:paraId="52136762">
      <w:pPr>
        <w:bidi w:val="0"/>
        <w:rPr>
          <w:rFonts w:hint="eastAsia"/>
          <w:lang w:val="zh-CN"/>
        </w:rPr>
      </w:pPr>
      <w:r>
        <w:rPr>
          <w:rFonts w:hint="eastAsia"/>
          <w:lang w:val="zh-CN"/>
        </w:rPr>
        <w:t>实现规模以上工业增加值11.6亿元，增长23.4%。园区一期完成税收1.4亿元，增长10.6%，一期成功置换低效企业6家，新增高新技术企业5家。人才驿站揭牌成立，用于人才资源开发专项资金投入超过3000万元。14家入选韶关倍增计划企业和36家高质量实体经济示范企业全年工业增加值分别增长40%、30%。省工业类名牌产品达到12个。</w:t>
      </w:r>
    </w:p>
    <w:p w14:paraId="2213AEEE">
      <w:pPr>
        <w:pStyle w:val="4"/>
        <w:bidi w:val="0"/>
        <w:rPr>
          <w:rFonts w:hint="eastAsia"/>
          <w:lang w:val="zh-CN"/>
        </w:rPr>
      </w:pPr>
      <w:r>
        <w:rPr>
          <w:rFonts w:hint="eastAsia"/>
          <w:lang w:val="zh-CN"/>
        </w:rPr>
        <w:t>【文旅结合势头良好】</w:t>
      </w:r>
    </w:p>
    <w:p w14:paraId="6873517B">
      <w:pPr>
        <w:bidi w:val="0"/>
        <w:rPr>
          <w:rFonts w:hint="eastAsia"/>
          <w:lang w:val="zh-CN"/>
        </w:rPr>
      </w:pPr>
      <w:r>
        <w:rPr>
          <w:rFonts w:hint="eastAsia"/>
          <w:lang w:val="zh-CN"/>
        </w:rPr>
        <w:t>珠玑古巷改造提升稳步推进，南粤古驿道保护修复与活化利用完成年度计划，成功举办第五届姓氏文化旅游节、梅关古驿道梅花节，南亩鱼鲜村、油山上朔村、百顺黄屋城村入选第五批中国传统村落，签约并实施海伦罗曼钢琴项目。入选省旅游综合竞争力“十强”，“银杏染秋”被评为省最具影响力旅游品牌，带动全市实现旅游总收入35.6亿元，增长10.7%。</w:t>
      </w:r>
    </w:p>
    <w:p w14:paraId="1E0828AC">
      <w:pPr>
        <w:pStyle w:val="4"/>
        <w:bidi w:val="0"/>
        <w:rPr>
          <w:rFonts w:hint="eastAsia"/>
          <w:lang w:val="zh-CN"/>
        </w:rPr>
      </w:pPr>
      <w:r>
        <w:rPr>
          <w:rFonts w:hint="eastAsia"/>
          <w:lang w:val="zh-CN"/>
        </w:rPr>
        <w:t>【一、二、三产业融合发展】</w:t>
      </w:r>
    </w:p>
    <w:p w14:paraId="461BA33F">
      <w:pPr>
        <w:bidi w:val="0"/>
        <w:rPr>
          <w:rFonts w:hint="eastAsia"/>
          <w:lang w:val="zh-CN"/>
        </w:rPr>
      </w:pPr>
      <w:r>
        <w:rPr>
          <w:rFonts w:hint="eastAsia"/>
          <w:lang w:val="zh-CN"/>
        </w:rPr>
        <w:t>入选2018年全国农村一、二、三产业融合发展先导区创建名单，丝苗米现代农业产业园项目列入第三批省级现代农业产业园建设名单，指挥官现代农业田园综合体产业园开工建设，乌迳镇荣获省休闲农业与乡村旅游示范镇；全市完成社会消费品零售总额60.3亿元，增长9.9%，其中电子商务交易额达18.7亿元。做好全国第四次经济普查工作。</w:t>
      </w:r>
    </w:p>
    <w:p w14:paraId="0F00FCAB">
      <w:pPr>
        <w:pStyle w:val="4"/>
        <w:bidi w:val="0"/>
        <w:rPr>
          <w:rFonts w:hint="eastAsia"/>
          <w:lang w:val="zh-CN"/>
        </w:rPr>
      </w:pPr>
      <w:r>
        <w:rPr>
          <w:rFonts w:hint="eastAsia"/>
          <w:lang w:val="zh-CN"/>
        </w:rPr>
        <w:t>【乡村振兴开局良好】</w:t>
      </w:r>
    </w:p>
    <w:p w14:paraId="56E85733">
      <w:pPr>
        <w:bidi w:val="0"/>
        <w:rPr>
          <w:rFonts w:hint="eastAsia"/>
          <w:lang w:val="zh-CN"/>
        </w:rPr>
      </w:pPr>
      <w:r>
        <w:rPr>
          <w:rFonts w:hint="eastAsia"/>
          <w:lang w:val="zh-CN"/>
        </w:rPr>
        <w:t>成功申报创建省生态宜居美丽乡村示范县，20户以上自然村人居环境综合整治工作全面启动，68个省定贫困村生态宜居美丽乡村建设基本完工，完成省级新农村示范片建设，灵潭村入选2018年中国美丽休闲乡村名单。18个镇（街道）基本完成连片流转至少500亩土地并引入特色农业项目。创新出台《南雄市乡村振兴人才支持计划》，湖口镇张屋村成立“三变”改革股份合作社，培育乡村振兴新动能。统筹整合各类涉农资金1.5亿元，用于扶持村级集体经济发展、农村无线宽带覆盖等49个项目。全面完成全市1853个自然村落历史人文普查。中央电视台《焦点访谈》《直播中国》等栏目专题介绍南雄市实施乡村振兴战略成效和经验做法。</w:t>
      </w:r>
    </w:p>
    <w:p w14:paraId="405DE932">
      <w:pPr>
        <w:pStyle w:val="4"/>
        <w:bidi w:val="0"/>
        <w:rPr>
          <w:rFonts w:hint="eastAsia"/>
          <w:lang w:val="zh-CN"/>
        </w:rPr>
      </w:pPr>
      <w:r>
        <w:rPr>
          <w:rFonts w:hint="eastAsia"/>
          <w:lang w:val="zh-CN"/>
        </w:rPr>
        <w:t>【中心城区功能风貌不断提升】</w:t>
      </w:r>
    </w:p>
    <w:p w14:paraId="0403A7B0">
      <w:pPr>
        <w:bidi w:val="0"/>
        <w:rPr>
          <w:rFonts w:hint="eastAsia"/>
          <w:lang w:val="zh-CN"/>
        </w:rPr>
      </w:pPr>
      <w:r>
        <w:rPr>
          <w:rFonts w:hint="eastAsia"/>
          <w:lang w:val="zh-CN"/>
        </w:rPr>
        <w:t>北城大道建成通车，三影塔广场完成整治提升，新汽车站奠基开工，雄州廊桥、广州会馆门前栈道、“一江两岸”景观风貌提升工程和繁荣市场改造扎实推进，实施市政府至雄州公园等城区主要道路、小街小巷、城乡接合部美化亮化工程。</w:t>
      </w:r>
    </w:p>
    <w:p w14:paraId="06292886">
      <w:pPr>
        <w:pStyle w:val="4"/>
        <w:bidi w:val="0"/>
        <w:rPr>
          <w:rFonts w:hint="eastAsia"/>
          <w:lang w:val="zh-CN"/>
        </w:rPr>
      </w:pPr>
      <w:r>
        <w:rPr>
          <w:rFonts w:hint="eastAsia"/>
          <w:lang w:val="zh-CN"/>
        </w:rPr>
        <w:t>【特色小镇建设成效明显】</w:t>
      </w:r>
    </w:p>
    <w:p w14:paraId="6C34A6DF">
      <w:pPr>
        <w:bidi w:val="0"/>
        <w:rPr>
          <w:rFonts w:hint="eastAsia"/>
          <w:lang w:val="zh-CN"/>
        </w:rPr>
      </w:pPr>
      <w:r>
        <w:rPr>
          <w:rFonts w:hint="eastAsia"/>
          <w:lang w:val="zh-CN"/>
        </w:rPr>
        <w:t>珠玑文化小镇入选省特色小镇培育库名单。江头镇、珠玑镇被列为韶关市镇（街道）整治提升“139”行动试点镇，油山镇红色文化资源综合开发利用不断深入，乌迳、主田等镇现代农业、美丽乡村建设特色日益凸显。</w:t>
      </w:r>
    </w:p>
    <w:p w14:paraId="7F544281">
      <w:pPr>
        <w:pStyle w:val="4"/>
        <w:bidi w:val="0"/>
        <w:rPr>
          <w:rFonts w:hint="eastAsia"/>
          <w:lang w:val="zh-CN"/>
        </w:rPr>
      </w:pPr>
      <w:r>
        <w:rPr>
          <w:rFonts w:hint="eastAsia"/>
          <w:lang w:val="zh-CN"/>
        </w:rPr>
        <w:t>【城乡基础设施不断完善】</w:t>
      </w:r>
    </w:p>
    <w:p w14:paraId="3657BC09">
      <w:pPr>
        <w:bidi w:val="0"/>
        <w:rPr>
          <w:rFonts w:hint="eastAsia"/>
          <w:lang w:val="zh-CN"/>
        </w:rPr>
      </w:pPr>
      <w:r>
        <w:rPr>
          <w:rFonts w:hint="eastAsia"/>
          <w:lang w:val="zh-CN"/>
        </w:rPr>
        <w:t>雄信高速公路前期工作扎实有效，通用机场纳入省通用机场布局规划，省道S342线分水坳至雄州段路面改造和9条旅游公路加快推进，完成100千米农村公路硬底化，农村电网建设完成投资1.3亿元，新（改）建367间城乡文明公厕，完成21宗病险山塘除险加固和123千米中小河流治理；稳步推进农村供水和灌区节水改造工程，实施水田垦造5个，新增水田面积5500亩，珠玑镇古田村试点项目成为全省首个竣工验收的垦造水田项目。</w:t>
      </w:r>
    </w:p>
    <w:p w14:paraId="75973DD3">
      <w:pPr>
        <w:pStyle w:val="4"/>
        <w:bidi w:val="0"/>
        <w:rPr>
          <w:rFonts w:hint="eastAsia"/>
          <w:lang w:val="zh-CN"/>
        </w:rPr>
      </w:pPr>
      <w:r>
        <w:rPr>
          <w:rFonts w:hint="eastAsia"/>
          <w:lang w:val="zh-CN"/>
        </w:rPr>
        <w:t>【民生实事】</w:t>
      </w:r>
    </w:p>
    <w:p w14:paraId="3A242F42">
      <w:pPr>
        <w:bidi w:val="0"/>
        <w:rPr>
          <w:rFonts w:hint="eastAsia"/>
          <w:lang w:val="zh-CN"/>
        </w:rPr>
      </w:pPr>
      <w:r>
        <w:rPr>
          <w:rFonts w:hint="eastAsia"/>
          <w:lang w:val="zh-CN"/>
        </w:rPr>
        <w:t>政府承诺10件民生实事除1件受上级政策影响未能实施外，其余9件基本完成。68个省定贫困村新农村建设初见成效；异地改造建成机关幼儿园总园，已投入使用；9个镇污水处理厂及配套管网工程启动建设，预计2019年6月底建成投入使用；全面完成繁荣市场改造提升；完成新（改）建文明公厕367间；建成232个行政村（社区）综合性文化服务中心，实现行政村（社区）综合性文化服务中心全覆盖，全安镇全安村示范点荣获韶关市基层综合性文化服务中心“最美图书阅览室”称号；建设南雄市智慧城市综合管控平台，完成主模块开发；启动新汽车站建设；新建和改造一批社会治安视频监控系统，“雪亮工程”在68个省定贫困村率先实施；水南桥头至羊角桥北沿江路段绿道工程因受国家金融政策调整影响，暂缓实施。</w:t>
      </w:r>
    </w:p>
    <w:p w14:paraId="40232C58">
      <w:pPr>
        <w:pStyle w:val="4"/>
        <w:bidi w:val="0"/>
        <w:rPr>
          <w:rFonts w:hint="eastAsia"/>
          <w:lang w:val="zh-CN"/>
        </w:rPr>
      </w:pPr>
      <w:r>
        <w:rPr>
          <w:rFonts w:hint="eastAsia"/>
          <w:lang w:val="zh-CN"/>
        </w:rPr>
        <w:t>【保障和改善民生取得新成效】</w:t>
      </w:r>
    </w:p>
    <w:p w14:paraId="55AC1410">
      <w:pPr>
        <w:bidi w:val="0"/>
        <w:rPr>
          <w:rFonts w:hint="eastAsia"/>
          <w:lang w:val="zh-CN"/>
        </w:rPr>
      </w:pPr>
      <w:r>
        <w:rPr>
          <w:rFonts w:hint="eastAsia"/>
          <w:lang w:val="zh-CN"/>
        </w:rPr>
        <w:t>民生支出30.8亿元，增长21.3%，占一般公共预算支出的82.5%。城镇、农村居民人均可支配收入分别达2.8万元、1.5万元，分别增长10.5%、11%。城镇登记失业率控制在3.5%以内。荣获“省推进教育现代化先进市”称号，“县管校聘”完成3817名教师聘任，市第三小学、机关幼儿园总园、财贸幼儿园八一路校区、古市镇中心幼儿园新校园等建成投入使用，稳步推进乌迳镇第二小学建设。组建市人民医院医共体和市中医院妇计院医共体，市人民医院省级远程医疗会诊平台开通上线，市第二人民医院完成主体工程建设，市中医院妇计院医共体、市人民医院住院综合楼项目加快推进，完成81间公建民营村卫生站建设。市老区建设促进会荣获省老区宣传工作先进集体。珠玑巷广府人家训馆建成开馆。完成市体育馆和羽毛球馆升级改造，成功承办省第九届老年人体育健身大会。实行在管严重精神障碍患者门诊检查治疗全免费，荣获2017年度“广东省严重精神障碍管理治疗工作优秀（县）区”称号；“幸福家园”试点工程基本完工，完成综治视联网系统市镇两级全覆盖；深入开展扫黑除恶专项斗争，大力开展“飓风2018”、全民禁毒工程等专项行动；扎实做好非洲猪瘟防控工作。精准脱贫成效显著，完成1112户农村危旧房改造，初步核定预脱贫992户3030人，南雄市被中央电视台作为全省唯一拍摄专题片的精准扶贫点，广东省抓党建促脱贫攻坚工作现场会在南雄市召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F852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29E05F9C">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6170" cy="3771900"/>
                  <wp:effectExtent l="0" t="0" r="5080" b="0"/>
                  <wp:docPr id="106" name="图片 106" descr="南雄年鉴2019_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南雄年鉴2019_0081"/>
                          <pic:cNvPicPr>
                            <a:picLocks noChangeAspect="1"/>
                          </pic:cNvPicPr>
                        </pic:nvPicPr>
                        <pic:blipFill>
                          <a:blip r:embed="rId93"/>
                          <a:stretch>
                            <a:fillRect/>
                          </a:stretch>
                        </pic:blipFill>
                        <pic:spPr>
                          <a:xfrm>
                            <a:off x="0" y="0"/>
                            <a:ext cx="6186170" cy="3771900"/>
                          </a:xfrm>
                          <a:prstGeom prst="rect">
                            <a:avLst/>
                          </a:prstGeom>
                        </pic:spPr>
                      </pic:pic>
                    </a:graphicData>
                  </a:graphic>
                </wp:inline>
              </w:drawing>
            </w:r>
          </w:p>
        </w:tc>
      </w:tr>
      <w:tr w14:paraId="5BBF9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CAFD7FB">
            <w:pPr>
              <w:bidi w:val="0"/>
              <w:rPr>
                <w:rFonts w:hint="eastAsia"/>
                <w:vertAlign w:val="baseline"/>
                <w:lang w:val="zh-CN"/>
              </w:rPr>
            </w:pPr>
            <w:r>
              <w:rPr>
                <w:rFonts w:hint="eastAsia" w:ascii="FZKTK--GBK1-0" w:hAnsi="FZKTK--GBK1-0" w:eastAsia="FZKTK--GBK1-0"/>
                <w:color w:val="000000"/>
                <w:sz w:val="20"/>
              </w:rPr>
              <w:t>2018年8月6日，召开南雄市扫黑除恶专项斗争工作研判会（市委办</w:t>
            </w:r>
            <w:r>
              <w:rPr>
                <w:rFonts w:hint="eastAsia" w:ascii="FZKTK--GBK1-0" w:hAnsi="FZKTK--GBK1-0" w:eastAsia="FZKTK--GBK1-0"/>
                <w:color w:val="000000"/>
                <w:sz w:val="20"/>
                <w:lang w:val="en-US" w:eastAsia="zh-CN"/>
              </w:rPr>
              <w:t xml:space="preserve">  </w:t>
            </w:r>
            <w:r>
              <w:rPr>
                <w:rFonts w:hint="eastAsia" w:ascii="FZKTK--GBK1-0" w:hAnsi="FZKTK--GBK1-0" w:eastAsia="FZKTK--GBK1-0"/>
                <w:color w:val="000000"/>
                <w:sz w:val="20"/>
              </w:rPr>
              <w:t>供</w:t>
            </w:r>
            <w:r>
              <w:rPr>
                <w:rFonts w:hint="eastAsia" w:ascii="FZKTK--GBK1-0" w:hAnsi="FZKTK--GBK1-0" w:eastAsia="FZKTK--GBK1-0"/>
                <w:color w:val="000000"/>
                <w:sz w:val="20"/>
                <w:lang w:eastAsia="zh-CN"/>
              </w:rPr>
              <w:t>）</w:t>
            </w:r>
          </w:p>
        </w:tc>
      </w:tr>
    </w:tbl>
    <w:p w14:paraId="7052E1DD">
      <w:pPr>
        <w:pStyle w:val="4"/>
        <w:bidi w:val="0"/>
        <w:rPr>
          <w:rFonts w:hint="eastAsia"/>
          <w:lang w:val="zh-CN"/>
        </w:rPr>
      </w:pPr>
      <w:r>
        <w:rPr>
          <w:rFonts w:hint="eastAsia"/>
          <w:lang w:val="zh-CN"/>
        </w:rPr>
        <w:t>【深化改革务实推进】</w:t>
      </w:r>
    </w:p>
    <w:p w14:paraId="42850BD3">
      <w:pPr>
        <w:bidi w:val="0"/>
        <w:rPr>
          <w:rFonts w:hint="eastAsia"/>
          <w:lang w:val="zh-CN"/>
        </w:rPr>
      </w:pPr>
      <w:r>
        <w:rPr>
          <w:rFonts w:hint="eastAsia"/>
          <w:lang w:val="zh-CN"/>
        </w:rPr>
        <w:t>广东省原中央苏区县域经济创新发展示范县创建有序实施。“一门式一网式”政务服务改革深入推进，完成604项许可和服务事项标准化建设，“一门式一网式”系统上线运行，在韶关率先完成80个村级“一门式一网式”政务服务建设，不动产业务办理实现一窗一次性受理、5天办结。重组市国有资产投资有限责任公司，加快行政事业单位经营性国有资产整合划转工作。稳妥推进机构改革。</w:t>
      </w:r>
    </w:p>
    <w:p w14:paraId="3DFDF0FC">
      <w:pPr>
        <w:pStyle w:val="4"/>
        <w:bidi w:val="0"/>
        <w:rPr>
          <w:rFonts w:hint="eastAsia"/>
          <w:lang w:val="zh-CN"/>
        </w:rPr>
      </w:pPr>
      <w:r>
        <w:rPr>
          <w:rFonts w:hint="eastAsia"/>
          <w:lang w:val="zh-CN"/>
        </w:rPr>
        <w:t>【重点项目建设扎实有效】</w:t>
      </w:r>
    </w:p>
    <w:p w14:paraId="7ECA4043">
      <w:pPr>
        <w:bidi w:val="0"/>
        <w:rPr>
          <w:rFonts w:hint="eastAsia"/>
          <w:lang w:val="zh-CN"/>
        </w:rPr>
      </w:pPr>
      <w:r>
        <w:rPr>
          <w:rFonts w:hint="eastAsia"/>
          <w:lang w:val="zh-CN"/>
        </w:rPr>
        <w:t>实施重点建设项目34个，完成投资49.7亿元，完成率达110%；华电南雄建成投产，绿洲生态植物纤维餐具等项目稳步推进。签约引进项目15个，投资总额47.3亿元，其中亿元以上项目9个，投资总额44.3亿元。成功竞得2019年中央专项彩票公益金扶持项目县等一批政策项目。</w:t>
      </w:r>
    </w:p>
    <w:p w14:paraId="7D728F7C">
      <w:pPr>
        <w:pStyle w:val="4"/>
        <w:bidi w:val="0"/>
        <w:rPr>
          <w:rFonts w:hint="eastAsia"/>
          <w:lang w:val="zh-CN"/>
        </w:rPr>
      </w:pPr>
      <w:r>
        <w:rPr>
          <w:rFonts w:hint="eastAsia"/>
          <w:lang w:val="zh-CN"/>
        </w:rPr>
        <w:t>【绿色优势得到巩固】</w:t>
      </w:r>
    </w:p>
    <w:p w14:paraId="3BE2071E">
      <w:pPr>
        <w:bidi w:val="0"/>
        <w:rPr>
          <w:rFonts w:hint="eastAsia"/>
          <w:lang w:val="zh-CN"/>
        </w:rPr>
      </w:pPr>
      <w:r>
        <w:rPr>
          <w:rFonts w:hint="eastAsia"/>
          <w:lang w:val="zh-CN"/>
        </w:rPr>
        <w:t>打好大气、水和土壤污染防治攻坚战，扎实做好中央环保督察“回头看”整改工作，完成高污染燃料禁燃区划定，全面启动市镇村污水处理设施建设，稳步推进镇级简易填埋场整改和畜禽养殖污染专项整治工作，完成植树造林4.1万亩。顺利通过国家重点功能区县域生态环境质量考核，成功争取转移支付生态补偿资金1.1亿元。</w:t>
      </w:r>
    </w:p>
    <w:p w14:paraId="4C1B59F9">
      <w:pPr>
        <w:pStyle w:val="4"/>
        <w:bidi w:val="0"/>
        <w:rPr>
          <w:rFonts w:hint="eastAsia"/>
          <w:lang w:val="zh-CN"/>
        </w:rPr>
      </w:pPr>
      <w:r>
        <w:rPr>
          <w:rFonts w:hint="eastAsia"/>
          <w:lang w:val="zh-CN"/>
        </w:rPr>
        <w:t>【政府效能不断提高】</w:t>
      </w:r>
    </w:p>
    <w:p w14:paraId="4F5DF459">
      <w:pPr>
        <w:bidi w:val="0"/>
        <w:rPr>
          <w:rFonts w:hint="eastAsia"/>
          <w:lang w:val="zh-CN"/>
        </w:rPr>
      </w:pPr>
      <w:r>
        <w:rPr>
          <w:rFonts w:hint="eastAsia"/>
          <w:lang w:val="zh-CN"/>
        </w:rPr>
        <w:t>办理人大代表议案、建议和政协委员提案、来信116件，办复率100%，满意率100%。完成审计项目17个，挽回经济损失138.8万元。清理规范性文件36件，按时审结行政复议案件6宗，完善政府法律顾问制度和公职律师公司律师制度，建立重大行政决策目录机制。深入推进“两学一做”学习教育常态化制度化，大力开展大学习、深调研、真落实活动，严格贯彻落实中央八项规定及其实施细则精神。优化镇（街道）工作绩效评价和机关绩效考核激励机制，健全激励机制和容错纠错机制。</w:t>
      </w:r>
    </w:p>
    <w:p w14:paraId="0EA8BC49">
      <w:pPr>
        <w:pStyle w:val="3"/>
        <w:bidi w:val="0"/>
        <w:rPr>
          <w:rFonts w:hint="eastAsia"/>
          <w:lang w:val="zh-CN"/>
        </w:rPr>
      </w:pPr>
      <w:r>
        <w:rPr>
          <w:rFonts w:hint="eastAsia"/>
          <w:lang w:val="zh-CN"/>
        </w:rPr>
        <w:t>重要会议</w:t>
      </w:r>
    </w:p>
    <w:p w14:paraId="6FA9BF8C">
      <w:pPr>
        <w:pStyle w:val="4"/>
        <w:bidi w:val="0"/>
        <w:rPr>
          <w:rFonts w:hint="eastAsia"/>
          <w:lang w:val="zh-CN"/>
        </w:rPr>
      </w:pPr>
      <w:r>
        <w:rPr>
          <w:rFonts w:hint="eastAsia"/>
          <w:lang w:val="zh-CN"/>
        </w:rPr>
        <w:t>【市政府常务会议】</w:t>
      </w:r>
    </w:p>
    <w:p w14:paraId="727A254D">
      <w:pPr>
        <w:bidi w:val="0"/>
        <w:rPr>
          <w:rFonts w:hint="eastAsia"/>
          <w:lang w:val="zh-CN"/>
        </w:rPr>
      </w:pPr>
      <w:r>
        <w:rPr>
          <w:rFonts w:hint="eastAsia"/>
          <w:lang w:val="zh-CN"/>
        </w:rPr>
        <w:t>2018年召开市政府常务会议11次，会议主要讨论研究以下内容：出租雄州公园130亩土地用于打造南雄市农耕文化博览园；金雄鹰宾馆拆迁补偿；省定贫困村社会主义新农村示范村建设项目采取全过程造价咨询服务；帽子峰林场大流坑大坝除险加固工程；审议《南雄市畜禽养殖管理暂行办法》；市病死畜禽无害化处理中心建设；审议《南雄市2018年山区和农村地区学校教师生活补助实施方案（草案）》；将市疾病预防控制中心原办公楼划拨给市120急救指挥中心；珠玑镇农村环境综合整治项目采用EPC模式；广东珠玑乡村振兴讲习所项目；灵潭红色村党建示范点人居环境改善提升项目；聘请兼职政府法律顾问；南雄市浈江电业有限责任公司入股风电项目；审议《南雄市2017年预算执行情况与2018年预算草案》；统筹安排村居两委经费财政补助；申请审批南雄市2017年地方政府债务限额；调整《南雄市镇级财政保障方案》；申报2018年置换债券需求；审议《政府工作报告（征求意见稿）》；2018年重点工作安排；南雄市2018年国民经济和社会发展计划主要指标；2018年重点建设项目；审议《南雄市安全生产委员会办公室改革方案（送审稿）》；审议《南雄市2018年烟叶工作意见》；审议《南雄市砂石船舶安全隐患清理整治专项行动方案》；审议《南雄市教育系统接受社会捐赠资助实施细则（试行）》；审议《关于推进中小学教师“县管校聘”管理改革的实施意见》；审议《南雄市市政消火栓管理办法（送审稿）》；组织相关人员到市法制局跟班学习；审议《南雄市人民政府2018年度重大行政决策事项和听证事项目录》；市公安局雄州派出所办公楼房屋产权和租金；审议《南雄市查处违法用地和违法建设职能单位工作职责方案》；审议《南雄市“两违”管控整治工作问责暂行办法》；审议《南雄市城区国有土地上房屋征收与补偿管理工作指导意见》；审议《南雄市北城区二期项目土地及地上附着物征收补偿方案》；水口镇水口“红色村”党建示范项目；主田镇主田村幼儿园基础设施工程建设项目；传达韶关市2018年扶贫工作会议精神；设立农业发展扶持基金事项；审议《南雄市科协系统深化改革实施方案》；建设市科技馆；调整2018年“以奖代补”有关细则；审议市委政法委、市人社局和市财政局提出的关于落实政法委机关工作津贴的工作方案；审议《南雄市民宿发展管理和扶持办法（试行）》；审议《原南雄卷烟厂资产转让协议》；审议《南雄市全过程工程咨询设计管理服务实施方案》；梅关—乌迳古驿道重点线路保护和活化利用项目；审议《南雄市公路路域环境整治提升工作方案》；市公共服务中心相关事项；审议《南雄市全面推广实施镇村“一门式一网式”政务服务模式工作方案》；珠玑镇灵潭村红色纪念公园公共雕塑项目建设；审议《南雄市扶持中科院南雄新型特种精细化学品专业孵化器发展实施意见（草案）》；2017年度扶持工业企业发展专项资金；城区至梅岭古驿道沿线河流护岸整治工程；审议《南雄市关于切实减轻中小学生课外负担开展校外培训机构专项治理方案（送审稿）》；审议《南雄市创建省级农村职业教育和成人教育示范县工作方案（送审稿）》；审议《南雄市学前教育第三期三年行动计划（2017-2020年）（送审稿）》；审议《南雄市第二期特殊教育提升计划实施方案（2018-2020）（送审稿）》；协议收购水西小岛西面地块1号用地国有建设用地使用权；三个中心镇污水处理运营费用和珠江污水处理厂提标改造补助；审议《南雄市整县推进村镇生活污水处理基础设施PPP项目实施方案》；第二人民医院旁300米河堤治理事项；审议《南雄市政府性债务风险应急处置预案（送审稿）》；2018年城乡文明厕所建设（改建）资金；听取1—5月重点工作、重点项目、挂点企业和民生实事进展情况汇报；园区管委会发放乡镇工作补贴；碳谷得铭新材料有限公司项目用地申请；学习党中央办公厅、国务院办公厅《地方党政领导干部安全生产责任制规定》精神；购置空气自动监测站备用监测仪器设备；解决污染源普查工作缺口经费；解决土壤污染防治、饮用水源规划调整、环境空气质量自动监测系统第三方运营、国家重点生态功能区环境监测专项工作经费；调整完善市环境保护委员会；机关事业单位工作人员2014年调整基本工资和增加离退休费补发；审议《南雄市招商引资工作联席会议制度》；梅关、雄州森林公园经营范围调整；城区水毁防洪堤修复；机动车驾驶人理论考试租用社会考场；土地产权划拨；调整人民警察法定工作日之外加班补贴和执勤岗位津贴；审议《南雄市2018年依法行政工作要点》（送审稿）；城乡污水处理和管网建设工程（一期）；北城区基础设施建设及配套和土地整理项目（一期）；重新启动市彩釉砖厂工矿棚户区改造项目房屋征收拆迁工作；京盛房地产开发有限公司返还时代广场回迁房；促进建筑业发展奖励资金和企业奖励档案；解决南雄市第三次全国土地调查预算经费；2016年、2017年地方政府新增债券项目调整；2018年新增债券项目申报；解决原坪田镇老政府地块拆迁户安置；解决城镇困难职工精准解困脱困奔康资金；审议《2018年国务院大督查南雄市迎检工作方案》；中央专项彩票公益金支持贫困革命老区县实施扶贫项目——休闲农业观光道改建工程泰源村路道和桥梁设计变更；非省定贫困村建设生态宜居美丽乡村工作；2018年韶关市级农村人居环境综合整治专项资金使用有关事宜；审议《南雄市省定贫困村创建社会主义新农村示范村资金使用监管办法（送审稿）》；何云秀同志调入市委农办；听取《南雄市扫黑除恶专项斗争情况汇报》；引进共建粤港工业科技园项目；增加享受畜牧兽医医疗卫生津贴；增加享受农业有毒保健津贴；审议《南雄市国有林场改革实施细则》（送审稿）；审议《智慧南雄综合管控系统建设方案》；解决综合性文化服务中心建设资金；解决市人民医院拆迁安置楼（医教楼）差额建筑面积；审议《南雄市基层医疗机构（含村卫生站、个体诊所）医疗废物集中处置方案》；城投公司退出盈泰房地产公司股份；解决市公共文化服务中心工程空调、家具等设备安装工程预审、结算评审问题；2018年危房改造县级配套资金；审议《关于支付南雄市人民政府垫付南雄市珠玑竹博园生态旅游项目部分工程工人工资的协议》；开展人防疏散基地建设；审议《关于南雄市2017年财政决算草案的报告》《南雄市2017年决算草案》《南雄市2018年上半年财政预算执行情况报告》；2016年、2017年新增债券项目调整；招聘20名辅警组建南雄市纪委监委专业看护队伍；学习行政应诉相关规定；审议《南雄市人民政府关于公布规范性文件清理结果的通知》（草案）；审议《南雄市工业企业发展扶持办法》；审议《南雄市现代化高效猪场精准扶贫合作方案（送审稿）》；审议《南雄市建档立卡贫困户应纳入兜底保障而不符合民政保障政策的贫困人口纳入本级财政兜底保障方案（送审稿）》；引进年产60万方轻质隔板墙（加气块）生产线及配套附属设施、南雄市康宁医院、广东江南理工技工学校（南雄校区）公共实训基地、指挥官现代农业田园综合体产业园项目等4个招商引资项目；补足2017年义务教育公共财政教育事业费预算；协议有偿收回茗豪花园项目部分国有建设用地使用权；引进社会资金对繁荣市场二楼进行提升改造；部分项目代建管理权移交市代建局；审议恐龙化石自然保护区内畜禽养殖场拆迁补偿办法；彤置富公司110KV总变电站高压线移交；2018年重点建设项目计划调整；审议《南雄市事实无人赡（抚）养群众兜底保障实施细则（讨论稿）》；审议《南雄市涉农资金统筹整合实施方案（试行）》；2018年新增债券项目申报；2018年地方政府债务限额调整；核销暂存性挂账中存量债务；启动南雄市机关事业单位职业年金征缴工作；规范教师津补贴；学习《中华人民共和国人民防空法》；学习《中共中央办公厅、国务院办公厅关于印发地方政府债务问责办法的通知》；南雄市左岸府项目用地；整县推进村镇生活污水处理基础设施PPP项目工程监理招标；雄健融资担保公司名下厂房租赁期延长；补偿雄州公园征地拆迁宅基地置换拆迁户过渡期租金；垦造水田前期工作经费分配使用；南雄市人民法院审判法庭建设；听取安全生产工作情况汇报；行政服务中心新办事大厅购买服务费用；审议园区管委会起草的《南雄产业转移工业园危险化学品运输企业扶持办法》；机关事业单位养老保险待遇支付资金缺口；主田镇人民政府扶贫资金投入百香果产业种植经营；农村公路建设项目财政评审；68个省定贫困村农村公路硬底化建设和2018年农村公路窄路基路面拓宽改造工程建设资金；省定贫困村社会主义新农村示范村建设项目用砂；小流坑—青嶂山省级自然保护区范围和功能区调整；浈江河道河砂开采权公开出让；审议市畜牧兽医水产局编制的《南雄市养殖水域滩涂规划（2017-2030）》；帽子峰镇泥湖山林场农户补贴；拨付全省抓党建促脱贫攻坚工作现场会筹备经费3063325元；部分重点工作变更和进度调整；红色革命遗址修复利用建设；广播电视台偿还农信社债务；学习全国四季度经济形势展望及宏观经济政策取向；学习韶关市政府第14届50次常务会议纪要“市政府领导班子成员和有关负责同志分工事宜及市政府近期工作部署”事项精神；学习韶关市政府第14届50次常务会议纪要“传达学习习近平总书记在中央全面依法治国委员会上第一次会议上的重要讲话精神，开展2018年市政府常务会议第一次专题学法”事项精神；学习韶关市政府第14届50次常务会议纪要“传达学习省委办公厅、省政府办公厅关于做好下半年经济工作保持经济平稳健康发展，听取市统计局关于全市1至8月份经济运行情况、副市长分管经济指标和挂点联系县经济发展问题清单与工作建议情况汇报，研究部署有关工作”事项精神；学习《中华人民共和国宪法》修正案；审议南雄产业转移园污染防治整体升级改造方案；帽子峰项目开发；审议《南雄市阳光玫瑰葡萄现代农业产业园项目合作意向协议书》；江头镇、湖口镇统筹精准扶贫专项资金投资；镇村污水处理设施及配套管</w:t>
      </w:r>
      <w:r>
        <w:rPr>
          <w:rFonts w:hint="eastAsia"/>
          <w:lang w:val="zh-CN"/>
        </w:rPr>
        <w:t>网工程项目建设；审议《南雄市开展河湖“五清”专项行动方案》；有偿收回江头镇沿江路1-6号（原粮管所）用地国有建设用地使用权；南雄市百姓堂项目建设；将南雄市房管所位于南亩老墟二队的房屋及所属地块移交给南亩镇人民政府管理使用；审议《市直机关省内乘用非公共交通工具出差定额包干管理办法（试行）》；2018-2020年党政机关会议定点场所；南雄市2019年部门预算编制工作方案（送审稿）；解决南雄市人民法院21名实名制工勤身份人员参加享受司法改革有关待遇经费；市政府规范性文件设定的证明事项清理；学习土地市场经营法律法规；园区土地租赁；园区管委会收回投资入股资金；审议《南雄市产业园闲置和低效用地清理处置工作方案（草案）》；听取全市能耗总量和强度“双控”目标完成情况工作汇报；审议《南雄市党政部门及中省驻雄有关单位安全生产工作职责（送审稿）》；2018年党组织服务群众专项经费；2018年达标创优、镇集体宿舍、“五小”场所建设经费；澜河镇澜河村生活垃圾热解处理试点项目资金保障；镇级填埋场整改项目资金保障；南亩镇统筹精准扶贫资金发展茶叶种植产业；入股浈江光伏扶贫项目整改；参照执行《韶关市稳定消防救援队伍若干政策措施》；审议整县推进村镇生活污水处理基础设施PPP项目招标文件和合同；风雨亭生活垃圾简易填埋场增设移动式渗滤液处理设备资金；河南桥更名；本级储备粮保管费补贴标准；2018年度粮食风险金拨付；审议《南雄市2018年地方政府新增债券项目调整方案（草案）》；清理财政暂存暂付款事项；盘活财政存量资金；解决南雄市看守所留置专区改造经费；浈江电业公司借款；解决社保南雄分局进驻市公共服务中心购置设施设备资金；审议《南雄市省定贫困村创建社会主义新农村示范村第三方评估服务方案》；南雄市阳光玫瑰现代农业产业园精准扶贫产业扩园；农村路灯安装奖补资金补助；审议《南雄市2018年度法治政府建设暨依法行政工作情况报告（送审稿）》；审议2017年度行政复议和行政应诉案件情况分析报告；审议《南雄市招商引资项目引荐奖励实施办法》《南雄市促进外出乡贤返乡创业就业扶持奖励办法》；审议交通干线沿线村庄村容村貌整治提升珠玑镇中站村示范点项目、珠玑镇长迳村至全安镇东背岭大桥段外立面改造项目、珠玑镇和江头镇乡镇整治提升项目建设模式；珠玑镇旅游大道两侧A地块用地；将2018年韶关市级财政特色小镇扶持专项资金1000万元作为注册资本金注入市国投公司；拨付国有资本经营收入1000万元作为市国投公司注册资本金；将南雄市绿色林业发展公司划归为国投公司子公司；审议《南雄市镇级财政保障方案（2019年）（送审稿）》；审议《南雄市2018年预算调整方案（草案）》《南雄市2018年预算执行情况与2019年预算（草案）》；审议《南雄市2019年重点建设项目计划表》《南雄市2019年重点预备项目计划表》；审议《南雄市2019年国民经济和社会发展计划主要指标》；邓坊镇精准扶贫资金投资；审议《政府工作报告（征求意见稿）》。</w:t>
      </w:r>
    </w:p>
    <w:p w14:paraId="6D6498B5">
      <w:pPr>
        <w:pStyle w:val="4"/>
        <w:bidi w:val="0"/>
        <w:rPr>
          <w:rFonts w:hint="eastAsia"/>
          <w:lang w:val="zh-CN"/>
        </w:rPr>
      </w:pPr>
      <w:r>
        <w:rPr>
          <w:rFonts w:hint="eastAsia"/>
          <w:lang w:val="zh-CN"/>
        </w:rPr>
        <w:t>【市长办公会议】</w:t>
      </w:r>
    </w:p>
    <w:p w14:paraId="12A6EEDF">
      <w:pPr>
        <w:bidi w:val="0"/>
        <w:rPr>
          <w:rFonts w:hint="eastAsia"/>
          <w:lang w:val="zh-CN"/>
        </w:rPr>
      </w:pPr>
      <w:r>
        <w:rPr>
          <w:rFonts w:hint="eastAsia"/>
          <w:lang w:val="zh-CN"/>
        </w:rPr>
        <w:t>2018年，召开市长办公会议15次，主要研究部署以下工作：珠玑古巷改造提升涉及居民安置工作；传达《关于研究第一季度主要经济指标运行情况有关问题的会议纪要》（〔2018〕74号）精神；重点项目工作；解决第一季度经济指标存在问题；“金友大厦”项目预售款使用；传达《关于核查新增地方政府债券使用情况的通知》（财办预〔2018〕83号）文件精神；加快新增债券资金支出进度；全市2018年和2020年省定贫困村集中供水和贫困户的安全饮用水；调整南雄市中医院和南雄市妇幼保健计划生育服务院异地新建（中医院与妇计院医共体）项目的建设规模；饮用水源保护区整改；镇级垃圾填埋场专项整治；自然保护区违法项目清理；畜禽养殖禁养区养殖场的清养关停；一期园区环境敏感点的搬迁安置；城市垃圾卫生填埋场环境敏感点搬迁安置；污染防治工作；听取2018年国务院大督查自查情况汇报；加快不动产各环节办理；南雄市彤置富水泥建材投资有限公司（以下简称彤置富公司）债务清算；市中等职业学校搬迁重建；扶贫投资开发有限公司成立运营；南雄市阳光玫瑰葡萄现代农业产业园项目；加快推进拆旧复垦工作；推进全市经济工作；江头南雄市小精灵婴童用品有限公司享受招商引资优惠政策情况。</w:t>
      </w:r>
    </w:p>
    <w:p w14:paraId="2F31DB76">
      <w:pPr>
        <w:pStyle w:val="4"/>
        <w:bidi w:val="0"/>
        <w:rPr>
          <w:rFonts w:hint="eastAsia"/>
          <w:lang w:val="zh-CN"/>
        </w:rPr>
      </w:pPr>
      <w:r>
        <w:rPr>
          <w:rFonts w:hint="eastAsia"/>
          <w:lang w:val="zh-CN"/>
        </w:rPr>
        <w:t>【市政府工作会议】</w:t>
      </w:r>
    </w:p>
    <w:p w14:paraId="6C00A9E4">
      <w:pPr>
        <w:bidi w:val="0"/>
        <w:rPr>
          <w:rFonts w:hint="eastAsia"/>
          <w:lang w:val="zh-CN"/>
        </w:rPr>
      </w:pPr>
      <w:r>
        <w:rPr>
          <w:rFonts w:hint="eastAsia"/>
          <w:lang w:val="zh-CN"/>
        </w:rPr>
        <w:t>2018年，召开市政府工作会议30次，会议主要研究部署以下工作：雄州公园人防工程和广场工程拖欠工人工资事宜；筹建南雄市科技馆；加快推进新建南雄市乌迳镇第二小学工程项目；金友公司在农信社债务问题；解决金鸿泰公司用地问题；部署全市开展旅游环境大整治专项行动；水西小岛整体规划布局；解决南雄市中小学（幼儿园）建设项目报建过程中消防设计审核和备案问题；学习《韶关市推行“马上办”服务模式工作方案》（韶府办明电〔2018〕97号）、《南雄市2018年务实改革工作要点意见》；政府投资建设项目选取“马上办”试点项目；江头镇沿江路1-6号（原江头镇粮管所）地块问题；解决南雄市公共服务中心工程、南雄市雄东路543号闲置房改造利用工程（刑事侦查大队、缉毒中队办公用房）建设项目报建过程中消防设计审核和备案问题；珠玑竹博园项目工程中政府垫付的国基建设集团有限公司工人工资偿还事项；原南雄卷烟厂相关资产移交问题；部署下一步中央环保督察反馈问题整改工作；南粤古驿道部分河堤护坡建设；传达学习贯彻中央、省和韶关市对政府债务有关工作的指示精神；部署全市隐性债务项目整改推进工作；解决卢秀芳1991年8月至1993年11月期间社会养老保险历史遗留问题；南雄中学改扩建项目（标段二：学生宿舍食堂改造维修）报建过程中消防设计审核和备案问题；加快学校后勤服务经营实体；规划拟建的水西大道路口地块征地问题；南雄市机关幼儿园总园改造工程项目消防设计审核和备案过程中存在的问题；原南雄卷烟厂相关资产移交过户问题；南雄市圣邦精细化工有限公司（以下简称圣邦公司）遗留化学品处置；深化国有企业改革整合重组；全市敬老院消防设施验收；全安镇章禾洞村委会章地村整村搬迁建设新农村；全市不动产统一登记工作；解决原勤丰村“三旧”改造项目遗留拆迁户的回迁安置问题；推进雄州廊桥建设，解决幸福街回栏门11号房屋征收补偿问题；梅岭矿区水泥用石灰岩矿采矿权设置；彤置富公司要求把水泥生产线技改工程建设施工中产生的废土废石再利用的问题。</w:t>
      </w:r>
    </w:p>
    <w:p w14:paraId="0AC0E8CA">
      <w:pPr>
        <w:pStyle w:val="4"/>
        <w:bidi w:val="0"/>
        <w:rPr>
          <w:rFonts w:hint="eastAsia"/>
          <w:lang w:val="zh-CN"/>
        </w:rPr>
      </w:pPr>
      <w:r>
        <w:rPr>
          <w:rFonts w:hint="eastAsia"/>
          <w:lang w:val="zh-CN"/>
        </w:rPr>
        <w:t>【市政府经济形势分析会】</w:t>
      </w:r>
    </w:p>
    <w:p w14:paraId="35BFFC90">
      <w:pPr>
        <w:bidi w:val="0"/>
        <w:rPr>
          <w:rFonts w:hint="eastAsia"/>
          <w:lang w:val="zh-CN"/>
        </w:rPr>
      </w:pPr>
      <w:r>
        <w:rPr>
          <w:rFonts w:hint="eastAsia"/>
          <w:lang w:val="zh-CN"/>
        </w:rPr>
        <w:t>2018年，南雄市政府召开的其他重要会议有：全市经济形势分析会，全年召开3次，分别为第一季度、上半年和第三季度，主要研究分析全市经济运行情况，部署下一阶段经济工作，查找经济发展中存在问题，提出解决办法，推动全市经济持续快速发展。经济形势分析会由市政府主持召开，市政府市长、副市长、市直副科以上单位一把手，各镇镇长（街道办事处主任）参加会议。会议一般由重要经济部门汇报分析上一季度全市经济运行情况，市长做全市经济形势分析。会议要求全市上下紧密围绕市委、市政府经济发展目标，强化责任、狠抓落实，全力推动经济社会跨越发展。</w:t>
      </w:r>
    </w:p>
    <w:p w14:paraId="657A6520">
      <w:pPr>
        <w:pStyle w:val="11"/>
        <w:bidi w:val="0"/>
        <w:rPr>
          <w:rFonts w:hint="eastAsia"/>
          <w:b/>
          <w:bCs/>
          <w:lang w:val="zh-CN"/>
        </w:rPr>
      </w:pPr>
      <w:r>
        <w:rPr>
          <w:rFonts w:hint="eastAsia"/>
          <w:b/>
          <w:bCs/>
          <w:lang w:val="zh-CN"/>
        </w:rPr>
        <w:t>附：2018年南雄市人民政府领导成员名单</w:t>
      </w:r>
    </w:p>
    <w:p w14:paraId="69D56678">
      <w:pPr>
        <w:pStyle w:val="11"/>
        <w:bidi w:val="0"/>
        <w:rPr>
          <w:rFonts w:hint="eastAsia"/>
          <w:lang w:val="zh-CN"/>
        </w:rPr>
      </w:pPr>
      <w:r>
        <w:rPr>
          <w:rFonts w:hint="eastAsia"/>
          <w:b/>
          <w:bCs/>
          <w:lang w:val="zh-CN"/>
        </w:rPr>
        <w:t>市</w:t>
      </w:r>
      <w:r>
        <w:rPr>
          <w:rFonts w:hint="eastAsia"/>
          <w:b/>
          <w:bCs/>
          <w:lang w:val="en-US" w:eastAsia="zh-CN"/>
        </w:rPr>
        <w:t xml:space="preserve">      </w:t>
      </w:r>
      <w:r>
        <w:rPr>
          <w:rFonts w:hint="eastAsia"/>
          <w:b/>
          <w:bCs/>
          <w:lang w:val="zh-CN"/>
        </w:rPr>
        <w:t>长：</w:t>
      </w:r>
      <w:r>
        <w:rPr>
          <w:rFonts w:hint="eastAsia"/>
          <w:lang w:val="zh-CN"/>
        </w:rPr>
        <w:t>林小龙</w:t>
      </w:r>
    </w:p>
    <w:p w14:paraId="355D2FFA">
      <w:pPr>
        <w:pStyle w:val="11"/>
        <w:bidi w:val="0"/>
        <w:rPr>
          <w:rFonts w:hint="eastAsia"/>
          <w:lang w:val="zh-CN"/>
        </w:rPr>
      </w:pPr>
      <w:r>
        <w:rPr>
          <w:rFonts w:hint="eastAsia"/>
          <w:b/>
          <w:bCs/>
          <w:lang w:val="zh-CN"/>
        </w:rPr>
        <w:t>常务副市长：</w:t>
      </w:r>
      <w:r>
        <w:rPr>
          <w:rFonts w:hint="eastAsia"/>
          <w:lang w:val="zh-CN"/>
        </w:rPr>
        <w:t>朱海兵</w:t>
      </w:r>
    </w:p>
    <w:p w14:paraId="7D16AB40">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市</w:t>
      </w:r>
      <w:r>
        <w:rPr>
          <w:rFonts w:hint="eastAsia"/>
          <w:b/>
          <w:bCs/>
          <w:lang w:val="en-US" w:eastAsia="zh-CN"/>
        </w:rPr>
        <w:t xml:space="preserve">  </w:t>
      </w:r>
      <w:r>
        <w:rPr>
          <w:rFonts w:hint="eastAsia"/>
          <w:b/>
          <w:bCs/>
          <w:lang w:val="zh-CN"/>
        </w:rPr>
        <w:t>长：</w:t>
      </w:r>
      <w:r>
        <w:rPr>
          <w:rFonts w:hint="eastAsia"/>
          <w:lang w:val="zh-CN"/>
        </w:rPr>
        <w:t>邵锦炯</w:t>
      </w:r>
      <w:r>
        <w:rPr>
          <w:rFonts w:hint="eastAsia"/>
          <w:lang w:val="en-US" w:eastAsia="zh-CN"/>
        </w:rPr>
        <w:t xml:space="preserve">   </w:t>
      </w:r>
      <w:r>
        <w:rPr>
          <w:rFonts w:hint="eastAsia"/>
          <w:lang w:val="zh-CN"/>
        </w:rPr>
        <w:t>马细妹</w:t>
      </w:r>
    </w:p>
    <w:p w14:paraId="032795CC">
      <w:pPr>
        <w:pStyle w:val="11"/>
        <w:bidi w:val="0"/>
        <w:ind w:leftChars="600"/>
        <w:rPr>
          <w:rFonts w:hint="eastAsia"/>
          <w:lang w:val="zh-CN"/>
        </w:rPr>
      </w:pPr>
      <w:r>
        <w:rPr>
          <w:rFonts w:hint="eastAsia"/>
          <w:lang w:val="zh-CN"/>
        </w:rPr>
        <w:t>曾东野</w:t>
      </w:r>
      <w:r>
        <w:rPr>
          <w:rFonts w:hint="eastAsia"/>
          <w:lang w:val="en-US" w:eastAsia="zh-CN"/>
        </w:rPr>
        <w:t xml:space="preserve">   </w:t>
      </w:r>
      <w:r>
        <w:rPr>
          <w:rFonts w:hint="eastAsia"/>
          <w:lang w:val="zh-CN"/>
        </w:rPr>
        <w:t>吴良彬</w:t>
      </w:r>
    </w:p>
    <w:p w14:paraId="145D6352">
      <w:pPr>
        <w:pStyle w:val="11"/>
        <w:bidi w:val="0"/>
        <w:ind w:leftChars="600"/>
        <w:rPr>
          <w:rFonts w:hint="eastAsia"/>
          <w:lang w:val="zh-CN"/>
        </w:rPr>
      </w:pPr>
      <w:r>
        <w:rPr>
          <w:rFonts w:hint="eastAsia"/>
          <w:lang w:val="zh-CN"/>
        </w:rPr>
        <w:t>王友华</w:t>
      </w:r>
    </w:p>
    <w:p w14:paraId="6F43171C">
      <w:pPr>
        <w:pStyle w:val="11"/>
        <w:bidi w:val="0"/>
        <w:ind w:leftChars="600"/>
        <w:rPr>
          <w:rFonts w:hint="eastAsia"/>
          <w:lang w:val="zh-CN"/>
        </w:rPr>
      </w:pPr>
      <w:r>
        <w:rPr>
          <w:rFonts w:hint="eastAsia"/>
          <w:lang w:val="zh-CN"/>
        </w:rPr>
        <w:t>焦晓松（2月任职）</w:t>
      </w:r>
    </w:p>
    <w:p w14:paraId="46F3650B">
      <w:pPr>
        <w:pStyle w:val="3"/>
        <w:bidi w:val="0"/>
        <w:rPr>
          <w:rFonts w:hint="eastAsia"/>
          <w:lang w:val="zh-CN"/>
        </w:rPr>
      </w:pPr>
      <w:r>
        <w:rPr>
          <w:rFonts w:hint="eastAsia"/>
          <w:lang w:val="zh-CN"/>
        </w:rPr>
        <w:t>政府办公室工作</w:t>
      </w:r>
    </w:p>
    <w:p w14:paraId="0BB02E79">
      <w:pPr>
        <w:pStyle w:val="4"/>
        <w:bidi w:val="0"/>
        <w:rPr>
          <w:rFonts w:hint="eastAsia"/>
          <w:lang w:val="zh-CN"/>
        </w:rPr>
      </w:pPr>
      <w:r>
        <w:rPr>
          <w:rFonts w:hint="eastAsia"/>
          <w:lang w:val="zh-CN"/>
        </w:rPr>
        <w:t>【概况】</w:t>
      </w:r>
    </w:p>
    <w:p w14:paraId="626181E2">
      <w:pPr>
        <w:bidi w:val="0"/>
        <w:rPr>
          <w:rFonts w:hint="eastAsia"/>
          <w:lang w:val="zh-CN"/>
        </w:rPr>
      </w:pPr>
      <w:r>
        <w:rPr>
          <w:rFonts w:hint="eastAsia"/>
          <w:lang w:val="zh-CN"/>
        </w:rPr>
        <w:t>南雄市政府办公室，正科级行政单位，是市政府的综合办事机构，主要负责贯彻落实上级路线、方针、政策，检查督促政府决议、决定、重要工作部署，草拟、审核、处理、发布文电，组织协调政府部门关系，调查研究为领导提供决策参考，组织办理人大议案、建议及政协提案和行政复议，行政事务“三服务”（服务领导、服务基层、服务群众），以及会议会务、应急人防、协调金融等工作。内设股室：人秘股、调研股、督办室、综合协调股、建议提案股、应急办、人防办、金融办。公务员18人，工勤人员3人。</w:t>
      </w:r>
    </w:p>
    <w:p w14:paraId="36AD0AE0">
      <w:pPr>
        <w:pStyle w:val="4"/>
        <w:bidi w:val="0"/>
        <w:rPr>
          <w:rFonts w:hint="eastAsia"/>
          <w:lang w:val="zh-CN"/>
        </w:rPr>
      </w:pPr>
      <w:r>
        <w:rPr>
          <w:rFonts w:hint="eastAsia"/>
          <w:lang w:val="zh-CN"/>
        </w:rPr>
        <w:t>【以文辅政】</w:t>
      </w:r>
    </w:p>
    <w:p w14:paraId="2ABCC13F">
      <w:pPr>
        <w:bidi w:val="0"/>
        <w:rPr>
          <w:rFonts w:hint="eastAsia"/>
          <w:lang w:val="zh-CN"/>
        </w:rPr>
      </w:pPr>
      <w:r>
        <w:rPr>
          <w:rFonts w:hint="eastAsia"/>
          <w:lang w:val="zh-CN"/>
        </w:rPr>
        <w:t>认真抓好办文办会、上传下达工作，切实提高公文质量和办理效率。组织市政府常务会议、党组会议和市长办公会议等各类会议63次，形成市政府常务会议、党组会议等各类会议纪要63期。深入基层开展调研，形成补齐发展短板实现振兴崛起、南康家具产业发展情况等专题调研报告8篇。积极做好领导交办任务，完成政府工作报告、季度工作总结、各类汇报材料等综合性材料的起草工作。强化信息服务功能，及时传达南雄声音，编发内刊《政府工作》9期，向省政府和韶关市政府报送经验类、建议类、调研类信息累计60余条，在《韶关政务信息专报》《韶府信息》刊登10条，采用量位居韶关各县（市、区）前三。</w:t>
      </w:r>
    </w:p>
    <w:p w14:paraId="3FA11E67">
      <w:pPr>
        <w:pStyle w:val="4"/>
        <w:bidi w:val="0"/>
        <w:rPr>
          <w:rFonts w:hint="eastAsia"/>
          <w:lang w:val="zh-CN"/>
        </w:rPr>
      </w:pPr>
      <w:r>
        <w:rPr>
          <w:rFonts w:hint="eastAsia"/>
          <w:lang w:val="zh-CN"/>
        </w:rPr>
        <w:t>【协调事务】</w:t>
      </w:r>
    </w:p>
    <w:p w14:paraId="5F58CA93">
      <w:pPr>
        <w:bidi w:val="0"/>
        <w:rPr>
          <w:rFonts w:hint="eastAsia"/>
          <w:lang w:val="zh-CN"/>
        </w:rPr>
      </w:pPr>
      <w:r>
        <w:rPr>
          <w:rFonts w:hint="eastAsia"/>
          <w:lang w:val="zh-CN"/>
        </w:rPr>
        <w:t>积极推进幸福家园（原水泥厂宿舍）试点建设，提升基层共建共治共享水平。积极推进人防工程建设，依法依规完成人防地下室工程报建审批10宗，新增竣工人防工程4宗，在江头镇青山嶂启动人防疏散基地建设，在万年大酒店新增一台电声防空警报器，有效提高人防水平。强化金融风险防控。深入开展防范处置非法集资和金融领域扫黑除恶专项斗争工作，稳步推进南雄联社改制，完善中小微企业信贷风险补偿基金运营机制，提高金融服务水平。切实做好外事侨务工作。全年接待华侨4批96人，着力融合侨务资源；认真做好因公临时出访团组计划，审核报批26人38批次。</w:t>
      </w:r>
    </w:p>
    <w:p w14:paraId="0D206198">
      <w:pPr>
        <w:pStyle w:val="4"/>
        <w:bidi w:val="0"/>
        <w:rPr>
          <w:rFonts w:hint="eastAsia"/>
          <w:lang w:val="zh-CN"/>
        </w:rPr>
      </w:pPr>
      <w:r>
        <w:rPr>
          <w:rFonts w:hint="eastAsia"/>
          <w:lang w:val="zh-CN"/>
        </w:rPr>
        <w:t>【督办政务】</w:t>
      </w:r>
    </w:p>
    <w:p w14:paraId="1FCDDA64">
      <w:pPr>
        <w:bidi w:val="0"/>
        <w:rPr>
          <w:rFonts w:hint="eastAsia"/>
          <w:lang w:val="zh-CN"/>
        </w:rPr>
      </w:pPr>
      <w:r>
        <w:rPr>
          <w:rFonts w:hint="eastAsia"/>
          <w:lang w:val="zh-CN"/>
        </w:rPr>
        <w:t>对十件民生实事、重点工作、项目进行联合督查督办3次，对市政府领导批示件、韶关市委市政府转办件进行督查督办38次，开展专项督查5次，联合开展会议纪律督查13次，发出各类督查通报、报告25期，有效地推动各项工作落实。</w:t>
      </w:r>
    </w:p>
    <w:p w14:paraId="34979D2A">
      <w:pPr>
        <w:pStyle w:val="4"/>
        <w:bidi w:val="0"/>
        <w:rPr>
          <w:rFonts w:hint="eastAsia"/>
          <w:lang w:val="zh-CN"/>
        </w:rPr>
      </w:pPr>
      <w:r>
        <w:rPr>
          <w:rFonts w:hint="eastAsia"/>
          <w:lang w:val="zh-CN"/>
        </w:rPr>
        <w:t>【应急管理】</w:t>
      </w:r>
    </w:p>
    <w:p w14:paraId="62474EAC">
      <w:pPr>
        <w:bidi w:val="0"/>
        <w:rPr>
          <w:rFonts w:hint="eastAsia"/>
          <w:lang w:val="zh-CN"/>
        </w:rPr>
      </w:pPr>
      <w:r>
        <w:rPr>
          <w:rFonts w:hint="eastAsia"/>
          <w:lang w:val="zh-CN"/>
        </w:rPr>
        <w:t>完善落实应急管理工作方案和应急预案，先后进行建筑工程事故、危险化学物品泄漏和防空疏散等各种应急演练，不断提高应急救援能力。扎实做好突发事件的信息收集、整理和报送工作，全年收集信息60多件，报送《突发事件信息专报》57期。</w:t>
      </w:r>
    </w:p>
    <w:p w14:paraId="2C53CC31">
      <w:pPr>
        <w:pStyle w:val="4"/>
        <w:bidi w:val="0"/>
        <w:rPr>
          <w:rFonts w:hint="eastAsia"/>
          <w:lang w:val="zh-CN"/>
        </w:rPr>
      </w:pPr>
      <w:r>
        <w:rPr>
          <w:rFonts w:hint="eastAsia"/>
          <w:lang w:val="zh-CN"/>
        </w:rPr>
        <w:t>【来信来访】</w:t>
      </w:r>
    </w:p>
    <w:p w14:paraId="016DD336">
      <w:pPr>
        <w:bidi w:val="0"/>
        <w:rPr>
          <w:rFonts w:hint="eastAsia"/>
          <w:lang w:val="zh-CN"/>
        </w:rPr>
      </w:pPr>
      <w:r>
        <w:rPr>
          <w:rFonts w:hint="eastAsia"/>
          <w:lang w:val="zh-CN"/>
        </w:rPr>
        <w:t>认真做好群众来信来访的转办、接待工作，收到转办来信3件、民声热线26件，按时办结率100%。</w:t>
      </w:r>
    </w:p>
    <w:p w14:paraId="227EFB10">
      <w:pPr>
        <w:pStyle w:val="4"/>
        <w:bidi w:val="0"/>
        <w:rPr>
          <w:rFonts w:hint="eastAsia"/>
          <w:lang w:val="zh-CN"/>
        </w:rPr>
      </w:pPr>
      <w:r>
        <w:rPr>
          <w:rFonts w:hint="eastAsia"/>
          <w:lang w:val="zh-CN"/>
        </w:rPr>
        <w:t>【接受监督】</w:t>
      </w:r>
    </w:p>
    <w:p w14:paraId="0256C79C">
      <w:pPr>
        <w:bidi w:val="0"/>
        <w:rPr>
          <w:rFonts w:hint="eastAsia"/>
          <w:lang w:val="zh-CN"/>
        </w:rPr>
      </w:pPr>
      <w:r>
        <w:rPr>
          <w:rFonts w:hint="eastAsia"/>
          <w:lang w:val="zh-CN"/>
        </w:rPr>
        <w:t>圆满完成13件人大议案、36个建议的办理工作，按时办复率、与代表见面率、代表满意率均达100%。</w:t>
      </w:r>
    </w:p>
    <w:p w14:paraId="7B0F7B6B">
      <w:pPr>
        <w:pStyle w:val="4"/>
        <w:bidi w:val="0"/>
        <w:rPr>
          <w:rFonts w:hint="eastAsia"/>
          <w:lang w:val="zh-CN"/>
        </w:rPr>
      </w:pPr>
      <w:r>
        <w:rPr>
          <w:rFonts w:hint="eastAsia"/>
          <w:lang w:val="zh-CN"/>
        </w:rPr>
        <w:t>【依法行政】</w:t>
      </w:r>
    </w:p>
    <w:p w14:paraId="4D0A8D7A">
      <w:pPr>
        <w:bidi w:val="0"/>
        <w:rPr>
          <w:rFonts w:hint="eastAsia"/>
          <w:lang w:val="zh-CN"/>
        </w:rPr>
      </w:pPr>
      <w:r>
        <w:rPr>
          <w:rFonts w:hint="eastAsia"/>
          <w:lang w:val="zh-CN"/>
        </w:rPr>
        <w:t>做好规范性文件清理工作。清理市政府及市政府办公室颁发的文件36件，其中保留25件、废止9件、拟修改的2件。抓实依法行政工作。审核拟以市政府或政府办名义发布的文件53件次，提请韶关市政府和南雄市人大常委会备案的规范性文件7件；按期审结行政复议案件申请6宗，参与市政府行政诉讼应诉6宗，民事诉讼1宗。审核政府或政府部门参与签订的招商引资等合同54件，其中提出修改意见45件。</w:t>
      </w:r>
    </w:p>
    <w:p w14:paraId="0AD58A6C">
      <w:pPr>
        <w:bidi w:val="0"/>
        <w:jc w:val="right"/>
        <w:rPr>
          <w:rFonts w:hint="eastAsia"/>
          <w:b/>
          <w:bCs/>
          <w:lang w:val="zh-CN"/>
        </w:rPr>
      </w:pPr>
      <w:r>
        <w:rPr>
          <w:rFonts w:hint="eastAsia"/>
          <w:b/>
          <w:bCs/>
          <w:lang w:val="zh-CN"/>
        </w:rPr>
        <w:t>（姚必月）</w:t>
      </w:r>
    </w:p>
    <w:p w14:paraId="27728D10">
      <w:pPr>
        <w:pStyle w:val="11"/>
        <w:bidi w:val="0"/>
        <w:rPr>
          <w:rFonts w:hint="eastAsia"/>
          <w:b/>
          <w:bCs/>
          <w:lang w:val="zh-CN"/>
        </w:rPr>
      </w:pPr>
      <w:r>
        <w:rPr>
          <w:rFonts w:hint="eastAsia"/>
          <w:b/>
          <w:bCs/>
          <w:lang w:val="zh-CN"/>
        </w:rPr>
        <w:t>附：2018年市政府办领导班子成员名单</w:t>
      </w:r>
    </w:p>
    <w:p w14:paraId="56D5596A">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：卢锦华</w:t>
      </w:r>
    </w:p>
    <w:p w14:paraId="6D63E6D1">
      <w:pPr>
        <w:pStyle w:val="11"/>
        <w:bidi w:val="0"/>
        <w:rPr>
          <w:rFonts w:hint="eastAsia"/>
          <w:lang w:val="zh-CN"/>
        </w:rPr>
      </w:pPr>
      <w:r>
        <w:rPr>
          <w:rFonts w:hint="eastAsia"/>
          <w:b/>
          <w:bCs/>
          <w:lang w:val="zh-CN"/>
        </w:rPr>
        <w:t>人防办主任：</w:t>
      </w:r>
      <w:r>
        <w:rPr>
          <w:rFonts w:hint="eastAsia"/>
          <w:lang w:val="zh-CN"/>
        </w:rPr>
        <w:t>刘光彬</w:t>
      </w:r>
    </w:p>
    <w:p w14:paraId="6314420B">
      <w:pPr>
        <w:pStyle w:val="11"/>
        <w:bidi w:val="0"/>
        <w:rPr>
          <w:rFonts w:hint="eastAsia"/>
          <w:b/>
          <w:bCs/>
          <w:lang w:val="zh-CN"/>
        </w:rPr>
      </w:pPr>
      <w:r>
        <w:rPr>
          <w:rFonts w:hint="eastAsia"/>
          <w:b/>
          <w:bCs/>
          <w:lang w:val="zh-CN"/>
        </w:rPr>
        <w:t>副</w:t>
      </w:r>
      <w:r>
        <w:rPr>
          <w:rFonts w:hint="eastAsia"/>
          <w:b/>
          <w:bCs/>
          <w:lang w:val="en-US" w:eastAsia="zh-CN"/>
        </w:rPr>
        <w:t xml:space="preserve">  </w:t>
      </w:r>
      <w:r>
        <w:rPr>
          <w:rFonts w:hint="eastAsia"/>
          <w:b/>
          <w:bCs/>
          <w:lang w:val="zh-CN"/>
        </w:rPr>
        <w:t>主</w:t>
      </w:r>
      <w:r>
        <w:rPr>
          <w:rFonts w:hint="eastAsia"/>
          <w:b/>
          <w:bCs/>
          <w:lang w:val="en-US" w:eastAsia="zh-CN"/>
        </w:rPr>
        <w:t xml:space="preserve">  </w:t>
      </w:r>
      <w:r>
        <w:rPr>
          <w:rFonts w:hint="eastAsia"/>
          <w:b/>
          <w:bCs/>
          <w:lang w:val="zh-CN"/>
        </w:rPr>
        <w:t>任：</w:t>
      </w:r>
    </w:p>
    <w:p w14:paraId="0C83811D">
      <w:pPr>
        <w:pStyle w:val="11"/>
        <w:bidi w:val="0"/>
        <w:ind w:leftChars="300"/>
        <w:rPr>
          <w:rFonts w:hint="eastAsia"/>
          <w:lang w:val="zh-CN"/>
        </w:rPr>
      </w:pPr>
      <w:r>
        <w:rPr>
          <w:rFonts w:hint="eastAsia"/>
          <w:lang w:val="zh-CN"/>
        </w:rPr>
        <w:t>徐学辉（任至2月）</w:t>
      </w:r>
    </w:p>
    <w:p w14:paraId="6E45D9AD">
      <w:pPr>
        <w:pStyle w:val="11"/>
        <w:bidi w:val="0"/>
        <w:ind w:leftChars="300"/>
        <w:rPr>
          <w:rFonts w:hint="eastAsia"/>
          <w:lang w:val="zh-CN"/>
        </w:rPr>
      </w:pPr>
      <w:r>
        <w:rPr>
          <w:rFonts w:hint="eastAsia"/>
          <w:lang w:val="zh-CN"/>
        </w:rPr>
        <w:t>罗青洋（任至2月）</w:t>
      </w:r>
    </w:p>
    <w:p w14:paraId="3E2CC600">
      <w:pPr>
        <w:pStyle w:val="11"/>
        <w:bidi w:val="0"/>
        <w:ind w:leftChars="300"/>
        <w:rPr>
          <w:rFonts w:hint="eastAsia"/>
          <w:lang w:val="zh-CN"/>
        </w:rPr>
      </w:pPr>
      <w:r>
        <w:rPr>
          <w:rFonts w:hint="eastAsia"/>
          <w:lang w:val="zh-CN"/>
        </w:rPr>
        <w:t>谭利华</w:t>
      </w:r>
      <w:r>
        <w:rPr>
          <w:rFonts w:hint="eastAsia"/>
          <w:lang w:val="en-US" w:eastAsia="zh-CN"/>
        </w:rPr>
        <w:t xml:space="preserve">   </w:t>
      </w:r>
      <w:r>
        <w:rPr>
          <w:rFonts w:hint="eastAsia"/>
          <w:lang w:val="zh-CN"/>
        </w:rPr>
        <w:t>万晓光</w:t>
      </w:r>
    </w:p>
    <w:p w14:paraId="0E20AC96">
      <w:pPr>
        <w:pStyle w:val="11"/>
        <w:bidi w:val="0"/>
        <w:rPr>
          <w:rFonts w:hint="eastAsia"/>
          <w:lang w:val="zh-CN"/>
        </w:rPr>
      </w:pPr>
      <w:r>
        <w:rPr>
          <w:rFonts w:hint="eastAsia"/>
          <w:b/>
          <w:bCs/>
          <w:lang w:val="zh-CN"/>
        </w:rPr>
        <w:t>督办室主任：</w:t>
      </w:r>
      <w:r>
        <w:rPr>
          <w:rFonts w:hint="eastAsia"/>
          <w:lang w:val="zh-CN"/>
        </w:rPr>
        <w:t>林</w:t>
      </w:r>
      <w:r>
        <w:rPr>
          <w:rFonts w:hint="eastAsia"/>
          <w:lang w:val="en-US" w:eastAsia="zh-CN"/>
        </w:rPr>
        <w:t xml:space="preserve">  </w:t>
      </w:r>
      <w:r>
        <w:rPr>
          <w:rFonts w:hint="eastAsia"/>
          <w:lang w:val="zh-CN"/>
        </w:rPr>
        <w:t>斌</w:t>
      </w:r>
    </w:p>
    <w:p w14:paraId="775246D6">
      <w:pPr>
        <w:pStyle w:val="11"/>
        <w:bidi w:val="0"/>
        <w:rPr>
          <w:rFonts w:hint="eastAsia"/>
          <w:b/>
          <w:bCs/>
          <w:lang w:val="zh-CN"/>
        </w:rPr>
      </w:pPr>
      <w:r>
        <w:rPr>
          <w:rFonts w:hint="eastAsia"/>
          <w:b/>
          <w:bCs/>
          <w:lang w:val="zh-CN"/>
        </w:rPr>
        <w:t>应急办主任：</w:t>
      </w:r>
    </w:p>
    <w:p w14:paraId="6D264088">
      <w:pPr>
        <w:pStyle w:val="11"/>
        <w:bidi w:val="0"/>
        <w:ind w:leftChars="300"/>
        <w:rPr>
          <w:rFonts w:hint="eastAsia"/>
          <w:lang w:val="zh-CN"/>
        </w:rPr>
      </w:pPr>
      <w:r>
        <w:rPr>
          <w:rFonts w:hint="eastAsia"/>
          <w:lang w:val="zh-CN"/>
        </w:rPr>
        <w:t>刘海标（任至2月）</w:t>
      </w:r>
    </w:p>
    <w:p w14:paraId="2F8D7373">
      <w:pPr>
        <w:pStyle w:val="11"/>
        <w:bidi w:val="0"/>
        <w:ind w:leftChars="300"/>
        <w:rPr>
          <w:rFonts w:hint="eastAsia"/>
          <w:lang w:val="zh-CN"/>
        </w:rPr>
      </w:pPr>
      <w:r>
        <w:rPr>
          <w:rFonts w:hint="eastAsia"/>
          <w:lang w:val="zh-CN"/>
        </w:rPr>
        <w:t>曾繁荣（2月任职）</w:t>
      </w:r>
    </w:p>
    <w:p w14:paraId="6571A247">
      <w:pPr>
        <w:pStyle w:val="3"/>
        <w:bidi w:val="0"/>
        <w:rPr>
          <w:rFonts w:hint="eastAsia"/>
          <w:lang w:val="zh-CN"/>
        </w:rPr>
      </w:pPr>
      <w:r>
        <w:rPr>
          <w:rFonts w:hint="eastAsia"/>
          <w:lang w:val="zh-CN"/>
        </w:rPr>
        <w:t>机关事务</w:t>
      </w:r>
    </w:p>
    <w:p w14:paraId="7E622455">
      <w:pPr>
        <w:pStyle w:val="4"/>
        <w:bidi w:val="0"/>
        <w:rPr>
          <w:rFonts w:hint="eastAsia"/>
          <w:lang w:val="zh-CN"/>
        </w:rPr>
      </w:pPr>
      <w:r>
        <w:rPr>
          <w:rFonts w:hint="eastAsia"/>
          <w:lang w:val="zh-CN"/>
        </w:rPr>
        <w:t>【概况】</w:t>
      </w:r>
    </w:p>
    <w:p w14:paraId="590791AB">
      <w:pPr>
        <w:bidi w:val="0"/>
        <w:rPr>
          <w:rFonts w:hint="eastAsia"/>
          <w:lang w:val="zh-CN"/>
        </w:rPr>
      </w:pPr>
      <w:r>
        <w:rPr>
          <w:rFonts w:hint="eastAsia"/>
          <w:lang w:val="zh-CN"/>
        </w:rPr>
        <w:t>南雄市机关事务管理局是市政府直属正科级参照公务员管理事业单位。内设5个股级机构：人秘股、财务股、物业管理股、安全保卫股、接待事务股，行政编制9人，其中领导职数4名（一正三副），内设机构正股级领导职数5名。直属单位有：市人民政府汽车队，事业编制6人；市机关生活服务所，事业编制31人。</w:t>
      </w:r>
    </w:p>
    <w:p w14:paraId="6D3BC2D1">
      <w:pPr>
        <w:pStyle w:val="4"/>
        <w:bidi w:val="0"/>
        <w:rPr>
          <w:rFonts w:hint="eastAsia"/>
          <w:lang w:val="zh-CN"/>
        </w:rPr>
      </w:pPr>
      <w:r>
        <w:rPr>
          <w:rFonts w:hint="eastAsia"/>
          <w:lang w:val="zh-CN"/>
        </w:rPr>
        <w:t>【后勤保障】</w:t>
      </w:r>
    </w:p>
    <w:p w14:paraId="39E1777C">
      <w:pPr>
        <w:bidi w:val="0"/>
        <w:rPr>
          <w:rFonts w:hint="eastAsia"/>
          <w:lang w:val="zh-CN"/>
        </w:rPr>
      </w:pPr>
      <w:r>
        <w:rPr>
          <w:rFonts w:hint="eastAsia"/>
          <w:lang w:val="zh-CN"/>
        </w:rPr>
        <w:t>2018年布置市委全会、市人大会议、市政府会议、市政协会议、市纪委全会等大小会议356场，参与南雄第五届姓氏文化旅游节、全省省定贫困村抓党建促扶贫工作现场会、黎氏宗亲会、全省老年人健康运动会等大型活动会务工作，组织协助2018年南雄外出乡贤经贸推介会的会场布置工作。车队全体驾驶员签订《公务用车工作责任书》，严格公车管理，制定每月车辆检查日，设置安全监督检查员，做好司机安全教育工作。全年车队安全文明行驶八十万千米，派出公务用车1万多次，保证市四套班子领导和市重大活动的公务用车，提高车队的整体服务水准，提升车队服务形象和声誉。政府大院保安工作由市保安公司派出保安人员负责，要求加强保安培训和日常管理，利用十二个高清摄像探头，加强政府大院的空间监控，对大院内进行安全大检查，加大夜间巡逻力度，有效地防止安全事故的发生，维护政府大院工作居住安全，参与劝导、处理到市政府上访事件，十人以上有13起200多人次，十人以下有80多起300多人次，营造市委、市政府稳定、和谐的工作环境，维护政府大院内群众生活的正常秩序。认真做好创建卫生城市的相关清洁卫生工作，每周进行一次卫生大扫除。市政府大院的卫生清洁工作承包给专业的清洁卫生公司，每天在市委、市政府机关人员上班前全面搞好政府大院、市委市政府大楼的清洁卫生，重点对大院内容易积水生蚊的地方进行清扫，对楼梯通道、天台的堆积杂物进行清理，坚持每月对办公室进行烟熏，对绿化带、草坪、沟渠进行喷洒消毒药，为市委、市人大、市政府、市政协等机关创建一个干净、卫生的工作环境。确定机关后勤服务和公务接待的范围及标准，公务接待实行提供公函才接待制度，厉行节约，反对浪费，做到“三不三上”：不喝酒、不吃高档菜肴、不搞超量点餐；上普通菜肴、上安全食品、上南雄特色菜。公务接待费用与去年同期对比下降13%。完成对市委大楼、市政府大楼、信访局、市人大、市政协等机关单位办公大楼的维修工作，确保各办公大楼的电力、供水、消防、空调等系统设备安全运行无事故，实行空调、消防、监控、安保、水电设备等维修项目优质服务。2018年改造市委、市政府大楼的卫生间，使整个市政府大院干净整洁，为市委、市政府创建一个干净优美的工作环境。南雄大会堂全面升级改造工程全面完成，调整市政府大楼相关部门的办公用房。</w:t>
      </w:r>
    </w:p>
    <w:p w14:paraId="271A80F4">
      <w:pPr>
        <w:pStyle w:val="4"/>
        <w:bidi w:val="0"/>
        <w:rPr>
          <w:rFonts w:hint="eastAsia"/>
          <w:lang w:val="zh-CN"/>
        </w:rPr>
      </w:pPr>
      <w:r>
        <w:rPr>
          <w:rFonts w:hint="eastAsia"/>
          <w:lang w:val="zh-CN"/>
        </w:rPr>
        <w:t>【公共节能】</w:t>
      </w:r>
    </w:p>
    <w:p w14:paraId="3199F032">
      <w:pPr>
        <w:bidi w:val="0"/>
        <w:rPr>
          <w:rFonts w:hint="eastAsia"/>
          <w:lang w:val="zh-CN"/>
        </w:rPr>
      </w:pPr>
      <w:r>
        <w:rPr>
          <w:rFonts w:hint="eastAsia"/>
          <w:lang w:val="zh-CN"/>
        </w:rPr>
        <w:t>加强全市公共机构节能长效机制建设，强化对市公共机构节能情况的监督检查，促进公共机构单位建筑耗能和人均耗能支出不断降低目标实现，对公共机构节能工作做好节能宣传周活动，在公共区域张贴并向部分单位发放“绿色办公、低碳生活”宣传画。掌握能耗数据，完成全市268个公共机构2017年度公共机构能耗数据统计汇总和上报工作。南雄中学创建全国公共节能示范单位通过国家能源局的达标验收，成为南雄市第一家全国节能示范单位。启动南雄市第一中学申报创建全国公共节能示范单位工作。</w:t>
      </w:r>
    </w:p>
    <w:p w14:paraId="44EE8590">
      <w:pPr>
        <w:bidi w:val="0"/>
        <w:jc w:val="right"/>
        <w:rPr>
          <w:rFonts w:hint="eastAsia"/>
          <w:b/>
          <w:bCs/>
          <w:lang w:val="zh-CN"/>
        </w:rPr>
      </w:pPr>
      <w:r>
        <w:rPr>
          <w:rFonts w:hint="eastAsia"/>
          <w:b/>
          <w:bCs/>
          <w:lang w:val="zh-CN"/>
        </w:rPr>
        <w:t>（刘宏峰）</w:t>
      </w:r>
    </w:p>
    <w:p w14:paraId="1FEFF375">
      <w:pPr>
        <w:pStyle w:val="11"/>
        <w:bidi w:val="0"/>
        <w:rPr>
          <w:rFonts w:hint="eastAsia"/>
          <w:b/>
          <w:bCs/>
          <w:lang w:val="zh-CN"/>
        </w:rPr>
      </w:pPr>
      <w:r>
        <w:rPr>
          <w:rFonts w:hint="eastAsia"/>
          <w:b/>
          <w:bCs/>
          <w:lang w:val="zh-CN"/>
        </w:rPr>
        <w:t>附：2018年市机关事务局领导班子成员名单</w:t>
      </w:r>
    </w:p>
    <w:p w14:paraId="772B58C9">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邓昌忠</w:t>
      </w:r>
    </w:p>
    <w:p w14:paraId="3B12BA6B">
      <w:pPr>
        <w:pStyle w:val="11"/>
        <w:bidi w:val="0"/>
        <w:rPr>
          <w:rFonts w:hint="eastAsia"/>
          <w:lang w:val="zh-CN"/>
        </w:rPr>
      </w:pPr>
      <w:r>
        <w:rPr>
          <w:rFonts w:hint="eastAsia"/>
          <w:b/>
          <w:bCs/>
          <w:lang w:val="zh-CN"/>
        </w:rPr>
        <w:t>副局长：</w:t>
      </w:r>
      <w:r>
        <w:rPr>
          <w:rFonts w:hint="eastAsia"/>
          <w:lang w:val="zh-CN"/>
        </w:rPr>
        <w:t>陈川明</w:t>
      </w:r>
      <w:r>
        <w:rPr>
          <w:rFonts w:hint="eastAsia"/>
          <w:lang w:val="en-US" w:eastAsia="zh-CN"/>
        </w:rPr>
        <w:t xml:space="preserve">   </w:t>
      </w:r>
      <w:r>
        <w:rPr>
          <w:rFonts w:hint="eastAsia"/>
          <w:lang w:val="zh-CN"/>
        </w:rPr>
        <w:t>龚永胜</w:t>
      </w:r>
    </w:p>
    <w:p w14:paraId="1277EA83">
      <w:pPr>
        <w:pStyle w:val="3"/>
        <w:bidi w:val="0"/>
        <w:rPr>
          <w:rFonts w:hint="eastAsia"/>
          <w:lang w:val="zh-CN"/>
        </w:rPr>
      </w:pPr>
      <w:r>
        <w:rPr>
          <w:rFonts w:hint="eastAsia"/>
          <w:lang w:val="zh-CN"/>
        </w:rPr>
        <w:t>行政服务</w:t>
      </w:r>
    </w:p>
    <w:p w14:paraId="609524A5">
      <w:pPr>
        <w:pStyle w:val="4"/>
        <w:bidi w:val="0"/>
        <w:rPr>
          <w:rFonts w:hint="eastAsia"/>
          <w:lang w:val="zh-CN"/>
        </w:rPr>
      </w:pPr>
      <w:r>
        <w:rPr>
          <w:rFonts w:hint="eastAsia"/>
          <w:lang w:val="zh-CN"/>
        </w:rPr>
        <w:t>【概况】</w:t>
      </w:r>
    </w:p>
    <w:p w14:paraId="06EED3C4">
      <w:pPr>
        <w:bidi w:val="0"/>
        <w:rPr>
          <w:rFonts w:hint="eastAsia"/>
          <w:lang w:val="zh-CN"/>
        </w:rPr>
      </w:pPr>
      <w:r>
        <w:rPr>
          <w:rFonts w:hint="eastAsia"/>
          <w:lang w:val="zh-CN"/>
        </w:rPr>
        <w:t>南雄市行政服务中心为南雄市人民政府直属的参公管理公益一类事业单位，正科级。内设办公室、督查股、协调股和热线股。2018年，中心大力推行“互联网+政务服务”，推动行政许可和服务事项进驻实体综合服务窗口和网上统一申办受理平台，推行“马上办”服务，提高办事效率，努力实现政务服务事项就近能办、同城通办、异地可办，减少群众跑动次数，打通服务群众“最后一千米”。全年收件6万多，比去年增长114.88%。2018年度南雄市行政服务中心党支部被市委评为“先进基层党支部”。</w:t>
      </w:r>
    </w:p>
    <w:p w14:paraId="50276741">
      <w:pPr>
        <w:pStyle w:val="4"/>
        <w:bidi w:val="0"/>
        <w:rPr>
          <w:rFonts w:hint="eastAsia"/>
          <w:lang w:val="zh-CN"/>
        </w:rPr>
      </w:pPr>
      <w:r>
        <w:rPr>
          <w:rFonts w:hint="eastAsia"/>
          <w:lang w:val="zh-CN"/>
        </w:rPr>
        <w:t>【政务服务创新】</w:t>
      </w:r>
    </w:p>
    <w:p w14:paraId="3B54DED9">
      <w:pPr>
        <w:bidi w:val="0"/>
        <w:rPr>
          <w:rFonts w:hint="eastAsia"/>
          <w:lang w:val="zh-CN"/>
        </w:rPr>
      </w:pPr>
      <w:r>
        <w:rPr>
          <w:rFonts w:hint="eastAsia"/>
          <w:b/>
          <w:bCs/>
          <w:lang w:val="zh-CN"/>
        </w:rPr>
        <w:t>服务事项规范化</w:t>
      </w:r>
      <w:r>
        <w:rPr>
          <w:rFonts w:hint="eastAsia"/>
          <w:b/>
          <w:bCs/>
          <w:lang w:val="en-US" w:eastAsia="zh-CN"/>
        </w:rPr>
        <w:t xml:space="preserve">   </w:t>
      </w:r>
      <w:r>
        <w:rPr>
          <w:rFonts w:hint="eastAsia"/>
          <w:lang w:val="zh-CN"/>
        </w:rPr>
        <w:t>完成全市34个科局1628项许可和服务事项标准化建设，细化规范网上政务服务事项办事指南，确保办事指南相关要素内容准确，并与线下保持一致。全面梳理完成镇级可办事项109个和村级可办事项50个，为推进镇、村“一门式一网式”政务服务工作奠定基础。全市18个镇公共服务中心分别设立3—5个综合窗口，每个试点村公共服务站设立1个综合窗口，全面推行“前台收件，后台分类审批，综合窗口出件”的工作模式。完善镇、村公共服务平台硬件设施。通过统一采购的方式，采购高拍仪124台，彩色打印机98台，每个镇统一配备2台高拍仪和1台彩色打印机，每个试点村配备1台高拍仪和1台彩色打印机。完成市、镇、村三级信息平台建设。通过分批培训和组织工作人员下镇、村指导的方式，全面完成18个镇，232个村的“一门式一网式”政务服务系统配置工作，8月底18个镇“一门式一网式”政务服务系统上线试运行。</w:t>
      </w:r>
    </w:p>
    <w:p w14:paraId="57C15906">
      <w:pPr>
        <w:bidi w:val="0"/>
        <w:rPr>
          <w:rFonts w:hint="eastAsia"/>
          <w:lang w:val="zh-CN"/>
        </w:rPr>
      </w:pPr>
      <w:r>
        <w:rPr>
          <w:rFonts w:hint="eastAsia"/>
          <w:b/>
          <w:bCs/>
          <w:lang w:val="zh-CN"/>
        </w:rPr>
        <w:t>窗口设置创新</w:t>
      </w:r>
      <w:r>
        <w:rPr>
          <w:rFonts w:hint="eastAsia"/>
          <w:b/>
          <w:bCs/>
          <w:lang w:val="en-US" w:eastAsia="zh-CN"/>
        </w:rPr>
        <w:t xml:space="preserve">   </w:t>
      </w:r>
      <w:r>
        <w:rPr>
          <w:rFonts w:hint="eastAsia"/>
          <w:lang w:val="zh-CN"/>
        </w:rPr>
        <w:t>改变传统的专窗办理模式，设置综合窗口11个，其中8个为综合受理窗，1个为企业投资服务综合窗，1个为缴费出件窗。过去窗口受理人员较为复杂，由各部门派驻，既有公务员、事业编制人员，也有临聘人员，难以统一管理，为此，经市委、市政府同意，招聘综合窗口工作人员16名，经培训考核合格后上岗，由行政服务中心统一管理，实行AB岗管理模式，确保每个窗口上班期间有工作人员。制定窗口实施细则（试行），严格实行“前台受理、后台分类审批、统一窗口出件”的服务模式，实现“一窗受理、受审分离”。大厅实行统一叫号，网上预约，提升大厅服务功能。</w:t>
      </w:r>
    </w:p>
    <w:p w14:paraId="177334C4">
      <w:pPr>
        <w:bidi w:val="0"/>
        <w:rPr>
          <w:rFonts w:hint="eastAsia"/>
          <w:lang w:val="zh-CN"/>
        </w:rPr>
      </w:pPr>
      <w:r>
        <w:rPr>
          <w:rFonts w:hint="eastAsia"/>
          <w:b/>
          <w:bCs/>
          <w:lang w:val="zh-CN"/>
        </w:rPr>
        <w:t>信息平台统一化</w:t>
      </w:r>
      <w:r>
        <w:rPr>
          <w:rFonts w:hint="eastAsia"/>
          <w:b/>
          <w:bCs/>
          <w:lang w:val="en-US" w:eastAsia="zh-CN"/>
        </w:rPr>
        <w:t xml:space="preserve">   </w:t>
      </w:r>
      <w:r>
        <w:rPr>
          <w:rFonts w:hint="eastAsia"/>
          <w:lang w:val="zh-CN"/>
        </w:rPr>
        <w:t>为保障“一门式一网式”系统平台的顺利运行，与浪潮公司组织各进驻单位科局对系统应用操作实施4次培训，完成各单位科局事项的审批流程配置。</w:t>
      </w:r>
    </w:p>
    <w:p w14:paraId="5656B9FB">
      <w:pPr>
        <w:pStyle w:val="4"/>
        <w:bidi w:val="0"/>
        <w:rPr>
          <w:rFonts w:hint="eastAsia"/>
          <w:lang w:val="zh-CN"/>
        </w:rPr>
      </w:pPr>
      <w:r>
        <w:rPr>
          <w:rFonts w:hint="eastAsia"/>
          <w:lang w:val="zh-CN"/>
        </w:rPr>
        <w:t>【“马上办”服务】</w:t>
      </w:r>
    </w:p>
    <w:p w14:paraId="5C10BDAC">
      <w:pPr>
        <w:bidi w:val="0"/>
        <w:rPr>
          <w:rFonts w:hint="eastAsia"/>
          <w:lang w:val="zh-CN"/>
        </w:rPr>
      </w:pPr>
      <w:r>
        <w:rPr>
          <w:rFonts w:hint="eastAsia"/>
          <w:lang w:val="zh-CN"/>
        </w:rPr>
        <w:t>开展“减证便企”行动。清理规范各类证明，坚决砍掉各类无谓的证明和繁琐的手续，最大限度方便企业办事创业。全市可“马上办”事项395个。推动事项即来即办。对于相对简单的事项，不需现场勘察、专家论证、听证、公示等环节，应将审批权限充分委托授权到窗口一线人员，对申请材料齐全、符合法定形式，审批职能部门应当场审批作出决定，实现申请人即来即办。推行容缺受理制度。推行承诺制信任审批和“容缺受理”，主动协调其他部门、信息共享等方式获取，实行容缺受理，提升项目审批服务效率。取消互为前置。以往部分事项办理存在互为前置条件情况，使事项办理进入死循环。现在实行并联审批，打破部门间壁垒，在同一阶段或环节内相关审批事项不再互为前置条件。</w:t>
      </w:r>
      <w:r>
        <w:rPr>
          <w:rFonts w:hint="eastAsia"/>
          <w:b/>
          <w:bCs/>
          <w:lang w:val="zh-CN"/>
        </w:rPr>
        <w:t>（叶新亮）</w:t>
      </w:r>
    </w:p>
    <w:p w14:paraId="5D07B893">
      <w:pPr>
        <w:pStyle w:val="11"/>
        <w:bidi w:val="0"/>
        <w:rPr>
          <w:rFonts w:hint="eastAsia"/>
          <w:b/>
          <w:bCs/>
          <w:lang w:val="zh-CN"/>
        </w:rPr>
      </w:pPr>
      <w:r>
        <w:rPr>
          <w:rFonts w:hint="eastAsia"/>
          <w:b/>
          <w:bCs/>
          <w:lang w:val="zh-CN"/>
        </w:rPr>
        <w:t>附：2018年市行政服务中心领导班子成员名单</w:t>
      </w:r>
    </w:p>
    <w:p w14:paraId="31EDF192">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李祥</w:t>
      </w:r>
    </w:p>
    <w:p w14:paraId="2EF7C5DE">
      <w:pPr>
        <w:pStyle w:val="11"/>
        <w:bidi w:val="0"/>
        <w:rPr>
          <w:rFonts w:hint="eastAsia"/>
          <w:lang w:val="zh-CN"/>
        </w:rPr>
      </w:pPr>
      <w:r>
        <w:rPr>
          <w:rFonts w:hint="eastAsia"/>
          <w:b/>
          <w:bCs/>
          <w:lang w:val="zh-CN"/>
        </w:rPr>
        <w:t>副主任：</w:t>
      </w:r>
      <w:r>
        <w:rPr>
          <w:rFonts w:hint="eastAsia"/>
          <w:lang w:val="zh-CN"/>
        </w:rPr>
        <w:t>蔡先锋</w:t>
      </w:r>
      <w:r>
        <w:rPr>
          <w:rFonts w:hint="eastAsia"/>
          <w:lang w:val="en-US" w:eastAsia="zh-CN"/>
        </w:rPr>
        <w:t xml:space="preserve">   </w:t>
      </w:r>
      <w:r>
        <w:rPr>
          <w:rFonts w:hint="eastAsia"/>
          <w:lang w:val="zh-CN"/>
        </w:rPr>
        <w:t>何庆雄</w:t>
      </w:r>
    </w:p>
    <w:p w14:paraId="55FCD0C3">
      <w:pPr>
        <w:pStyle w:val="3"/>
        <w:bidi w:val="0"/>
        <w:rPr>
          <w:rFonts w:hint="eastAsia"/>
          <w:lang w:val="zh-CN"/>
        </w:rPr>
      </w:pPr>
      <w:r>
        <w:rPr>
          <w:rFonts w:hint="eastAsia"/>
          <w:lang w:val="zh-CN"/>
        </w:rPr>
        <w:t>信访维稳</w:t>
      </w:r>
    </w:p>
    <w:p w14:paraId="1BFCC449">
      <w:pPr>
        <w:pStyle w:val="4"/>
        <w:bidi w:val="0"/>
        <w:rPr>
          <w:rFonts w:hint="eastAsia"/>
          <w:lang w:val="zh-CN"/>
        </w:rPr>
      </w:pPr>
      <w:r>
        <w:rPr>
          <w:rFonts w:hint="eastAsia"/>
          <w:lang w:val="zh-CN"/>
        </w:rPr>
        <w:t>【概况】</w:t>
      </w:r>
    </w:p>
    <w:p w14:paraId="15CF602B">
      <w:pPr>
        <w:bidi w:val="0"/>
        <w:rPr>
          <w:rFonts w:hint="eastAsia"/>
          <w:lang w:val="zh-CN"/>
        </w:rPr>
      </w:pPr>
      <w:r>
        <w:rPr>
          <w:rFonts w:hint="eastAsia"/>
          <w:lang w:val="zh-CN"/>
        </w:rPr>
        <w:t>南雄市信访局系南雄市委办公室的内设机构，主要负责处理群众来信来访，及时、准确地向市委、市政府领导反映来信来访中提出的重要建议、意见和问题；综合分析信访信息，开展调查研究，提出制定有关方针、政策建议的行政部门。设有办信接访室、督查室、综合办公室。行政编制5名，工勤人员2名。</w:t>
      </w:r>
    </w:p>
    <w:p w14:paraId="0A0D0F76">
      <w:pPr>
        <w:bidi w:val="0"/>
        <w:rPr>
          <w:rFonts w:hint="eastAsia"/>
          <w:lang w:val="zh-CN"/>
        </w:rPr>
      </w:pPr>
      <w:r>
        <w:rPr>
          <w:rFonts w:hint="eastAsia"/>
          <w:lang w:val="zh-CN"/>
        </w:rPr>
        <w:t>2018年，南雄市信访案件总数835批1311人次（其中来访341批563人次，来信126批126人次，网信368批347人次），南雄市群众到中央、省、韶关市信访总量217件（其中来访37批65人次，来信55件，网上信访125件）。进京上访2批2人次，同比人次下降83%；到省上访28批51人次，同比人次下降28%（其中到省集体访2批10人次，同比人次下降0%）；到韶关市上访5批5人次，同比人次下降75%，到南雄市上访304批819人次，同比人次下降19%（其中到南雄市集体访31批164人次，同比人次下降54%）。</w:t>
      </w:r>
    </w:p>
    <w:p w14:paraId="2D8E79DB">
      <w:pPr>
        <w:pStyle w:val="4"/>
        <w:bidi w:val="0"/>
        <w:rPr>
          <w:rFonts w:hint="eastAsia"/>
          <w:lang w:val="zh-CN"/>
        </w:rPr>
      </w:pPr>
      <w:r>
        <w:rPr>
          <w:rFonts w:hint="eastAsia"/>
          <w:lang w:val="zh-CN"/>
        </w:rPr>
        <w:t>【领导接访】</w:t>
      </w:r>
    </w:p>
    <w:p w14:paraId="034190F4">
      <w:pPr>
        <w:bidi w:val="0"/>
        <w:rPr>
          <w:rFonts w:hint="eastAsia"/>
          <w:lang w:val="zh-CN"/>
        </w:rPr>
      </w:pPr>
      <w:r>
        <w:rPr>
          <w:rFonts w:hint="eastAsia"/>
          <w:lang w:val="zh-CN"/>
        </w:rPr>
        <w:t>坚持开展市党政班子领导定期接访日活动，2018年，市党政班子领导接待处理来市上访173批445人次，有效地控制和减少越级上访。</w:t>
      </w:r>
    </w:p>
    <w:p w14:paraId="05BDF8AB">
      <w:pPr>
        <w:pStyle w:val="4"/>
        <w:bidi w:val="0"/>
        <w:rPr>
          <w:rFonts w:hint="eastAsia"/>
          <w:lang w:val="zh-CN"/>
        </w:rPr>
      </w:pPr>
      <w:r>
        <w:rPr>
          <w:rFonts w:hint="eastAsia"/>
          <w:lang w:val="zh-CN"/>
        </w:rPr>
        <w:t>【信访积案化解】</w:t>
      </w:r>
    </w:p>
    <w:p w14:paraId="32CCF06A">
      <w:pPr>
        <w:bidi w:val="0"/>
        <w:rPr>
          <w:rFonts w:hint="eastAsia"/>
          <w:lang w:val="zh-CN"/>
        </w:rPr>
      </w:pPr>
      <w:r>
        <w:rPr>
          <w:rFonts w:hint="eastAsia"/>
          <w:lang w:val="zh-CN"/>
        </w:rPr>
        <w:t>建立积案任务化解清单制度，将各镇（街道）、各单位每周排查上报的矛盾纠纷和存量信访案件，每半个月进行一次汇总，形成任务清单，明确化解和稳控措施，并将任务清单交办至所属镇（街道）、单位，报送市党政领导。2018年，全市交办积案36宗，均由市领导包案办理，其中25宗已办结，5宗仍在办理，剩余6宗均为重点人员处在稳控阶段。</w:t>
      </w:r>
    </w:p>
    <w:p w14:paraId="33B317AB">
      <w:pPr>
        <w:pStyle w:val="4"/>
        <w:bidi w:val="0"/>
        <w:rPr>
          <w:rFonts w:hint="eastAsia"/>
          <w:lang w:val="zh-CN"/>
        </w:rPr>
      </w:pPr>
      <w:r>
        <w:rPr>
          <w:rFonts w:hint="eastAsia"/>
          <w:lang w:val="zh-CN"/>
        </w:rPr>
        <w:t>【扫黑除恶工作】</w:t>
      </w:r>
    </w:p>
    <w:p w14:paraId="03A39615">
      <w:pPr>
        <w:bidi w:val="0"/>
        <w:rPr>
          <w:rFonts w:hint="eastAsia"/>
          <w:lang w:val="zh-CN"/>
        </w:rPr>
      </w:pPr>
      <w:r>
        <w:rPr>
          <w:rFonts w:hint="eastAsia"/>
          <w:lang w:val="zh-CN"/>
        </w:rPr>
        <w:t>成立扫黑除恶专项斗争工作领导小组和整改小组，严格按照《国家信访条例》执行信访接待工作，认真接待来访群众，倾听诉求，根据实际情况对信访案件进行分类分流；进一步畅通群众举报渠道，广泛收集涉黑恶犯罪线索，紧紧围绕十类打击重点，通过群众举报、基层摸排、高危人员等渠道摸排发现涉黑恶违法犯罪线索，对线索特别是重大疑难、涉黑涉恶信访案件切实做到落地核查，及时转办市扫黑办或相关部门跟踪办理。2018年，排查出7宗扫黑除恶线索，全部转交至扫黑除恶办。</w:t>
      </w:r>
    </w:p>
    <w:p w14:paraId="371B38A4">
      <w:pPr>
        <w:pStyle w:val="4"/>
        <w:bidi w:val="0"/>
        <w:rPr>
          <w:rFonts w:hint="eastAsia"/>
          <w:lang w:val="zh-CN"/>
        </w:rPr>
      </w:pPr>
      <w:r>
        <w:rPr>
          <w:rFonts w:hint="eastAsia"/>
          <w:lang w:val="zh-CN"/>
        </w:rPr>
        <w:t>【加强责任落实】</w:t>
      </w:r>
    </w:p>
    <w:p w14:paraId="51E5A509">
      <w:pPr>
        <w:bidi w:val="0"/>
        <w:rPr>
          <w:rFonts w:hint="eastAsia"/>
          <w:lang w:val="zh-CN"/>
        </w:rPr>
      </w:pPr>
      <w:r>
        <w:rPr>
          <w:rFonts w:hint="eastAsia"/>
          <w:lang w:val="zh-CN"/>
        </w:rPr>
        <w:t>落实矛盾纠纷化解责任。每周将所属辖区或所属领域的突出矛盾纠纷拟成《给主要领导的一封信》，交办给党政主要领导和单位一把手，滚动式提醒新增矛盾纠纷化解情况，对连续3次提醒还未化解的新增矛盾纠纷，安排督导组进行专项督导。严格责任追究。市委对在特别防护期期间因领导不重视、工作责任不落实、防范和劝返稳控措施不到位的责任单位、第一责任人和直接责任人予以追责。强化绩效考核。将考核结果与各镇（街道）、各单位主要领导和班子成员的评优评先挂钩、与个人政绩档案和干部考验性管理挂钩，从而倒逼信访维稳责任落实。</w:t>
      </w:r>
    </w:p>
    <w:p w14:paraId="30033187">
      <w:pPr>
        <w:bidi w:val="0"/>
        <w:jc w:val="right"/>
        <w:rPr>
          <w:rFonts w:hint="eastAsia"/>
          <w:b/>
          <w:bCs/>
          <w:lang w:val="zh-CN"/>
        </w:rPr>
      </w:pPr>
      <w:r>
        <w:rPr>
          <w:rFonts w:hint="eastAsia"/>
          <w:b/>
          <w:bCs/>
          <w:lang w:val="zh-CN"/>
        </w:rPr>
        <w:t>（丁石凤）</w:t>
      </w:r>
    </w:p>
    <w:p w14:paraId="4DCBD71A">
      <w:pPr>
        <w:pStyle w:val="11"/>
        <w:bidi w:val="0"/>
        <w:rPr>
          <w:rFonts w:hint="eastAsia"/>
          <w:b/>
          <w:bCs/>
          <w:lang w:val="zh-CN"/>
        </w:rPr>
      </w:pPr>
      <w:r>
        <w:rPr>
          <w:rFonts w:hint="eastAsia"/>
          <w:b/>
          <w:bCs/>
          <w:lang w:val="zh-CN"/>
        </w:rPr>
        <w:t>附：2018年市信访局领导班子成员名单</w:t>
      </w:r>
    </w:p>
    <w:p w14:paraId="5B49DC03">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杨志峰（兼）</w:t>
      </w:r>
    </w:p>
    <w:p w14:paraId="5BDE0E82">
      <w:pPr>
        <w:pStyle w:val="11"/>
        <w:bidi w:val="0"/>
        <w:rPr>
          <w:rFonts w:hint="eastAsia"/>
          <w:lang w:val="zh-CN"/>
        </w:rPr>
      </w:pPr>
      <w:r>
        <w:rPr>
          <w:rFonts w:hint="eastAsia"/>
          <w:b/>
          <w:bCs/>
          <w:lang w:val="zh-CN"/>
        </w:rPr>
        <w:t>副局长：</w:t>
      </w:r>
      <w:r>
        <w:rPr>
          <w:rFonts w:hint="eastAsia"/>
          <w:lang w:val="zh-CN"/>
        </w:rPr>
        <w:t>黄承福</w:t>
      </w:r>
    </w:p>
    <w:p w14:paraId="07B9490C">
      <w:pPr>
        <w:pStyle w:val="11"/>
        <w:bidi w:val="0"/>
        <w:ind w:leftChars="400"/>
        <w:rPr>
          <w:rFonts w:hint="eastAsia"/>
          <w:lang w:val="zh-CN"/>
        </w:rPr>
      </w:pPr>
      <w:r>
        <w:rPr>
          <w:rFonts w:hint="eastAsia"/>
          <w:lang w:val="zh-CN"/>
        </w:rPr>
        <w:t>成少凡</w:t>
      </w:r>
    </w:p>
    <w:p w14:paraId="567E728C">
      <w:pPr>
        <w:pStyle w:val="3"/>
        <w:bidi w:val="0"/>
        <w:rPr>
          <w:rFonts w:hint="eastAsia"/>
          <w:lang w:val="zh-CN"/>
        </w:rPr>
      </w:pPr>
      <w:r>
        <w:rPr>
          <w:rFonts w:hint="eastAsia"/>
          <w:lang w:val="zh-CN"/>
        </w:rPr>
        <w:t>法制工作</w:t>
      </w:r>
    </w:p>
    <w:p w14:paraId="4724688D">
      <w:pPr>
        <w:pStyle w:val="4"/>
        <w:bidi w:val="0"/>
        <w:rPr>
          <w:rFonts w:hint="eastAsia"/>
          <w:lang w:val="zh-CN"/>
        </w:rPr>
      </w:pPr>
      <w:r>
        <w:rPr>
          <w:rFonts w:hint="eastAsia"/>
          <w:lang w:val="zh-CN"/>
        </w:rPr>
        <w:t>【概况】</w:t>
      </w:r>
    </w:p>
    <w:p w14:paraId="272D4739">
      <w:pPr>
        <w:bidi w:val="0"/>
        <w:rPr>
          <w:rFonts w:hint="eastAsia"/>
          <w:lang w:val="zh-CN"/>
        </w:rPr>
      </w:pPr>
      <w:r>
        <w:rPr>
          <w:rFonts w:hint="eastAsia"/>
          <w:lang w:val="zh-CN"/>
        </w:rPr>
        <w:t>南雄市人民政府法制局，正科级行政单位，在市政府办公室挂牌，是处理市人民政府日常法制工作的机构。主要负责市政府规范性文件管理、行政复议案件办理、行政诉讼应诉、行政执法监督、处理行政法律事务等，其中在法制局法律事务股增挂“南雄市政府法律顾问室”牌子，实行两块牌子，一套人员运作。法制局内设机构有行政复议应诉股、行政执法协调股、法律事务股。现有行政编制6名，工勤编制1名。</w:t>
      </w:r>
    </w:p>
    <w:p w14:paraId="41A2315C">
      <w:pPr>
        <w:pStyle w:val="4"/>
        <w:bidi w:val="0"/>
        <w:rPr>
          <w:rFonts w:hint="eastAsia"/>
          <w:lang w:val="zh-CN"/>
        </w:rPr>
      </w:pPr>
      <w:r>
        <w:rPr>
          <w:rFonts w:hint="eastAsia"/>
          <w:lang w:val="zh-CN"/>
        </w:rPr>
        <w:t>【规范性文件管理】</w:t>
      </w:r>
    </w:p>
    <w:p w14:paraId="4A7C6972">
      <w:pPr>
        <w:bidi w:val="0"/>
        <w:rPr>
          <w:rFonts w:hint="eastAsia"/>
          <w:lang w:val="zh-CN"/>
        </w:rPr>
      </w:pPr>
      <w:r>
        <w:rPr>
          <w:rFonts w:hint="eastAsia"/>
          <w:lang w:val="zh-CN"/>
        </w:rPr>
        <w:t>收到各单位送审的拟以市政府或市政府办公室名义发布的文件草案54件，其中提出修改意见的有40件，建议不予发文1件。上报韶关市政府及南雄市人大常委会备案审查的市政府发布的规范性文件有7件。对市政府及市政府办公室发布的现行有效的36件规范性文件进行全面清理，其中保留25件，废止9件，拟修改2件，清理结果经市政府常务会议审议通过后，以市政府名义发文，并向社会公布。</w:t>
      </w:r>
    </w:p>
    <w:p w14:paraId="2B1C9131">
      <w:pPr>
        <w:pStyle w:val="4"/>
        <w:bidi w:val="0"/>
        <w:rPr>
          <w:rFonts w:hint="eastAsia"/>
          <w:lang w:val="zh-CN"/>
        </w:rPr>
      </w:pPr>
      <w:r>
        <w:rPr>
          <w:rFonts w:hint="eastAsia"/>
          <w:lang w:val="zh-CN"/>
        </w:rPr>
        <w:t>【行政复议】</w:t>
      </w:r>
    </w:p>
    <w:p w14:paraId="4A67BA0A">
      <w:pPr>
        <w:bidi w:val="0"/>
        <w:rPr>
          <w:rFonts w:hint="eastAsia"/>
          <w:lang w:val="zh-CN"/>
        </w:rPr>
      </w:pPr>
      <w:r>
        <w:rPr>
          <w:rFonts w:hint="eastAsia"/>
          <w:lang w:val="zh-CN"/>
        </w:rPr>
        <w:t>收到向市政府提出的行政复议申请11宗，立案9宗，因不符合行政复议受理范围而不予受理2宗。另结转2017年度行政复议案件2宗。至2018年末，按时审结6宗，正在审理5宗。审结的6宗案件复议结果为：维持行政机关原行政行为的4宗，撤销行政机关原行政行为的1宗，因当事人自行撤回申请而终止审理1宗。</w:t>
      </w:r>
    </w:p>
    <w:p w14:paraId="0EFE390E">
      <w:pPr>
        <w:pStyle w:val="4"/>
        <w:bidi w:val="0"/>
        <w:rPr>
          <w:rFonts w:hint="eastAsia"/>
          <w:lang w:val="zh-CN"/>
        </w:rPr>
      </w:pPr>
      <w:r>
        <w:rPr>
          <w:rFonts w:hint="eastAsia"/>
          <w:lang w:val="zh-CN"/>
        </w:rPr>
        <w:t>【行政裁决和应诉】</w:t>
      </w:r>
    </w:p>
    <w:p w14:paraId="7ABC880A">
      <w:pPr>
        <w:bidi w:val="0"/>
        <w:rPr>
          <w:rFonts w:hint="eastAsia"/>
          <w:lang w:val="zh-CN"/>
        </w:rPr>
      </w:pPr>
      <w:r>
        <w:rPr>
          <w:rFonts w:hint="eastAsia"/>
          <w:lang w:val="zh-CN"/>
        </w:rPr>
        <w:t>审查办理市政府作出的行政裁决案件3宗，代理市政府参加行政诉讼应诉6宗，民事诉讼应诉1宗。</w:t>
      </w:r>
    </w:p>
    <w:p w14:paraId="7B6295BE">
      <w:pPr>
        <w:pStyle w:val="4"/>
        <w:bidi w:val="0"/>
        <w:rPr>
          <w:rFonts w:hint="eastAsia"/>
          <w:lang w:val="zh-CN"/>
        </w:rPr>
      </w:pPr>
      <w:r>
        <w:rPr>
          <w:rFonts w:hint="eastAsia"/>
          <w:lang w:val="zh-CN"/>
        </w:rPr>
        <w:t>【行政执法监督协调】</w:t>
      </w:r>
    </w:p>
    <w:p w14:paraId="7C0CBC35">
      <w:pPr>
        <w:bidi w:val="0"/>
        <w:rPr>
          <w:rFonts w:hint="eastAsia"/>
          <w:lang w:val="zh-CN"/>
        </w:rPr>
      </w:pPr>
      <w:r>
        <w:rPr>
          <w:rFonts w:hint="eastAsia"/>
          <w:lang w:val="zh-CN"/>
        </w:rPr>
        <w:t>办理新领、换领《广东省行政执法证》124件，注销过期或失效证件18件；开通行政执法证系统用户1户；组织全市行政执法单位执法人员进行综合法律知识网上考试126人，其中有122人通过考试。</w:t>
      </w:r>
    </w:p>
    <w:p w14:paraId="5B39EAB8">
      <w:pPr>
        <w:pStyle w:val="4"/>
        <w:bidi w:val="0"/>
        <w:rPr>
          <w:rFonts w:hint="eastAsia"/>
          <w:lang w:val="zh-CN"/>
        </w:rPr>
      </w:pPr>
      <w:r>
        <w:rPr>
          <w:rFonts w:hint="eastAsia"/>
          <w:lang w:val="zh-CN"/>
        </w:rPr>
        <w:t>【政府法律顾问】</w:t>
      </w:r>
    </w:p>
    <w:p w14:paraId="4BB1F737">
      <w:pPr>
        <w:bidi w:val="0"/>
        <w:rPr>
          <w:rFonts w:hint="eastAsia"/>
          <w:lang w:val="zh-CN"/>
        </w:rPr>
      </w:pPr>
      <w:r>
        <w:rPr>
          <w:rFonts w:hint="eastAsia"/>
          <w:lang w:val="zh-CN"/>
        </w:rPr>
        <w:t>为政府重大决策、经济管理和社会事务及其他法律事务提供法律意见50多件，涉及园区征地补偿、农村“三清三拆”、群访性山林土地纠纷、江头莹矿资源问题、江砂非法占用土地处置等方面内容。为各有关乡镇和市直部门等多个单位解答业务办理、纠纷调解、行政管理、合同纠纷、行政执法、信访维稳等方面的法律咨询108件。在市府常务会议上开展法律培训辅导工作4次。</w:t>
      </w:r>
    </w:p>
    <w:p w14:paraId="4AA61087">
      <w:pPr>
        <w:pStyle w:val="4"/>
        <w:bidi w:val="0"/>
        <w:rPr>
          <w:rFonts w:hint="eastAsia"/>
          <w:lang w:val="zh-CN"/>
        </w:rPr>
      </w:pPr>
      <w:r>
        <w:rPr>
          <w:rFonts w:hint="eastAsia"/>
          <w:lang w:val="zh-CN"/>
        </w:rPr>
        <w:t>【合同审核】</w:t>
      </w:r>
    </w:p>
    <w:p w14:paraId="7CCFA1D3">
      <w:pPr>
        <w:bidi w:val="0"/>
        <w:rPr>
          <w:rFonts w:hint="eastAsia"/>
          <w:lang w:val="zh-CN"/>
        </w:rPr>
      </w:pPr>
      <w:r>
        <w:rPr>
          <w:rFonts w:hint="eastAsia"/>
          <w:lang w:val="zh-CN"/>
        </w:rPr>
        <w:t>审核招商引资等政府或政府部门参与签订的合同55件，其中提出修改意见45件。</w:t>
      </w:r>
    </w:p>
    <w:p w14:paraId="1494F5C0">
      <w:pPr>
        <w:pStyle w:val="4"/>
        <w:bidi w:val="0"/>
        <w:rPr>
          <w:rFonts w:hint="eastAsia"/>
          <w:lang w:val="zh-CN"/>
        </w:rPr>
      </w:pPr>
      <w:r>
        <w:rPr>
          <w:rFonts w:hint="eastAsia"/>
          <w:lang w:val="zh-CN"/>
        </w:rPr>
        <w:t>【证明事项清理】</w:t>
      </w:r>
    </w:p>
    <w:p w14:paraId="26A02C19">
      <w:pPr>
        <w:bidi w:val="0"/>
        <w:rPr>
          <w:rFonts w:hint="eastAsia"/>
          <w:lang w:val="zh-CN"/>
        </w:rPr>
      </w:pPr>
      <w:r>
        <w:rPr>
          <w:rFonts w:hint="eastAsia"/>
          <w:lang w:val="zh-CN"/>
        </w:rPr>
        <w:t>开展南雄市证明事项清理工作，市政府共清理取消证明事项8项，市政府部门共取消自行设定的证明事项3项，镇级政府共取消自行设定的证明事项4项。</w:t>
      </w:r>
    </w:p>
    <w:p w14:paraId="0B1FCEAD">
      <w:pPr>
        <w:pStyle w:val="4"/>
        <w:bidi w:val="0"/>
        <w:rPr>
          <w:rFonts w:hint="eastAsia"/>
          <w:lang w:val="zh-CN"/>
        </w:rPr>
      </w:pPr>
      <w:r>
        <w:rPr>
          <w:rFonts w:hint="eastAsia"/>
          <w:lang w:val="zh-CN"/>
        </w:rPr>
        <w:t>【法治政府建设】</w:t>
      </w:r>
    </w:p>
    <w:p w14:paraId="20A1EA8B">
      <w:pPr>
        <w:bidi w:val="0"/>
        <w:jc w:val="right"/>
        <w:rPr>
          <w:rFonts w:hint="eastAsia"/>
          <w:lang w:val="zh-CN"/>
        </w:rPr>
      </w:pPr>
      <w:r>
        <w:rPr>
          <w:rFonts w:hint="eastAsia"/>
          <w:lang w:val="zh-CN"/>
        </w:rPr>
        <w:t>开展法治政府建设专题培训。2018年9月，市委、市政府以“新时代法治政府建设”为主题组织开展法治政府建设专题培训。开展法治政府专题轮训，法制局共组织4期轮训，培训法治政府建设人才16人次。</w:t>
      </w:r>
      <w:r>
        <w:rPr>
          <w:rFonts w:hint="eastAsia"/>
          <w:b/>
          <w:bCs/>
          <w:lang w:val="zh-CN"/>
        </w:rPr>
        <w:t>（陈彝凤）</w:t>
      </w:r>
    </w:p>
    <w:p w14:paraId="4A6BC1E5">
      <w:pPr>
        <w:pStyle w:val="11"/>
        <w:bidi w:val="0"/>
        <w:rPr>
          <w:rFonts w:hint="eastAsia"/>
          <w:b/>
          <w:bCs/>
          <w:lang w:val="zh-CN"/>
        </w:rPr>
      </w:pPr>
      <w:r>
        <w:rPr>
          <w:rFonts w:hint="eastAsia"/>
          <w:b/>
          <w:bCs/>
          <w:lang w:val="zh-CN"/>
        </w:rPr>
        <w:t>附：2018年市法制局领导班子成员名单</w:t>
      </w:r>
    </w:p>
    <w:p w14:paraId="0CDC4359">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陈云英（任至5月）</w:t>
      </w:r>
    </w:p>
    <w:p w14:paraId="47AEAE6E">
      <w:pPr>
        <w:pStyle w:val="11"/>
        <w:bidi w:val="0"/>
        <w:rPr>
          <w:rFonts w:hint="eastAsia"/>
          <w:lang w:val="zh-CN"/>
        </w:rPr>
      </w:pPr>
      <w:r>
        <w:rPr>
          <w:rFonts w:hint="eastAsia"/>
          <w:b/>
          <w:bCs/>
          <w:lang w:val="zh-CN"/>
        </w:rPr>
        <w:t>副局长：</w:t>
      </w:r>
      <w:r>
        <w:rPr>
          <w:rFonts w:hint="eastAsia"/>
          <w:lang w:val="zh-CN"/>
        </w:rPr>
        <w:t>谢振雄</w:t>
      </w:r>
    </w:p>
    <w:p w14:paraId="23DE85B3">
      <w:pPr>
        <w:pStyle w:val="11"/>
        <w:bidi w:val="0"/>
        <w:ind w:leftChars="400"/>
        <w:rPr>
          <w:rFonts w:hint="eastAsia"/>
          <w:lang w:val="zh-CN"/>
        </w:rPr>
      </w:pPr>
      <w:r>
        <w:rPr>
          <w:rFonts w:hint="eastAsia"/>
          <w:lang w:val="zh-CN"/>
        </w:rPr>
        <w:t>吴燕雄</w:t>
      </w:r>
    </w:p>
    <w:p w14:paraId="28834ADD">
      <w:pPr>
        <w:pStyle w:val="3"/>
        <w:bidi w:val="0"/>
        <w:rPr>
          <w:rFonts w:hint="eastAsia"/>
          <w:lang w:val="zh-CN"/>
        </w:rPr>
      </w:pPr>
      <w:r>
        <w:rPr>
          <w:rFonts w:hint="eastAsia"/>
          <w:lang w:val="zh-CN"/>
        </w:rPr>
        <w:t>信息工作</w:t>
      </w:r>
    </w:p>
    <w:p w14:paraId="220785AD">
      <w:pPr>
        <w:pStyle w:val="4"/>
        <w:bidi w:val="0"/>
        <w:rPr>
          <w:rFonts w:hint="eastAsia"/>
          <w:lang w:val="zh-CN"/>
        </w:rPr>
      </w:pPr>
      <w:r>
        <w:rPr>
          <w:rFonts w:hint="eastAsia"/>
          <w:lang w:val="zh-CN"/>
        </w:rPr>
        <w:t>【概况】</w:t>
      </w:r>
    </w:p>
    <w:p w14:paraId="283E7C96">
      <w:pPr>
        <w:bidi w:val="0"/>
        <w:rPr>
          <w:rFonts w:hint="eastAsia"/>
          <w:lang w:val="zh-CN"/>
        </w:rPr>
      </w:pPr>
      <w:r>
        <w:rPr>
          <w:rFonts w:hint="eastAsia"/>
          <w:lang w:val="zh-CN"/>
        </w:rPr>
        <w:t>南雄市信息中心（以下简称中心）成立于2001年4月，是市直副科级公益一类事业法人单位，内设4个副股级机构：综合股、网络技术股、电子政务股、信息采编股，编制9人，其中主任1名，副主任2名。2018年底，在编在岗9人，其中8名参公人员，1名不占编职工。中心主要职能是负责市政府公众信息网络的建设、运行、维护，建立政府序列信息网安全保障。推进南雄市电子政务建设，为市直单位和镇（街）提供政务信息技术服务，实现政府信息化。</w:t>
      </w:r>
    </w:p>
    <w:p w14:paraId="77C06A08">
      <w:pPr>
        <w:pStyle w:val="4"/>
        <w:bidi w:val="0"/>
        <w:rPr>
          <w:rFonts w:hint="eastAsia"/>
          <w:lang w:val="zh-CN"/>
        </w:rPr>
      </w:pPr>
      <w:r>
        <w:rPr>
          <w:rFonts w:hint="eastAsia"/>
          <w:lang w:val="zh-CN"/>
        </w:rPr>
        <w:t>【新媒体宣传引导】</w:t>
      </w:r>
    </w:p>
    <w:p w14:paraId="40F14F4A">
      <w:pPr>
        <w:bidi w:val="0"/>
        <w:rPr>
          <w:rFonts w:hint="eastAsia"/>
          <w:lang w:val="zh-CN"/>
        </w:rPr>
      </w:pPr>
      <w:r>
        <w:rPr>
          <w:rFonts w:hint="eastAsia"/>
          <w:lang w:val="zh-CN"/>
        </w:rPr>
        <w:t>不断丰富政府网站及微信、微博等新媒体平台内容，及时、全面更新南雄新闻、政务公开、招商投资、旅游南雄等版块内容，开设《学习进行时》《精神文明创建专题专栏》《扫黑除恶宣传专栏》《“南粤古驿道”宣传专栏》等栏目，提高舆论引导水平。2018年，新闻栏目采稿量达到1545篇，“南雄发布”微信公众号、企鹅号、头条号发布信息662条，“南雄门户”微博发布信息243条，“南雄发布”南方号发布信息198条。</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CB49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830EF77">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2995" cy="3766185"/>
                  <wp:effectExtent l="0" t="0" r="8255" b="5715"/>
                  <wp:docPr id="107" name="图片 107" descr="南雄年鉴2019_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南雄年鉴2019_0082"/>
                          <pic:cNvPicPr>
                            <a:picLocks noChangeAspect="1"/>
                          </pic:cNvPicPr>
                        </pic:nvPicPr>
                        <pic:blipFill>
                          <a:blip r:embed="rId94"/>
                          <a:stretch>
                            <a:fillRect/>
                          </a:stretch>
                        </pic:blipFill>
                        <pic:spPr>
                          <a:xfrm>
                            <a:off x="0" y="0"/>
                            <a:ext cx="6182995" cy="3766185"/>
                          </a:xfrm>
                          <a:prstGeom prst="rect">
                            <a:avLst/>
                          </a:prstGeom>
                        </pic:spPr>
                      </pic:pic>
                    </a:graphicData>
                  </a:graphic>
                </wp:inline>
              </w:drawing>
            </w:r>
          </w:p>
        </w:tc>
      </w:tr>
      <w:tr w14:paraId="1AECF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262AEEF">
            <w:pPr>
              <w:bidi w:val="0"/>
              <w:rPr>
                <w:rFonts w:hint="eastAsia"/>
                <w:vertAlign w:val="baseline"/>
                <w:lang w:val="zh-CN"/>
              </w:rPr>
            </w:pPr>
            <w:r>
              <w:rPr>
                <w:rFonts w:hint="eastAsia" w:ascii="FZKTK--GBK1-0" w:hAnsi="FZKTK--GBK1-0" w:eastAsia="FZKTK--GBK1-0"/>
                <w:sz w:val="20"/>
              </w:rPr>
              <w:t>8月24日，组织全市各单位在南雄市财政局开展政府服务网事项录</w:t>
            </w:r>
            <w:r>
              <w:rPr>
                <w:rFonts w:hint="eastAsia" w:ascii="FZKTK--GBK1-0" w:hAnsi="FZKTK--GBK1-0" w:eastAsia="FZKTK--GBK1-0"/>
                <w:sz w:val="20"/>
                <w:lang w:val="en-US" w:eastAsia="zh-CN"/>
              </w:rPr>
              <w:t>入培训工作</w:t>
            </w:r>
            <w:r>
              <w:rPr>
                <w:rFonts w:hint="eastAsia" w:ascii="FZKTK--GBK1-0" w:hAnsi="FZKTK--GBK1-0" w:eastAsia="FZKTK--GBK1-0"/>
                <w:sz w:val="20"/>
              </w:rPr>
              <w:t>（付杰</w:t>
            </w:r>
            <w:r>
              <w:rPr>
                <w:rFonts w:hint="eastAsia" w:ascii="FZKTK--GBK1-0" w:hAnsi="FZKTK--GBK1-0" w:eastAsia="FZKTK--GBK1-0"/>
                <w:sz w:val="20"/>
                <w:lang w:val="en-US" w:eastAsia="zh-CN"/>
              </w:rPr>
              <w:t xml:space="preserve">  </w:t>
            </w:r>
            <w:r>
              <w:rPr>
                <w:rFonts w:hint="eastAsia" w:ascii="FZKTK--GBK1-0" w:hAnsi="FZKTK--GBK1-0" w:eastAsia="FZKTK--GBK1-0"/>
                <w:sz w:val="20"/>
              </w:rPr>
              <w:t>摄）</w:t>
            </w:r>
          </w:p>
        </w:tc>
      </w:tr>
    </w:tbl>
    <w:p w14:paraId="14CDA47C">
      <w:pPr>
        <w:pStyle w:val="4"/>
        <w:bidi w:val="0"/>
        <w:rPr>
          <w:rFonts w:hint="eastAsia"/>
          <w:lang w:val="zh-CN"/>
        </w:rPr>
      </w:pPr>
      <w:r>
        <w:rPr>
          <w:rFonts w:hint="eastAsia"/>
          <w:lang w:val="zh-CN"/>
        </w:rPr>
        <w:t>【信息系统安全等级保护】</w:t>
      </w:r>
    </w:p>
    <w:p w14:paraId="5C18FC38">
      <w:pPr>
        <w:bidi w:val="0"/>
        <w:rPr>
          <w:rFonts w:hint="eastAsia"/>
          <w:lang w:val="zh-CN"/>
        </w:rPr>
      </w:pPr>
      <w:r>
        <w:rPr>
          <w:rFonts w:hint="eastAsia"/>
          <w:lang w:val="zh-CN"/>
        </w:rPr>
        <w:t>2018年10月，信息中心完成对政务外网网络结构改造、安全加固，信息系统平台安全策略制定、机房环境等方面整改验收工作，并积极准备二级安全等保复评，争取一次性通过。</w:t>
      </w:r>
    </w:p>
    <w:p w14:paraId="5AE5FA0E">
      <w:pPr>
        <w:pStyle w:val="4"/>
        <w:bidi w:val="0"/>
        <w:rPr>
          <w:rFonts w:hint="eastAsia"/>
          <w:lang w:val="zh-CN"/>
        </w:rPr>
      </w:pPr>
      <w:r>
        <w:rPr>
          <w:rFonts w:hint="eastAsia"/>
          <w:lang w:val="zh-CN"/>
        </w:rPr>
        <w:t>【电子公文处理业务推广】</w:t>
      </w:r>
    </w:p>
    <w:p w14:paraId="3DF1F0F3">
      <w:pPr>
        <w:bidi w:val="0"/>
        <w:rPr>
          <w:rFonts w:hint="eastAsia"/>
          <w:lang w:val="zh-CN"/>
        </w:rPr>
      </w:pPr>
      <w:r>
        <w:rPr>
          <w:rFonts w:hint="eastAsia"/>
          <w:lang w:val="zh-CN"/>
        </w:rPr>
        <w:t>推进电子政务办公业务OA系统在南雄党政机关、事业单位及部分企业建设和应用，加强日常管理和维护，确保单位间公文流转正常运行。2018年公文流转数量和提示短信消耗量比上年大幅提高，其中短信消耗量达84万多条，同比去年增加19万多条。</w:t>
      </w:r>
    </w:p>
    <w:p w14:paraId="7E6B2C72">
      <w:pPr>
        <w:pStyle w:val="4"/>
        <w:bidi w:val="0"/>
        <w:rPr>
          <w:rFonts w:hint="eastAsia"/>
          <w:lang w:val="zh-CN"/>
        </w:rPr>
      </w:pPr>
      <w:r>
        <w:rPr>
          <w:rFonts w:hint="eastAsia"/>
          <w:lang w:val="zh-CN"/>
        </w:rPr>
        <w:t>【政务服务工作】</w:t>
      </w:r>
    </w:p>
    <w:p w14:paraId="63D33CC9">
      <w:pPr>
        <w:bidi w:val="0"/>
        <w:rPr>
          <w:rFonts w:hint="eastAsia"/>
          <w:lang w:val="zh-CN"/>
        </w:rPr>
      </w:pPr>
      <w:r>
        <w:rPr>
          <w:rFonts w:hint="eastAsia"/>
          <w:lang w:val="zh-CN"/>
        </w:rPr>
        <w:t>8月份，中心组织40多个单位工作人员对照事项实施清单要素“十统一”录入标准，录入本单位政务服务事项，共录入6995项，并通过国家上报数据质检检测。政务服务网在线平台上线后，中心认真督促各成员单位开展网上申办业务。2018年全市政务服务事项网上申办率为75.6%，77%以上的事项达到“最多跑一次”的要求。</w:t>
      </w:r>
    </w:p>
    <w:p w14:paraId="15BEA1DF">
      <w:pPr>
        <w:pStyle w:val="4"/>
        <w:bidi w:val="0"/>
        <w:rPr>
          <w:rFonts w:hint="eastAsia"/>
          <w:lang w:val="zh-CN"/>
        </w:rPr>
      </w:pPr>
      <w:r>
        <w:rPr>
          <w:rFonts w:hint="eastAsia"/>
          <w:lang w:val="zh-CN"/>
        </w:rPr>
        <w:t>【政务信息公开】</w:t>
      </w:r>
    </w:p>
    <w:p w14:paraId="0C8FDE8E">
      <w:pPr>
        <w:bidi w:val="0"/>
        <w:rPr>
          <w:rFonts w:hint="eastAsia"/>
          <w:lang w:val="zh-CN"/>
        </w:rPr>
      </w:pPr>
      <w:r>
        <w:rPr>
          <w:rFonts w:hint="eastAsia"/>
          <w:lang w:val="zh-CN"/>
        </w:rPr>
        <w:t>通过南雄市政府网、新媒体平台、政府信息公开平台、重点领域信息公开平台等多渠道做好政务公开工作。2018年主动公开政府信息总数4730条，政府网站公开政府信息数4154条，政务微博公开政府信息数122条，政务微信公开政府信息数385条，其他方式公开政府信息数266条。接收各种咨询1.17万人次。</w:t>
      </w:r>
    </w:p>
    <w:p w14:paraId="0E38E55D">
      <w:pPr>
        <w:bidi w:val="0"/>
        <w:jc w:val="right"/>
        <w:rPr>
          <w:rFonts w:hint="eastAsia"/>
          <w:b/>
          <w:bCs/>
          <w:lang w:val="zh-CN"/>
        </w:rPr>
      </w:pPr>
      <w:r>
        <w:rPr>
          <w:rFonts w:hint="eastAsia"/>
          <w:b/>
          <w:bCs/>
          <w:lang w:val="zh-CN"/>
        </w:rPr>
        <w:t>（王小芳）</w:t>
      </w:r>
    </w:p>
    <w:p w14:paraId="14A8AEF7">
      <w:pPr>
        <w:pStyle w:val="11"/>
        <w:bidi w:val="0"/>
        <w:rPr>
          <w:rFonts w:hint="eastAsia"/>
          <w:b/>
          <w:bCs/>
          <w:lang w:val="zh-CN"/>
        </w:rPr>
      </w:pPr>
      <w:r>
        <w:rPr>
          <w:rFonts w:hint="eastAsia"/>
          <w:b/>
          <w:bCs/>
          <w:lang w:val="zh-CN"/>
        </w:rPr>
        <w:t>附：2018年市信息中心领导班子成员名单</w:t>
      </w:r>
    </w:p>
    <w:p w14:paraId="31645851">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欧阳辉</w:t>
      </w:r>
    </w:p>
    <w:p w14:paraId="70540BA9">
      <w:pPr>
        <w:pStyle w:val="11"/>
        <w:bidi w:val="0"/>
        <w:rPr>
          <w:rFonts w:hint="eastAsia"/>
          <w:lang w:val="zh-CN"/>
        </w:rPr>
      </w:pPr>
      <w:r>
        <w:rPr>
          <w:rFonts w:hint="eastAsia"/>
          <w:b/>
          <w:bCs/>
          <w:lang w:val="zh-CN"/>
        </w:rPr>
        <w:t>副主任：</w:t>
      </w:r>
      <w:r>
        <w:rPr>
          <w:rFonts w:hint="eastAsia"/>
          <w:lang w:val="zh-CN"/>
        </w:rPr>
        <w:t>刘宏斌</w:t>
      </w:r>
    </w:p>
    <w:p w14:paraId="20D0E731">
      <w:pPr>
        <w:pStyle w:val="11"/>
        <w:bidi w:val="0"/>
        <w:ind w:leftChars="400"/>
        <w:rPr>
          <w:rFonts w:hint="eastAsia"/>
          <w:lang w:val="zh-CN"/>
        </w:rPr>
      </w:pPr>
      <w:r>
        <w:rPr>
          <w:rFonts w:hint="eastAsia"/>
          <w:lang w:val="zh-CN"/>
        </w:rPr>
        <w:t>陈</w:t>
      </w:r>
      <w:r>
        <w:rPr>
          <w:rFonts w:hint="eastAsia"/>
          <w:lang w:val="en-US" w:eastAsia="zh-CN"/>
        </w:rPr>
        <w:t xml:space="preserve">  </w:t>
      </w:r>
      <w:r>
        <w:rPr>
          <w:rFonts w:hint="eastAsia"/>
          <w:lang w:val="zh-CN"/>
        </w:rPr>
        <w:t>昊</w:t>
      </w:r>
    </w:p>
    <w:p w14:paraId="458EF14B">
      <w:pPr>
        <w:pStyle w:val="2"/>
        <w:bidi w:val="0"/>
        <w:rPr>
          <w:rFonts w:hint="eastAsia"/>
        </w:rPr>
      </w:pPr>
      <w:r>
        <w:rPr>
          <w:rFonts w:hint="eastAsia"/>
        </w:rPr>
        <w:t>政协南雄市委员会</w:t>
      </w:r>
    </w:p>
    <w:p w14:paraId="5FE42F12">
      <w:pPr>
        <w:pStyle w:val="3"/>
        <w:bidi w:val="0"/>
        <w:rPr>
          <w:rFonts w:hint="eastAsia"/>
        </w:rPr>
      </w:pPr>
      <w:r>
        <w:rPr>
          <w:rFonts w:hint="eastAsia"/>
        </w:rPr>
        <w:t>【政协机构概况】</w:t>
      </w:r>
    </w:p>
    <w:p w14:paraId="39006DE0">
      <w:pPr>
        <w:bidi w:val="0"/>
        <w:rPr>
          <w:rFonts w:hint="eastAsia"/>
        </w:rPr>
      </w:pPr>
      <w:r>
        <w:rPr>
          <w:rFonts w:hint="eastAsia"/>
        </w:rPr>
        <w:t>政协南雄市十届委员会设有界别25个，参加单位96个，现有委员197人，其中政协常委33人。设专门委员会6个，即：提案委员会、经济委员会、教科文卫体委员会、社会法制和民族宗教委员会、学习和文史资料委员会、港澳台侨委员会。各专门委员会主任由政协副主席兼任，副主任由各界有关领导兼任。南雄市政协机关设有“一室二科”，即：政协办公室、组织联络科、宣传科。办公室内设联络协调办公室，专门负责对外联络工作。南雄珠玑巷联谊会由南雄市政协负责管理。政协机关人员编制18名，在职人数18人，其中：科室领导职数7人，现有领导7人。</w:t>
      </w:r>
    </w:p>
    <w:p w14:paraId="387F4A25">
      <w:pPr>
        <w:pStyle w:val="3"/>
        <w:bidi w:val="0"/>
        <w:rPr>
          <w:rFonts w:hint="eastAsia"/>
        </w:rPr>
      </w:pPr>
      <w:r>
        <w:rPr>
          <w:rFonts w:hint="eastAsia"/>
        </w:rPr>
        <w:t>【市政协十届三次会议】</w:t>
      </w:r>
    </w:p>
    <w:p w14:paraId="2A58965A">
      <w:pPr>
        <w:bidi w:val="0"/>
        <w:rPr>
          <w:rFonts w:hint="eastAsia"/>
        </w:rPr>
      </w:pPr>
      <w:r>
        <w:rPr>
          <w:rFonts w:hint="eastAsia"/>
        </w:rPr>
        <w:t>中国人民政治协商会议第十届南雄市委员会第三次会议于2018年3月26至28日在市迎宾馆举行，会议审议并同意何人平主席代表常务委员会所作的工作报告，袁元桃副主席代表常务委员会所作的提案工作情况的报告，委员们列席市第十五届人民代表大会第四次会议，听取并讨论政府工作报告。会议表彰2017年度优秀政协委员和市政协十届二次会议以来的优秀提案。会议圆满完成各项议程。</w:t>
      </w:r>
    </w:p>
    <w:p w14:paraId="3E74C187">
      <w:pPr>
        <w:bidi w:val="0"/>
        <w:rPr>
          <w:rFonts w:hint="eastAsia"/>
        </w:rPr>
      </w:pPr>
      <w:r>
        <w:rPr>
          <w:rFonts w:hint="eastAsia"/>
        </w:rPr>
        <w:t>会议认为，2017年是全市实施“十三五”规划承前启后、继往开来的关键一年。一年来，市委、市政府团结带领全市人民，按照“打苏区牌、走生态路，主动融入珠三角，实现与珠三角一体化发展，加快建设粤北门户城市”总体思路，大力实施“六大战略”，着力稳增长、促改革、调结构、惠民生、防风险，较好完成全年目标任务。同时，2018年重点工作思路清晰，目标明确，措施有力，符合南雄实际，代表全市人民的共同心愿，必将进一步推进全市经济社会持续健康发展。</w:t>
      </w:r>
    </w:p>
    <w:p w14:paraId="1D2ABECB">
      <w:pPr>
        <w:bidi w:val="0"/>
        <w:rPr>
          <w:rFonts w:hint="eastAsia"/>
        </w:rPr>
      </w:pPr>
      <w:r>
        <w:rPr>
          <w:rFonts w:hint="eastAsia"/>
        </w:rPr>
        <w:t>会议同意市政协常委会工作报告和提案工作报告。会议认为，2017年是政协工作亮点纷呈、硕果累累的一年。在中共南雄市委的领导和市政府的大力支持下，坚持团结民主两大主题，围绕中心，服务大局，紧扣建设粤北门户城市的战略目标，全面履行政治协商、民主监督、参政议政职能，汇众智谋发展，凝共识促和谐，为推进全市经济社会建设和人民政协事业发展作出积极贡献。</w:t>
      </w:r>
    </w:p>
    <w:p w14:paraId="5D9ED34D">
      <w:pPr>
        <w:bidi w:val="0"/>
        <w:rPr>
          <w:rFonts w:hint="eastAsia"/>
        </w:rPr>
      </w:pPr>
      <w:r>
        <w:rPr>
          <w:rFonts w:hint="eastAsia"/>
        </w:rPr>
        <w:t>会议强调，2018年是决胜全面建成小康社会的关键一年，刚刚胜利闭幕的全国政协十三届一次会议为以后的政协工作指明方向，要认真学习贯彻习近平新时代中国特色社会主义思想和中共十九大精神，贯彻落实市委十三届五次全会精神，围绕中心，服务大局，认真履行政治协商、民主监督、参政议政三大职能，深入调研视察，广泛协商议政、积极建诤言，谋良策、出实招，在新的起点上争取更大作为，发挥更大作用。</w:t>
      </w:r>
    </w:p>
    <w:p w14:paraId="61FD52F0">
      <w:pPr>
        <w:bidi w:val="0"/>
        <w:rPr>
          <w:rFonts w:hint="eastAsia"/>
        </w:rPr>
      </w:pPr>
      <w:r>
        <w:rPr>
          <w:rFonts w:hint="eastAsia"/>
        </w:rPr>
        <w:t>会议号召，全市政协各参加单位和全体政协委员，要用习近平新时代中国特色社会主义思想统领人民政协工作，贯彻习近平总书记对广东工作的重要指示批示精神，在中共南雄市委的坚强领导下，不忘初心</w:t>
      </w:r>
      <w:r>
        <w:rPr>
          <w:rFonts w:hint="eastAsia"/>
          <w:lang w:eastAsia="zh-CN"/>
        </w:rPr>
        <w:t>、</w:t>
      </w:r>
      <w:r>
        <w:rPr>
          <w:rFonts w:hint="eastAsia"/>
        </w:rPr>
        <w:t>牢记使命，履职尽责，为开创人民政协事业的新局面，为决胜全面建成小康社会，为实现南雄振兴崛起而努力奋斗！</w:t>
      </w:r>
    </w:p>
    <w:p w14:paraId="496A12F4">
      <w:pPr>
        <w:bidi w:val="0"/>
        <w:rPr>
          <w:rFonts w:hint="eastAsia"/>
        </w:rPr>
      </w:pPr>
      <w:r>
        <w:rPr>
          <w:rFonts w:hint="eastAsia"/>
        </w:rPr>
        <w:t>2018年3月27日，政协第十届南雄市委员会第三次会议期间，各位委员围绕全市经济社会发展中的热点、难点问题提出很多宝贵的意见和建议，其中在即席发言环节，易艳辉等8位委员提出《关于加快推进南雄特色小镇建设的建议》等8个建议。</w:t>
      </w:r>
    </w:p>
    <w:p w14:paraId="7B1891A1">
      <w:pPr>
        <w:bidi w:val="0"/>
        <w:rPr>
          <w:rFonts w:hint="eastAsia"/>
        </w:rPr>
      </w:pPr>
      <w:r>
        <w:rPr>
          <w:rFonts w:hint="eastAsia"/>
        </w:rPr>
        <w:t>会后，市委、市政府高度重视，坚持高规格、高标准、高质量原则，于2018年4月20日召开人大议案、政协提案专题交办会议，市四套班子主要领导均出席会议，及时将议案、提案交办给相关科局和部门，并对即席发言提出的建议进行研究部署，专门制定《政协第十届南雄市委员会第三次会议即席发言建议落实安排表》，明确具体落实的牵头市领导、责任单位和协办单位，层层压实责任。各建议落实责任单位能够切实加强领导，主动承担责任，改进办理方式，扎实推进办理工作。截至2018年11月底，8个建议事项基本得到落实，责任单位也分别与提出建议委员进行沟通答复，委员们对落实情况表示基本满意。</w:t>
      </w:r>
    </w:p>
    <w:p w14:paraId="4F5DCA03">
      <w:pPr>
        <w:pStyle w:val="3"/>
        <w:bidi w:val="0"/>
        <w:rPr>
          <w:rFonts w:hint="eastAsia"/>
        </w:rPr>
      </w:pPr>
      <w:r>
        <w:rPr>
          <w:rFonts w:hint="eastAsia"/>
        </w:rPr>
        <w:t>【调查研究】</w:t>
      </w:r>
    </w:p>
    <w:p w14:paraId="71302D0B">
      <w:pPr>
        <w:bidi w:val="0"/>
        <w:rPr>
          <w:rFonts w:hint="eastAsia"/>
        </w:rPr>
      </w:pPr>
      <w:r>
        <w:rPr>
          <w:rFonts w:hint="eastAsia"/>
        </w:rPr>
        <w:t>1—9月，市政协组织各专委、各民主党派、工商联、无党派人士等组成9个专题调研组，选准课题、带着问题、邀请专家点题，深入开展专题深调研活动，反复召开调研论证会。历时9个月，形成一批质量较高的调研报告。如：《培育文明乡风，助力乡村振兴》在省、市级媒体分别刊登发表，《塑文化之魂，强旅游之体》《凝聚乡贤力量，推动南雄发展》《发展中草药产业，培育农业新动能》《打造基金小镇，增强我市投融资能力》等调研报告，受到市委、市政府主要领导的批示和高度评价，成为市委、市政府科学决策的重要参考依据。</w:t>
      </w:r>
    </w:p>
    <w:p w14:paraId="31F6D323">
      <w:pPr>
        <w:pStyle w:val="3"/>
        <w:bidi w:val="0"/>
        <w:rPr>
          <w:rFonts w:hint="eastAsia"/>
        </w:rPr>
      </w:pPr>
      <w:r>
        <w:rPr>
          <w:rFonts w:hint="eastAsia"/>
        </w:rPr>
        <w:t>【协商议政】</w:t>
      </w:r>
    </w:p>
    <w:p w14:paraId="1F39333F">
      <w:pPr>
        <w:bidi w:val="0"/>
        <w:rPr>
          <w:rFonts w:hint="eastAsia"/>
        </w:rPr>
      </w:pPr>
      <w:r>
        <w:rPr>
          <w:rFonts w:hint="eastAsia"/>
        </w:rPr>
        <w:t>市政协及其常委会以提案办理协商和专题协商作为政协履职的着力点，选准角度主动协商议政。建立健全提案办理协商的制度机制，推进提案办理协商制度化、规范化。在坚持市委书记、市长、市政协主席领衔督办重点提案的基础上，延伸到市政协副主席领衔督办，推动党政部门“一把手”重视提案办理的落实；对重点提案的办理工作进行民主评议。大胆探索专题协商履职方式，选准专题协商课题，发挥政协人才荟萃的优势，以更高的站位，更开阔的视野，广泛聚集专家委员的智慧，在深入开展调查研究的基础上，开展专题协商议政活动，向市政府及其部门建言献策。先后对《南雄市城镇提升三年行动规划纲要》《南雄市珠玑古巷升级改造规划》进行专题协商；提出更有针对性、前瞻性、科学性、可行性的意见和建议，得到市政府及其相关部门的充分认可并被采纳。</w:t>
      </w:r>
    </w:p>
    <w:p w14:paraId="08D9BB10">
      <w:pPr>
        <w:pStyle w:val="3"/>
        <w:bidi w:val="0"/>
        <w:rPr>
          <w:rFonts w:hint="eastAsia"/>
        </w:rPr>
      </w:pPr>
      <w:r>
        <w:rPr>
          <w:rFonts w:hint="eastAsia"/>
        </w:rPr>
        <w:t>【民主监督】</w:t>
      </w:r>
    </w:p>
    <w:p w14:paraId="0FFC9BFB">
      <w:pPr>
        <w:bidi w:val="0"/>
        <w:rPr>
          <w:rFonts w:hint="eastAsia"/>
        </w:rPr>
      </w:pPr>
      <w:r>
        <w:rPr>
          <w:rFonts w:hint="eastAsia"/>
        </w:rPr>
        <w:t>市政协及其常委会积极探索民主监督的有效途径，发挥3个民主监督小组的优势，在政府机关效能、执行重大决策、推进重大项目建设和民生事业中，选取人民群众关心的“热点”个案，开展民主监督系列活动。如：北城大道和崇贤大道的建设，在民主监督小组的监督下，2018年上半年全面竣工。2018年，市政协先后派出委员到政府部门、司法部门、社会团体、企业事业单位等开展民主监督活动，对政府重大项目建设、民生事业以及行政部门、司法部门的执法活动进行民主监督，累计委员参与听证、评议、评审、民主测评等各类活动200人次。</w:t>
      </w:r>
    </w:p>
    <w:p w14:paraId="4BC7CCF3">
      <w:pPr>
        <w:pStyle w:val="3"/>
        <w:bidi w:val="0"/>
        <w:rPr>
          <w:rFonts w:hint="eastAsia"/>
        </w:rPr>
      </w:pPr>
      <w:r>
        <w:rPr>
          <w:rFonts w:hint="eastAsia"/>
        </w:rPr>
        <w:t>【团结联谊】</w:t>
      </w:r>
    </w:p>
    <w:p w14:paraId="7FB0B5F0">
      <w:pPr>
        <w:bidi w:val="0"/>
        <w:rPr>
          <w:rFonts w:hint="eastAsia"/>
        </w:rPr>
      </w:pPr>
      <w:r>
        <w:rPr>
          <w:rFonts w:hint="eastAsia"/>
        </w:rPr>
        <w:t>3月，市政协深入到民革、民盟、九三学社、工商联、无党派知识分子联谊会开展调研活动，分别专门召开座谈会，广泛听取意见建议，帮助解决问题。增进思想政治共识，重温多党合作初心，牢记为中华民族谋复兴的历史使命，携手共推南雄发展。</w:t>
      </w:r>
    </w:p>
    <w:p w14:paraId="02BFCF9A">
      <w:pPr>
        <w:bidi w:val="0"/>
        <w:rPr>
          <w:rFonts w:hint="eastAsia"/>
        </w:rPr>
      </w:pPr>
      <w:r>
        <w:rPr>
          <w:rFonts w:hint="eastAsia"/>
        </w:rPr>
        <w:t>市政协牵头举办南雄市第五届姓氏文化旅游节暨黎氏恳亲大会系列活动，来自海内外嘉宾3万多人，进一步擦亮中国姓氏文化名都品牌。大力支持南雄珠玑巷联谊会开展工作，规范各姓氏联谊会的管理，协助珠玑巷联谊会成功通过“5A级的社会团体”评估工作的验收，协助其顺利完成换届工作，引导和支持其探索“以商养会、以会促商”发展之路。借助南雄珠玑巷联谊会平台，加强与珠玑巷各地联谊会、商会、外出乡贤、各界人士联谊，通过举办“乡贤杯”羽毛球赛等活动，促进各地联谊会、商会、外出乡贤之间的交流与经贸合作，激发爱家爱乡和反哺家乡建设的热情。9月，市政协率相关部门负责人、珠玑巷联谊会各地会长、商会会长，赴重庆市广东商会学习“以商养会”经验暨开展经贸活动，成功签订3个意向投资协议。其中：国家级高新技术企业渝丰线缆有限公司意向投资南雄的合同资金约5亿元。11月，重庆市广东商会和渝丰公司等企业负责人应邀出席南雄市第五届姓氏文化节活动暨考察南雄投资环境，进一步增强来雄投资的信心。协助珠玑巷中山联谊会开展乡贤们回乡投资考察系列活动，使他们对返乡投资置业充满信心。</w:t>
      </w:r>
    </w:p>
    <w:p w14:paraId="0D774EEF">
      <w:pPr>
        <w:pStyle w:val="3"/>
        <w:bidi w:val="0"/>
        <w:rPr>
          <w:rFonts w:hint="eastAsia"/>
        </w:rPr>
      </w:pPr>
      <w:r>
        <w:rPr>
          <w:rFonts w:hint="eastAsia"/>
        </w:rPr>
        <w:t>【文史宣传】</w:t>
      </w:r>
    </w:p>
    <w:p w14:paraId="406123D7">
      <w:pPr>
        <w:bidi w:val="0"/>
        <w:rPr>
          <w:rFonts w:hint="eastAsia"/>
        </w:rPr>
      </w:pPr>
      <w:r>
        <w:rPr>
          <w:rFonts w:hint="eastAsia"/>
        </w:rPr>
        <w:t>深挖南雄人文历史，开展文史资政工作。为尽快完成文史补遗工作任务，专门组织政协委员赴浙江宁波“天一阁”、南京图书馆查找相关资料并及时整理，挖掘“史源”，论证史实，并将补遗取得的初步成果编印成《南雄文史补遗》专刊。同时积极参与编辑出版《篛过书房》《南雄革命老区发展史》工作。开通“文史南雄”微信公众号，利用现代传媒方式，在线上营造“人人讲好南雄故事”的浓厚氛围，夯实文化旅游产业基础，真正让文史工作“活起来”“传下去”。积极向国家、省、市级媒体投稿，大力宣传政协履职成果；坚持办好《委员风采》《乡贤风采》栏目，广泛宣传政协委员、外出乡贤热爱家乡、反哺家乡的先进典型事迹，传递正能量，为人民政协履职营造良好的舆论氛围。</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53E9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555C5EA">
            <w:pPr>
              <w:bidi w:val="0"/>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6170" cy="3771900"/>
                  <wp:effectExtent l="0" t="0" r="5080" b="0"/>
                  <wp:docPr id="108" name="图片 108" descr="南雄年鉴2019_0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南雄年鉴2019_0083"/>
                          <pic:cNvPicPr>
                            <a:picLocks noChangeAspect="1"/>
                          </pic:cNvPicPr>
                        </pic:nvPicPr>
                        <pic:blipFill>
                          <a:blip r:embed="rId95"/>
                          <a:stretch>
                            <a:fillRect/>
                          </a:stretch>
                        </pic:blipFill>
                        <pic:spPr>
                          <a:xfrm>
                            <a:off x="0" y="0"/>
                            <a:ext cx="6186170" cy="3771900"/>
                          </a:xfrm>
                          <a:prstGeom prst="rect">
                            <a:avLst/>
                          </a:prstGeom>
                        </pic:spPr>
                      </pic:pic>
                    </a:graphicData>
                  </a:graphic>
                </wp:inline>
              </w:drawing>
            </w:r>
          </w:p>
        </w:tc>
      </w:tr>
      <w:tr w14:paraId="1363C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5554065">
            <w:pPr>
              <w:bidi w:val="0"/>
              <w:rPr>
                <w:rFonts w:hint="eastAsia"/>
                <w:vertAlign w:val="baseline"/>
              </w:rPr>
            </w:pPr>
            <w:r>
              <w:rPr>
                <w:rFonts w:hint="eastAsia" w:ascii="FZKTK--GBK1-0" w:hAnsi="FZKTK--GBK1-0" w:eastAsia="FZKTK--GBK1-0"/>
                <w:sz w:val="20"/>
              </w:rPr>
              <w:t>11月8</w:t>
            </w:r>
            <w:r>
              <w:rPr>
                <w:rFonts w:hint="eastAsia" w:ascii="FZKTK--GBK1-0" w:hAnsi="FZKTK--GBK1-0" w:eastAsia="FZKTK--GBK1-0"/>
                <w:sz w:val="20"/>
                <w:lang w:eastAsia="zh-CN"/>
              </w:rPr>
              <w:t>_</w:t>
            </w:r>
            <w:r>
              <w:rPr>
                <w:rFonts w:hint="eastAsia" w:ascii="FZKTK--GBK1-0" w:hAnsi="FZKTK--GBK1-0" w:eastAsia="FZKTK--GBK1-0"/>
                <w:sz w:val="20"/>
              </w:rPr>
              <w:t>9日，广东省政协副主席林雄率队到南雄市开展“推进我省乡村振兴战略落实”监督调研和古驿道调研（肖锋</w:t>
            </w:r>
            <w:r>
              <w:rPr>
                <w:rFonts w:hint="eastAsia" w:ascii="FZKTK--GBK1-0" w:hAnsi="FZKTK--GBK1-0" w:eastAsia="FZKTK--GBK1-0"/>
                <w:sz w:val="20"/>
                <w:lang w:val="en-US" w:eastAsia="zh-CN"/>
              </w:rPr>
              <w:t xml:space="preserve">  </w:t>
            </w:r>
            <w:r>
              <w:rPr>
                <w:rFonts w:hint="eastAsia" w:ascii="FZKTK--GBK1-0" w:hAnsi="FZKTK--GBK1-0" w:eastAsia="FZKTK--GBK1-0"/>
                <w:sz w:val="20"/>
              </w:rPr>
              <w:t>摄）</w:t>
            </w:r>
          </w:p>
        </w:tc>
      </w:tr>
    </w:tbl>
    <w:p w14:paraId="00917D81">
      <w:pPr>
        <w:pStyle w:val="3"/>
        <w:bidi w:val="0"/>
        <w:rPr>
          <w:rFonts w:hint="eastAsia"/>
        </w:rPr>
      </w:pPr>
      <w:r>
        <w:rPr>
          <w:rFonts w:hint="eastAsia"/>
        </w:rPr>
        <w:t>【履职提升】</w:t>
      </w:r>
    </w:p>
    <w:p w14:paraId="6A6502BB">
      <w:pPr>
        <w:bidi w:val="0"/>
        <w:rPr>
          <w:rFonts w:hint="eastAsia"/>
          <w:b/>
          <w:bCs/>
        </w:rPr>
      </w:pPr>
      <w:r>
        <w:rPr>
          <w:rFonts w:hint="eastAsia"/>
        </w:rPr>
        <w:t>加强委员培训工作。通过以会代训、与复旦大学联合举办培训班等形式，加强政治和业务学习，提升履职能力水平。加强履职绩效考核，强化考核结果运用，建立奖惩机制。通过抓综合能力提升，涌现一批政协委员（企业家）履行“一岗双责”职责感人事迹。如：乐华陶瓷公司总经理金波带领企业摆脱困境，在用工减员的情况下决不减一个贫困员工，2018年生产总值突破2.2亿元，企业创税2000多万元。自由能公司总经理杨青坡带领企业自主创新，使公司荣获“国家高新技术企业”等10多个国家、省级荣誉称号，2018年创税近800多万元。衡光公司执行总经理闫树德推动创新发展，企业创税稳步增长，公司被评为“党建+精准扶贫突出贡献企业”，其本人也被评为2018年第一季度“南雄好人”。汇浦公司董事长周细妹带领企业员工开拓市场，2018年完成销售总额1亿多元，创税203万元，提供就业岗位300多个，扶贫济困捐款累计21万元。广东江南理工学院董事长梁雯斌热心智力扶贫，积极反哺家乡，2016年以来，资助南雄籍贫困学生45人，累计资金135万元。2018年，政协委员在雄企业累计完成生产总值约30亿元，企业创税5000多万元，解决就业岗位3000多个，捐款支持南雄教育、医疗、慈善、福利事业累计资金300多万元，为南雄经济社会发展做出重要贡献。</w:t>
      </w:r>
      <w:r>
        <w:rPr>
          <w:rFonts w:hint="eastAsia"/>
          <w:b/>
          <w:bCs/>
        </w:rPr>
        <w:t>（肖</w:t>
      </w:r>
      <w:r>
        <w:rPr>
          <w:rFonts w:hint="eastAsia"/>
          <w:b/>
          <w:bCs/>
          <w:lang w:val="en-US" w:eastAsia="zh-CN"/>
        </w:rPr>
        <w:t xml:space="preserve">  </w:t>
      </w:r>
      <w:r>
        <w:rPr>
          <w:rFonts w:hint="eastAsia"/>
          <w:b/>
          <w:bCs/>
        </w:rPr>
        <w:t>锋）</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0BF1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F2AF67A">
            <w:pPr>
              <w:bidi w:val="0"/>
              <w:ind w:left="0" w:leftChars="0" w:firstLine="0" w:firstLineChars="0"/>
              <w:jc w:val="center"/>
              <w:rPr>
                <w:rFonts w:hint="eastAsia" w:eastAsia="宋体"/>
                <w:b/>
                <w:bCs/>
                <w:vertAlign w:val="baseline"/>
                <w:lang w:eastAsia="zh-CN"/>
              </w:rPr>
            </w:pPr>
            <w:r>
              <w:rPr>
                <w:rFonts w:hint="eastAsia" w:eastAsia="宋体"/>
                <w:b/>
                <w:bCs/>
                <w:vertAlign w:val="baseline"/>
                <w:lang w:eastAsia="zh-CN"/>
              </w:rPr>
              <w:drawing>
                <wp:inline distT="0" distB="0" distL="114300" distR="114300">
                  <wp:extent cx="6182995" cy="3766185"/>
                  <wp:effectExtent l="0" t="0" r="8255" b="5715"/>
                  <wp:docPr id="109" name="图片 109" descr="南雄年鉴2019_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南雄年鉴2019_0084"/>
                          <pic:cNvPicPr>
                            <a:picLocks noChangeAspect="1"/>
                          </pic:cNvPicPr>
                        </pic:nvPicPr>
                        <pic:blipFill>
                          <a:blip r:embed="rId96"/>
                          <a:stretch>
                            <a:fillRect/>
                          </a:stretch>
                        </pic:blipFill>
                        <pic:spPr>
                          <a:xfrm>
                            <a:off x="0" y="0"/>
                            <a:ext cx="6182995" cy="3766185"/>
                          </a:xfrm>
                          <a:prstGeom prst="rect">
                            <a:avLst/>
                          </a:prstGeom>
                        </pic:spPr>
                      </pic:pic>
                    </a:graphicData>
                  </a:graphic>
                </wp:inline>
              </w:drawing>
            </w:r>
          </w:p>
        </w:tc>
      </w:tr>
      <w:tr w14:paraId="2096F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91E5479">
            <w:pPr>
              <w:bidi w:val="0"/>
              <w:rPr>
                <w:rFonts w:hint="eastAsia"/>
                <w:b/>
                <w:bCs/>
                <w:vertAlign w:val="baseline"/>
              </w:rPr>
            </w:pPr>
            <w:r>
              <w:rPr>
                <w:rFonts w:hint="eastAsia" w:ascii="FZKTK--GBK1-0" w:hAnsi="FZKTK--GBK1-0" w:eastAsia="FZKTK--GBK1-0"/>
                <w:sz w:val="20"/>
              </w:rPr>
              <w:t>南雄市政协委员赴上海复旦大学开展创新能力提升培训学习（肖锋</w:t>
            </w:r>
            <w:r>
              <w:rPr>
                <w:rFonts w:hint="eastAsia" w:ascii="FZKTK--GBK1-0" w:hAnsi="FZKTK--GBK1-0" w:eastAsia="FZKTK--GBK1-0"/>
                <w:sz w:val="20"/>
                <w:lang w:val="en-US" w:eastAsia="zh-CN"/>
              </w:rPr>
              <w:t xml:space="preserve">  </w:t>
            </w:r>
            <w:r>
              <w:rPr>
                <w:rFonts w:hint="eastAsia" w:ascii="FZKTK--GBK1-0" w:hAnsi="FZKTK--GBK1-0" w:eastAsia="FZKTK--GBK1-0"/>
                <w:sz w:val="20"/>
              </w:rPr>
              <w:t>摄）</w:t>
            </w:r>
          </w:p>
        </w:tc>
      </w:tr>
    </w:tbl>
    <w:p w14:paraId="66D0E470">
      <w:pPr>
        <w:pStyle w:val="11"/>
        <w:bidi w:val="0"/>
        <w:rPr>
          <w:rFonts w:hint="eastAsia"/>
          <w:b/>
          <w:bCs/>
        </w:rPr>
      </w:pPr>
      <w:r>
        <w:rPr>
          <w:rFonts w:hint="eastAsia"/>
          <w:b/>
          <w:bCs/>
        </w:rPr>
        <w:t>附：2018年南雄市政协领导班子成员名单</w:t>
      </w:r>
    </w:p>
    <w:p w14:paraId="39D00D38">
      <w:pPr>
        <w:pStyle w:val="11"/>
        <w:bidi w:val="0"/>
        <w:rPr>
          <w:rFonts w:hint="eastAsia"/>
        </w:rPr>
      </w:pPr>
      <w:r>
        <w:rPr>
          <w:rFonts w:hint="eastAsia"/>
          <w:b/>
          <w:bCs/>
        </w:rPr>
        <w:t>主</w:t>
      </w:r>
      <w:r>
        <w:rPr>
          <w:rFonts w:hint="eastAsia"/>
          <w:b/>
          <w:bCs/>
          <w:lang w:val="en-US" w:eastAsia="zh-CN"/>
        </w:rPr>
        <w:t xml:space="preserve">  </w:t>
      </w:r>
      <w:r>
        <w:rPr>
          <w:rFonts w:hint="eastAsia"/>
          <w:b/>
          <w:bCs/>
        </w:rPr>
        <w:t>席：</w:t>
      </w:r>
      <w:r>
        <w:rPr>
          <w:rFonts w:hint="eastAsia"/>
        </w:rPr>
        <w:t>何人平</w:t>
      </w:r>
    </w:p>
    <w:p w14:paraId="36E871C6">
      <w:pPr>
        <w:pStyle w:val="11"/>
        <w:bidi w:val="0"/>
        <w:rPr>
          <w:rFonts w:hint="eastAsia"/>
        </w:rPr>
      </w:pPr>
      <w:r>
        <w:rPr>
          <w:rFonts w:hint="eastAsia"/>
          <w:b/>
          <w:bCs/>
        </w:rPr>
        <w:t>副主席：</w:t>
      </w:r>
      <w:r>
        <w:rPr>
          <w:rFonts w:hint="eastAsia"/>
        </w:rPr>
        <w:t>袁元桃</w:t>
      </w:r>
      <w:r>
        <w:rPr>
          <w:rFonts w:hint="eastAsia"/>
          <w:lang w:val="en-US" w:eastAsia="zh-CN"/>
        </w:rPr>
        <w:t xml:space="preserve">   </w:t>
      </w:r>
      <w:r>
        <w:rPr>
          <w:rFonts w:hint="eastAsia"/>
        </w:rPr>
        <w:t>赖华焜</w:t>
      </w:r>
    </w:p>
    <w:p w14:paraId="7356B7B0">
      <w:pPr>
        <w:pStyle w:val="11"/>
        <w:bidi w:val="0"/>
        <w:ind w:leftChars="400"/>
        <w:rPr>
          <w:rFonts w:hint="eastAsia"/>
        </w:rPr>
      </w:pPr>
      <w:r>
        <w:rPr>
          <w:rFonts w:hint="eastAsia"/>
        </w:rPr>
        <w:t>刘卫忠</w:t>
      </w:r>
      <w:r>
        <w:rPr>
          <w:rFonts w:hint="eastAsia"/>
          <w:lang w:val="en-US" w:eastAsia="zh-CN"/>
        </w:rPr>
        <w:t xml:space="preserve">   </w:t>
      </w:r>
      <w:r>
        <w:rPr>
          <w:rFonts w:hint="eastAsia"/>
        </w:rPr>
        <w:t>罗战勇</w:t>
      </w:r>
    </w:p>
    <w:p w14:paraId="0B24B83D">
      <w:pPr>
        <w:pStyle w:val="11"/>
        <w:bidi w:val="0"/>
        <w:ind w:leftChars="400"/>
        <w:rPr>
          <w:rFonts w:hint="eastAsia"/>
        </w:rPr>
      </w:pPr>
      <w:r>
        <w:rPr>
          <w:rFonts w:hint="eastAsia"/>
        </w:rPr>
        <w:t>陈尚妹</w:t>
      </w:r>
      <w:r>
        <w:rPr>
          <w:rFonts w:hint="eastAsia"/>
          <w:lang w:val="en-US" w:eastAsia="zh-CN"/>
        </w:rPr>
        <w:t xml:space="preserve">   </w:t>
      </w:r>
      <w:r>
        <w:rPr>
          <w:rFonts w:hint="eastAsia"/>
        </w:rPr>
        <w:t>肖梅山</w:t>
      </w:r>
    </w:p>
    <w:p w14:paraId="1EF9B235">
      <w:pPr>
        <w:pStyle w:val="11"/>
        <w:bidi w:val="0"/>
        <w:rPr>
          <w:rFonts w:hint="eastAsia"/>
        </w:rPr>
      </w:pPr>
      <w:r>
        <w:rPr>
          <w:rFonts w:hint="eastAsia"/>
          <w:b/>
          <w:bCs/>
        </w:rPr>
        <w:t>秘书长：</w:t>
      </w:r>
      <w:r>
        <w:rPr>
          <w:rFonts w:hint="eastAsia"/>
        </w:rPr>
        <w:t>朱定球</w:t>
      </w:r>
    </w:p>
    <w:p w14:paraId="0C18B41B">
      <w:pPr>
        <w:pStyle w:val="11"/>
        <w:bidi w:val="0"/>
        <w:rPr>
          <w:rFonts w:hint="eastAsia"/>
          <w:b/>
          <w:bCs/>
        </w:rPr>
      </w:pPr>
      <w:r>
        <w:rPr>
          <w:rFonts w:hint="eastAsia"/>
          <w:b/>
          <w:bCs/>
        </w:rPr>
        <w:t>2018年市政协机关领导班子成员名单</w:t>
      </w:r>
    </w:p>
    <w:p w14:paraId="095BF76F">
      <w:pPr>
        <w:pStyle w:val="11"/>
        <w:bidi w:val="0"/>
        <w:rPr>
          <w:rFonts w:hint="eastAsia"/>
        </w:rPr>
      </w:pPr>
      <w:r>
        <w:rPr>
          <w:rFonts w:hint="eastAsia"/>
          <w:b/>
          <w:bCs/>
        </w:rPr>
        <w:t>办公室主任：</w:t>
      </w:r>
      <w:r>
        <w:rPr>
          <w:rFonts w:hint="eastAsia"/>
        </w:rPr>
        <w:t>朱定球</w:t>
      </w:r>
    </w:p>
    <w:p w14:paraId="4E653F91">
      <w:pPr>
        <w:pStyle w:val="11"/>
        <w:bidi w:val="0"/>
        <w:rPr>
          <w:rFonts w:hint="eastAsia"/>
          <w:b/>
          <w:bCs/>
        </w:rPr>
      </w:pPr>
      <w:r>
        <w:rPr>
          <w:rFonts w:hint="eastAsia"/>
          <w:b/>
          <w:bCs/>
        </w:rPr>
        <w:t>办公室副主任：</w:t>
      </w:r>
    </w:p>
    <w:p w14:paraId="08B60FA0">
      <w:pPr>
        <w:pStyle w:val="11"/>
        <w:bidi w:val="0"/>
        <w:ind w:leftChars="400"/>
        <w:rPr>
          <w:rFonts w:hint="eastAsia"/>
        </w:rPr>
      </w:pPr>
      <w:r>
        <w:rPr>
          <w:rFonts w:hint="eastAsia"/>
        </w:rPr>
        <w:t>黄永寿（任至2月）</w:t>
      </w:r>
    </w:p>
    <w:p w14:paraId="579B9A1A">
      <w:pPr>
        <w:pStyle w:val="11"/>
        <w:bidi w:val="0"/>
        <w:ind w:leftChars="400"/>
        <w:rPr>
          <w:rFonts w:hint="eastAsia"/>
        </w:rPr>
      </w:pPr>
      <w:r>
        <w:rPr>
          <w:rFonts w:hint="eastAsia"/>
        </w:rPr>
        <w:t>钟春艳</w:t>
      </w:r>
    </w:p>
    <w:p w14:paraId="7DEBB52F">
      <w:pPr>
        <w:pStyle w:val="11"/>
        <w:bidi w:val="0"/>
        <w:ind w:leftChars="400"/>
        <w:rPr>
          <w:rFonts w:hint="eastAsia"/>
        </w:rPr>
      </w:pPr>
      <w:r>
        <w:rPr>
          <w:rFonts w:hint="eastAsia"/>
        </w:rPr>
        <w:t>曾志明（2月任职）</w:t>
      </w:r>
    </w:p>
    <w:p w14:paraId="4665D97A">
      <w:pPr>
        <w:pStyle w:val="11"/>
        <w:bidi w:val="0"/>
        <w:rPr>
          <w:rFonts w:hint="eastAsia"/>
        </w:rPr>
      </w:pPr>
      <w:r>
        <w:rPr>
          <w:rFonts w:hint="eastAsia"/>
          <w:b/>
          <w:bCs/>
        </w:rPr>
        <w:t>组织联络科科长：</w:t>
      </w:r>
      <w:r>
        <w:rPr>
          <w:rFonts w:hint="eastAsia"/>
        </w:rPr>
        <w:t>叶建华</w:t>
      </w:r>
    </w:p>
    <w:p w14:paraId="30BB16DB">
      <w:pPr>
        <w:pStyle w:val="11"/>
        <w:bidi w:val="0"/>
        <w:rPr>
          <w:rFonts w:hint="eastAsia"/>
        </w:rPr>
      </w:pPr>
      <w:r>
        <w:rPr>
          <w:rFonts w:hint="eastAsia"/>
          <w:b/>
          <w:bCs/>
        </w:rPr>
        <w:t>组织联络科副科长：</w:t>
      </w:r>
      <w:r>
        <w:rPr>
          <w:rFonts w:hint="eastAsia"/>
        </w:rPr>
        <w:t>黄云鹤</w:t>
      </w:r>
    </w:p>
    <w:p w14:paraId="740872D3">
      <w:pPr>
        <w:pStyle w:val="11"/>
        <w:bidi w:val="0"/>
        <w:rPr>
          <w:rFonts w:hint="eastAsia"/>
        </w:rPr>
      </w:pPr>
      <w:r>
        <w:rPr>
          <w:rFonts w:hint="eastAsia"/>
          <w:b/>
          <w:bCs/>
        </w:rPr>
        <w:t>宣传科科长：</w:t>
      </w:r>
      <w:r>
        <w:rPr>
          <w:rFonts w:hint="eastAsia"/>
        </w:rPr>
        <w:t>钟筱蓉</w:t>
      </w:r>
    </w:p>
    <w:p w14:paraId="6DB1D588">
      <w:pPr>
        <w:pStyle w:val="11"/>
        <w:bidi w:val="0"/>
        <w:rPr>
          <w:rFonts w:hint="eastAsia"/>
          <w:b/>
          <w:bCs/>
        </w:rPr>
      </w:pPr>
      <w:r>
        <w:rPr>
          <w:rFonts w:hint="eastAsia"/>
          <w:b/>
          <w:bCs/>
        </w:rPr>
        <w:t>宣传科副科长：</w:t>
      </w:r>
    </w:p>
    <w:p w14:paraId="7A66EE16">
      <w:pPr>
        <w:pStyle w:val="11"/>
        <w:bidi w:val="0"/>
        <w:ind w:leftChars="400"/>
        <w:rPr>
          <w:rFonts w:hint="eastAsia"/>
        </w:rPr>
      </w:pPr>
      <w:r>
        <w:rPr>
          <w:rFonts w:hint="eastAsia"/>
        </w:rPr>
        <w:t>黄永寿（2月任职）</w:t>
      </w:r>
    </w:p>
    <w:p w14:paraId="60000DC3">
      <w:pPr>
        <w:pStyle w:val="11"/>
        <w:bidi w:val="0"/>
        <w:rPr>
          <w:rFonts w:hint="eastAsia"/>
        </w:rPr>
      </w:pPr>
      <w:r>
        <w:rPr>
          <w:rFonts w:hint="eastAsia"/>
          <w:b/>
          <w:bCs/>
        </w:rPr>
        <w:t>工会主席：</w:t>
      </w:r>
      <w:r>
        <w:rPr>
          <w:rFonts w:hint="eastAsia"/>
        </w:rPr>
        <w:t>李赞香</w:t>
      </w:r>
    </w:p>
    <w:p w14:paraId="445EF158">
      <w:pPr>
        <w:pStyle w:val="2"/>
        <w:bidi w:val="0"/>
        <w:rPr>
          <w:rFonts w:hint="eastAsia"/>
        </w:rPr>
      </w:pPr>
      <w:r>
        <w:rPr>
          <w:rFonts w:hint="eastAsia"/>
        </w:rPr>
        <w:t>南雄市纪律检查委员会和监察委员会</w:t>
      </w:r>
    </w:p>
    <w:p w14:paraId="0B9E5970">
      <w:pPr>
        <w:pStyle w:val="3"/>
        <w:bidi w:val="0"/>
        <w:rPr>
          <w:rFonts w:hint="eastAsia"/>
          <w:lang w:val="zh-CN"/>
        </w:rPr>
      </w:pPr>
      <w:r>
        <w:rPr>
          <w:rFonts w:hint="eastAsia"/>
          <w:lang w:val="zh-CN"/>
        </w:rPr>
        <w:t>【概况】</w:t>
      </w:r>
    </w:p>
    <w:p w14:paraId="6AB2B118">
      <w:pPr>
        <w:bidi w:val="0"/>
        <w:rPr>
          <w:rFonts w:hint="eastAsia"/>
          <w:lang w:val="zh-CN"/>
        </w:rPr>
      </w:pPr>
      <w:r>
        <w:rPr>
          <w:rFonts w:hint="eastAsia"/>
          <w:lang w:val="zh-CN"/>
        </w:rPr>
        <w:t>中国共产党南雄市纪律检查委员会和监察委员会行政编制30名，政法专项编制10名，在编行政人员35人；后勤服务人员9人（其中在职后勤服务人员1人，社会购买服务核定数8人）。内设办公室、干部管理监督室、宣教调研室、党风政风监督室、信访室、案件监督管理室、案件审理室、第一纪检监察室、第二纪检监察室、第三纪检监察室、第四纪检监察室、第五纪检监察室、第六纪检监察室等13个室。按照统一名称、统一管理原则，组建5个综合派驻纪检组和5个单独派驻纪检组，实行综合派驻和单独派驻相结合，编制和预算单列。综合派驻纪检组共有行政编制25名（其中正科长级领导干部5名、副科长级领导干部10名、其他干部10名，编制由市纪委统筹管理）。单独派驻纪检组共有行政编制15名（其中副科长级领导干部5名、正股长级干部5名、其他干部5名，编制在单独派驻单位）。2018年以来，南雄市纪委监委深入学习领会习近平新时代中国特色社会主义思想和党的十九大精神，全面贯彻落实中央、省和韶关市纪委关于党风廉政建设和反腐败的工作部署，聚焦主责主业，强化监督执纪问责，忠实履行党章和宪法赋予的职责，推进全面从严治党向纵深发展，不断推动新时代纪检监察工作实现高质量发展。</w:t>
      </w:r>
    </w:p>
    <w:p w14:paraId="2DDE7BDA">
      <w:pPr>
        <w:bidi w:val="0"/>
        <w:rPr>
          <w:rFonts w:hint="eastAsia"/>
          <w:lang w:val="zh-CN"/>
        </w:rPr>
      </w:pPr>
      <w:r>
        <w:rPr>
          <w:rFonts w:hint="eastAsia"/>
          <w:lang w:val="zh-CN"/>
        </w:rPr>
        <w:t>2018年9月，南雄市纪委监委在韶关市纪委监委举办的“奋进新时代廉洁伴我行”主题演讲比赛中荣获“优秀组织奖”。</w:t>
      </w:r>
    </w:p>
    <w:p w14:paraId="4E59F20C">
      <w:pPr>
        <w:pStyle w:val="3"/>
        <w:bidi w:val="0"/>
        <w:rPr>
          <w:rFonts w:hint="eastAsia"/>
          <w:lang w:val="zh-CN"/>
        </w:rPr>
      </w:pPr>
      <w:r>
        <w:rPr>
          <w:rFonts w:hint="eastAsia"/>
          <w:lang w:val="zh-CN"/>
        </w:rPr>
        <w:t>纪检</w:t>
      </w:r>
    </w:p>
    <w:p w14:paraId="76AE4C08">
      <w:pPr>
        <w:pStyle w:val="4"/>
        <w:bidi w:val="0"/>
        <w:rPr>
          <w:rFonts w:hint="eastAsia"/>
          <w:lang w:val="zh-CN"/>
        </w:rPr>
      </w:pPr>
      <w:r>
        <w:rPr>
          <w:rFonts w:hint="eastAsia"/>
          <w:lang w:val="zh-CN"/>
        </w:rPr>
        <w:t>【市纪委十三届三次全会】</w:t>
      </w:r>
    </w:p>
    <w:p w14:paraId="53DCA75F">
      <w:pPr>
        <w:bidi w:val="0"/>
        <w:rPr>
          <w:rFonts w:hint="eastAsia"/>
          <w:lang w:val="zh-CN"/>
        </w:rPr>
      </w:pPr>
      <w:r>
        <w:rPr>
          <w:rFonts w:hint="eastAsia"/>
          <w:lang w:val="zh-CN"/>
        </w:rPr>
        <w:t>2月9日，南雄市召开第十三届纪律检查委员会第三次全体会议，深入学习贯彻党的十九大、十九届中央纪委二次全会、十二届省纪委二次全会和十二届韶关市纪委三次全会精神，总结2017年全市党风廉政建设和反腐败工作，研究部署2018年任务。在主会场出席会议的有市四套班子领导，法检“两长”，纪委副书记、市纪委委员，各镇（街道）党（工）委书记，纪（工）委书记，市直副科以上（含垂直管理）单位一把手，市委巡察组组长，市纪委派驻纪检组组长，市纪委室主任以上干部，共250余人。在分会场参加会议的有各镇（街道）、村（社区）、村小组全体党员干部以及各站（所、院）负责同志。会议听取市委书记、市长王碧安的重要讲话，市委常委、市纪委书记徐建坤代表市纪委常委会作题为《坚决落实党的十九大全面从严治党战略部署开创南雄党风廉政建设和反腐败工作新局面》的工作报告。古市镇、黄坑镇、江头镇、市林业局、市体育局、市食药监局、市安监局等7个主单位主要负责同志在第二次会议上作述责述廉述德报告。大会通过市纪委常委会工作报告和全会决议。</w:t>
      </w:r>
    </w:p>
    <w:p w14:paraId="755DBC2F">
      <w:pPr>
        <w:pStyle w:val="4"/>
        <w:bidi w:val="0"/>
        <w:rPr>
          <w:rFonts w:hint="eastAsia"/>
          <w:lang w:val="zh-CN"/>
        </w:rPr>
      </w:pPr>
      <w:r>
        <w:rPr>
          <w:rFonts w:hint="eastAsia"/>
          <w:lang w:val="zh-CN"/>
        </w:rPr>
        <w:t>【巡视整改工作】</w:t>
      </w:r>
    </w:p>
    <w:p w14:paraId="268D0832">
      <w:pPr>
        <w:bidi w:val="0"/>
        <w:rPr>
          <w:rFonts w:hint="eastAsia"/>
          <w:lang w:val="zh-CN"/>
        </w:rPr>
      </w:pPr>
      <w:r>
        <w:rPr>
          <w:rFonts w:hint="eastAsia"/>
          <w:lang w:val="zh-CN"/>
        </w:rPr>
        <w:t>8月6日，南雄市纪委监委召开全市纪检监察系统推进巡视整改工作会，会议从严从实抓好南雄市纪检监察系统推进中央、省委巡视整改工作提出任务要求。会后，纪检系统各部门根据《市纪委监委关于中央第十二巡视组反馈意见整改落实方案》和《市纪委监委关于省委第十二巡视组反馈意见整改落实方案》，全面落实巡视整改工作任务，按时完成整改目标。牵头组织5个督导组，对全市巡视整改工作进行2轮督导，推动全市巡视反馈问题整改落地落实。</w:t>
      </w:r>
    </w:p>
    <w:p w14:paraId="6C37819B">
      <w:pPr>
        <w:pStyle w:val="4"/>
        <w:bidi w:val="0"/>
        <w:rPr>
          <w:rFonts w:hint="eastAsia"/>
          <w:lang w:val="zh-CN"/>
        </w:rPr>
      </w:pPr>
      <w:r>
        <w:rPr>
          <w:rFonts w:hint="eastAsia"/>
          <w:lang w:val="zh-CN"/>
        </w:rPr>
        <w:t>【纪律教育学习月活动】</w:t>
      </w:r>
    </w:p>
    <w:p w14:paraId="1C83AD03">
      <w:pPr>
        <w:bidi w:val="0"/>
        <w:rPr>
          <w:rFonts w:hint="eastAsia"/>
          <w:lang w:val="zh-CN"/>
        </w:rPr>
      </w:pPr>
      <w:r>
        <w:rPr>
          <w:rFonts w:hint="eastAsia"/>
          <w:lang w:val="zh-CN"/>
        </w:rPr>
        <w:t>7至9月，根据中央纪委十九届二次全会、省纪委十二届二次全会和韶关市纪委十二届三次全会和南雄市委十三届三次全会工作部署，以“加强党的政治建设、营造良好政治生态”为主题，在全市广大党员干部中开展纪律教育学习月活动。将近期查处的“身边案”编写成警示教材《腐败没有“安全岛”潜逃廿年终自首》《社会事务办主任的“全倒”人生》，并下发至各镇（街道）、各单位进行学习。更新廉政教育基地三楼的“身边案”案例展板，充实完善基地宣传内容。举办领导干部党纪政纪法纪教育培训班，组织全市28批约2000名中层以上党员干部到市廉政教育基地接受教育。在全市范围内开展以“奋进新时代，廉洁伴我行”为主题的演讲比赛，并选送选手参加韶关市“奋进新时代，廉洁伴我行”主题演讲比赛，获得个人一等奖以及优秀组织奖。</w:t>
      </w:r>
    </w:p>
    <w:p w14:paraId="33B59523">
      <w:pPr>
        <w:pStyle w:val="4"/>
        <w:bidi w:val="0"/>
        <w:rPr>
          <w:rFonts w:hint="eastAsia"/>
          <w:lang w:val="zh-CN"/>
        </w:rPr>
      </w:pPr>
      <w:r>
        <w:rPr>
          <w:rFonts w:hint="eastAsia"/>
          <w:lang w:val="zh-CN"/>
        </w:rPr>
        <w:t>【党风廉政宣传工作】</w:t>
      </w:r>
    </w:p>
    <w:p w14:paraId="0D7F0E5C">
      <w:pPr>
        <w:bidi w:val="0"/>
        <w:rPr>
          <w:rFonts w:hint="eastAsia"/>
          <w:lang w:val="zh-CN"/>
        </w:rPr>
      </w:pPr>
      <w:r>
        <w:rPr>
          <w:rFonts w:hint="eastAsia"/>
          <w:lang w:val="zh-CN"/>
        </w:rPr>
        <w:t>借助手机微信平台，建立廉政“微信圈”，在“廉洁南雄”微信公众平台开辟“学习贯彻十九大精神”专栏，发送廉政微信48期，发表反腐倡廉网络评论312篇，为党风廉政建设和反腐败斗争营造良好的网上舆论氛围。组织纪检监察宣传报道队伍积极向各级新闻媒体报送新闻稿件和调研信息，在《中国纪检监察报》、中央纪委监察部网站等中央级媒体上稿6篇，《广东党风》、南粤清风网等省级媒体上稿26篇，韶关日报、韶关廉政网等市级媒体上稿159篇。以珠玑中学为示范点，继续推进“廉洁文化进校园”活动，制作一期“廉洁文化进校园”宣传片，通过推广“廉洁文化进校园”先进经验，在校园内形成诚实守信、崇尚廉洁的良好风尚。</w:t>
      </w:r>
    </w:p>
    <w:p w14:paraId="1DAB71CF">
      <w:pPr>
        <w:pStyle w:val="4"/>
        <w:bidi w:val="0"/>
        <w:rPr>
          <w:rFonts w:hint="eastAsia"/>
          <w:lang w:val="zh-CN"/>
        </w:rPr>
      </w:pPr>
      <w:r>
        <w:rPr>
          <w:rFonts w:hint="eastAsia"/>
          <w:lang w:val="zh-CN"/>
        </w:rPr>
        <w:t>【作风建设】</w:t>
      </w:r>
    </w:p>
    <w:p w14:paraId="196CE0E7">
      <w:pPr>
        <w:bidi w:val="0"/>
        <w:rPr>
          <w:rFonts w:hint="eastAsia"/>
          <w:lang w:val="zh-CN"/>
        </w:rPr>
      </w:pPr>
      <w:r>
        <w:rPr>
          <w:rFonts w:hint="eastAsia"/>
          <w:lang w:val="zh-CN"/>
        </w:rPr>
        <w:t>坚持暗访、查处、追责、曝光“四管齐下”，开展明察暗访29次，处理相关责任人75人，通报问题12个31人，分期分批进行点名道姓公开曝光。加强会风会纪督查，开展会风监督30多次，加大通报曝光力度，进一步促进全市会风会纪有效转变。出台《关于全市公职人员禁酒控酒的通知》，对各单位饭堂摆放酒具进行清理。开展“功夫茶具”专项清理，对检查中发现落实“功夫茶具”清理整改不彻底的5名相关单位责任人进行谈话提醒。明确制度纪律“红线”，把规范津补贴发放工作作为落实全面从严治党要求的重要抓手。自5月以来，全市139个单位3404人次清退违规发放的津补贴384万元。建立查处违规收送“红包”礼金问题台账，收到反映收送“红包”礼金问题线索9条，转立案5件，给予党纪政务处分5人。制定下发《南雄市公职人员入股企业问题专项清理实施方案》，在全市范围内组织持有非上市公司企业股份的公职人员进行自查自纠和清退。组织全市单位全面排查和整改辖区内“白条单”的重点难点问题，进一步规范财务管理。</w:t>
      </w:r>
    </w:p>
    <w:p w14:paraId="440CD060">
      <w:pPr>
        <w:pStyle w:val="4"/>
        <w:bidi w:val="0"/>
        <w:rPr>
          <w:rFonts w:hint="eastAsia"/>
          <w:lang w:val="zh-CN"/>
        </w:rPr>
      </w:pPr>
      <w:r>
        <w:rPr>
          <w:rFonts w:hint="eastAsia"/>
          <w:lang w:val="zh-CN"/>
        </w:rPr>
        <w:t>【纪律检查体制改革】</w:t>
      </w:r>
    </w:p>
    <w:p w14:paraId="2F5EE331">
      <w:pPr>
        <w:bidi w:val="0"/>
        <w:rPr>
          <w:rFonts w:hint="eastAsia"/>
          <w:lang w:val="zh-CN"/>
        </w:rPr>
      </w:pPr>
      <w:r>
        <w:rPr>
          <w:rFonts w:hint="eastAsia"/>
          <w:lang w:val="zh-CN"/>
        </w:rPr>
        <w:t>牢牢把握监督这一首要职责，稳步推进体制机制创新，全面构建纪律监督、监察监督、派驻监督、巡察监督“四个全覆盖”权力监督格局。深化监察体制改革，扎实做好“后半篇文章”。1月，新设立第四、第五、第六纪检监察室，内设机构由原来的10个调整为13个，如期实现监委的挂牌组建运行。全面完成监委办公场所改造、机构调整、资产划拨及干部的转隶等工作，认真做好纪法贯通、法法衔接和协调联动工作。选优配强骨干力量，推动监察监督向基层延伸。按照省、韶关市关于监察职能向基层延伸的工作部署，组建10个派驻纪检监察组、18个镇（街）派出监察组和1个派出产业园区监察专员办公室，充分授予镇（街）必要的监督职能，依法对涉嫌职务违法的监察对象进行调查处置，提出监察建议。不断强化政治巡察，利剑出鞘成效显著。围绕党的政治、思想、组织、作风、纪律建设，深入开展政治巡察，扎实推进村级巡察全覆盖工作。创新派驻巡察协调联动机制，强化镇级纪委监督履职。探索建立派驻与巡察协调联动的工作机制，实现派驻巡察同向发力，同频共振、相互促进，做到“工作上一体推进，成果上一体运用”。研究制定《强化镇级纪委及纪委委员监督责任任务分解表》，并对照分解表，把改革任务分解成“确定五个试点、强化四项保障、完善三项制度、实行双重报备、推行一年一评议”等五项具体目标，充分发挥镇（街）纪委委员职能作用。</w:t>
      </w:r>
    </w:p>
    <w:p w14:paraId="4993E827">
      <w:pPr>
        <w:pStyle w:val="4"/>
        <w:bidi w:val="0"/>
        <w:rPr>
          <w:rFonts w:hint="eastAsia"/>
          <w:lang w:val="zh-CN"/>
        </w:rPr>
      </w:pPr>
      <w:r>
        <w:rPr>
          <w:rFonts w:hint="eastAsia"/>
          <w:lang w:val="zh-CN"/>
        </w:rPr>
        <w:t>【自身建设】</w:t>
      </w:r>
    </w:p>
    <w:p w14:paraId="4F97497E">
      <w:pPr>
        <w:bidi w:val="0"/>
        <w:rPr>
          <w:rFonts w:hint="eastAsia"/>
          <w:lang w:val="zh-CN"/>
        </w:rPr>
      </w:pPr>
      <w:r>
        <w:rPr>
          <w:rFonts w:hint="eastAsia"/>
          <w:lang w:val="zh-CN"/>
        </w:rPr>
        <w:t>南雄市纪委监委坚持把思想政治建设摆在首位，利用组织生活会、“三会一课”等形式开展党的十九大精神和“两学一做”学习教育。紧紧围绕信访举报、纪律审查、监察调查、案件审理等业务工作组织开展专题培训，组织开展宪法和监察法专题学习，出台《南雄市纪委监委派驻（出）纪检监察组干部跟案学习、以案代训实施方案》。组织全市纪检监察干部参加各种理论和业务培训1200多人次，有力地提升全市纪检监察干部队伍整体素质和能力水平。修订《南雄市纪委监委办公制度汇编》，制定《南雄市纪委监委监督执纪监察工作规程（试行）》《南雄市纪委监委审查调查措施使用规范（试行）》等制度和76种执纪监督、审查调查常用文书模板。围绕日常监督、线索处置、措施运用、工作交接、政务处分等内容，积极探索构筑规范内部运行和纪法衔接的制度体系。</w:t>
      </w:r>
    </w:p>
    <w:p w14:paraId="52513DA3">
      <w:pPr>
        <w:pStyle w:val="4"/>
        <w:bidi w:val="0"/>
        <w:rPr>
          <w:rFonts w:hint="eastAsia"/>
          <w:lang w:val="zh-CN"/>
        </w:rPr>
      </w:pPr>
      <w:r>
        <w:rPr>
          <w:rFonts w:hint="eastAsia"/>
          <w:lang w:val="zh-CN"/>
        </w:rPr>
        <w:t>【违纪款清退】</w:t>
      </w:r>
    </w:p>
    <w:p w14:paraId="78D2A8C1">
      <w:pPr>
        <w:bidi w:val="0"/>
        <w:rPr>
          <w:rFonts w:hint="eastAsia"/>
          <w:lang w:val="zh-CN"/>
        </w:rPr>
      </w:pPr>
      <w:r>
        <w:rPr>
          <w:rFonts w:hint="eastAsia"/>
          <w:lang w:val="zh-CN"/>
        </w:rPr>
        <w:t>2月1日，在查处古市镇小坑村原党支部书记张某以帮忙办理低保为由，违规收取8名村民4000元“好处费”的案件后，南雄市纪委监委将收缴的4000元违纪款现场如数退还给村民，群众纷纷“点赞”。既警示党员干部，又营造良好的社会氛围，提升廉政警示教育的说服力和感染力，取得良好社会效益。</w:t>
      </w:r>
    </w:p>
    <w:p w14:paraId="72CE5C00">
      <w:pPr>
        <w:pStyle w:val="3"/>
        <w:bidi w:val="0"/>
        <w:rPr>
          <w:rFonts w:hint="eastAsia"/>
          <w:lang w:val="zh-CN"/>
        </w:rPr>
      </w:pPr>
      <w:r>
        <w:rPr>
          <w:rFonts w:hint="eastAsia"/>
          <w:lang w:val="zh-CN"/>
        </w:rPr>
        <w:t>监察</w:t>
      </w:r>
    </w:p>
    <w:p w14:paraId="5D44AF86">
      <w:pPr>
        <w:pStyle w:val="4"/>
        <w:bidi w:val="0"/>
        <w:rPr>
          <w:rFonts w:hint="eastAsia"/>
          <w:lang w:val="zh-CN"/>
        </w:rPr>
      </w:pPr>
      <w:r>
        <w:rPr>
          <w:rFonts w:hint="eastAsia"/>
          <w:lang w:val="zh-CN"/>
        </w:rPr>
        <w:t>【监委挂牌成立】</w:t>
      </w:r>
    </w:p>
    <w:p w14:paraId="6FD172B3">
      <w:pPr>
        <w:bidi w:val="0"/>
        <w:rPr>
          <w:rFonts w:hint="eastAsia"/>
          <w:lang w:val="zh-CN"/>
        </w:rPr>
      </w:pPr>
      <w:r>
        <w:rPr>
          <w:rFonts w:hint="eastAsia"/>
          <w:lang w:val="zh-CN"/>
        </w:rPr>
        <w:t>1月10日，南雄市监察委员会正式挂牌成立，南雄市委书记王碧安，市委常委、市纪委书记、市监委主任徐建坤共同为市监察委员会揭牌。随后召开南雄市监察委员会成立大会，这标志着该市深化监察体制改革试点工作迈出重要一步。</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DCA7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1D2B54F">
            <w:pPr>
              <w:bidi w:val="0"/>
              <w:ind w:left="0" w:leftChars="0" w:firstLine="0" w:firstLineChars="0"/>
              <w:rPr>
                <w:rFonts w:hint="eastAsia"/>
                <w:vertAlign w:val="baseline"/>
                <w:lang w:val="zh-CN"/>
              </w:rPr>
            </w:pPr>
            <w:r>
              <w:rPr>
                <w:rFonts w:hint="eastAsia"/>
                <w:vertAlign w:val="baseline"/>
                <w:lang w:val="zh-CN"/>
              </w:rPr>
              <w:drawing>
                <wp:inline distT="0" distB="0" distL="114300" distR="114300">
                  <wp:extent cx="6186170" cy="4051935"/>
                  <wp:effectExtent l="0" t="0" r="5080" b="5715"/>
                  <wp:docPr id="110" name="图片 110" descr="南雄年鉴2019_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南雄年鉴2019_0085"/>
                          <pic:cNvPicPr>
                            <a:picLocks noChangeAspect="1"/>
                          </pic:cNvPicPr>
                        </pic:nvPicPr>
                        <pic:blipFill>
                          <a:blip r:embed="rId97"/>
                          <a:stretch>
                            <a:fillRect/>
                          </a:stretch>
                        </pic:blipFill>
                        <pic:spPr>
                          <a:xfrm>
                            <a:off x="0" y="0"/>
                            <a:ext cx="6186170" cy="4051935"/>
                          </a:xfrm>
                          <a:prstGeom prst="rect">
                            <a:avLst/>
                          </a:prstGeom>
                        </pic:spPr>
                      </pic:pic>
                    </a:graphicData>
                  </a:graphic>
                </wp:inline>
              </w:drawing>
            </w:r>
          </w:p>
        </w:tc>
      </w:tr>
      <w:tr w14:paraId="55416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1EB7D3D9">
            <w:pPr>
              <w:bidi w:val="0"/>
              <w:rPr>
                <w:rFonts w:hint="eastAsia"/>
                <w:vertAlign w:val="baseline"/>
                <w:lang w:val="zh-CN"/>
              </w:rPr>
            </w:pPr>
            <w:r>
              <w:rPr>
                <w:rFonts w:hint="eastAsia" w:ascii="FZKTK--GBK1-0" w:hAnsi="FZKTK--GBK1-0" w:eastAsia="FZKTK--GBK1-0"/>
                <w:sz w:val="20"/>
              </w:rPr>
              <w:t>1月10日，南雄市监察委员会正式挂牌成立，南雄市委书记王碧安（左）出席活动（李思番</w:t>
            </w:r>
            <w:r>
              <w:rPr>
                <w:rFonts w:hint="eastAsia" w:ascii="FZKTK--GBK1-0" w:hAnsi="FZKTK--GBK1-0" w:eastAsia="FZKTK--GBK1-0"/>
                <w:sz w:val="20"/>
                <w:lang w:val="en-US" w:eastAsia="zh-CN"/>
              </w:rPr>
              <w:t xml:space="preserve">  </w:t>
            </w:r>
            <w:r>
              <w:rPr>
                <w:rFonts w:hint="eastAsia" w:ascii="FZKTK--GBK1-0" w:hAnsi="FZKTK--GBK1-0" w:eastAsia="FZKTK--GBK1-0"/>
                <w:sz w:val="20"/>
              </w:rPr>
              <w:t>摄）</w:t>
            </w:r>
          </w:p>
        </w:tc>
      </w:tr>
    </w:tbl>
    <w:p w14:paraId="2F05E78D">
      <w:pPr>
        <w:pStyle w:val="4"/>
        <w:bidi w:val="0"/>
        <w:rPr>
          <w:rFonts w:hint="eastAsia"/>
          <w:lang w:val="zh-CN"/>
        </w:rPr>
      </w:pPr>
      <w:r>
        <w:rPr>
          <w:rFonts w:hint="eastAsia"/>
          <w:lang w:val="zh-CN"/>
        </w:rPr>
        <w:t>【纪律审查】</w:t>
      </w:r>
    </w:p>
    <w:p w14:paraId="23607DD4">
      <w:pPr>
        <w:bidi w:val="0"/>
        <w:rPr>
          <w:rFonts w:hint="eastAsia"/>
          <w:lang w:val="zh-CN"/>
        </w:rPr>
      </w:pPr>
      <w:r>
        <w:rPr>
          <w:rFonts w:hint="eastAsia"/>
          <w:lang w:val="zh-CN"/>
        </w:rPr>
        <w:t>2018年，南雄市纪检监察机关受理群众信访举报437件（次），同比增长31.2%；立案查处违纪违法案件127件，其中市纪委监委立案76件（其中3件为市监委单独立案），镇（街）纪（工）委立案41件，教育纪工委立案8件，卫计纪工委立案1件，公安局派驻纪检监察组立案1件；结案95件，处理98人，涉及副科以上党员领导干部13人。在党纪政务处分中，给予党纪处分92人，给予政务处分15人。开展走读式谈话1192人次，实现办案安全“零事故”。以派驻纪检监察组为中心，加强镇级纪委之间的协作联动，实行一般案件自行办、复杂案件分片办、易被干扰案件交叉办、重大案件联合办，严肃查处全安镇敬老院原院长陈东凤贪污骗取敬老院资金、江头镇社会事务办原主任兼民政办主任殷飞违规套取“全倒户”建房补助资金等一系列损害群众利益的腐败案件，执纪审查效率显著提升。全市18个镇（街道）纪（工）委连续12年实现100%有自办案件。严格把握政策界限，贯彻“两个尊重”“三个区分”原则，认真落实容错免责制度，为29名党员干部澄清不实信访问题，有效地支持和保护他们遵规守纪、干事创业、敢于负责的态度和积极性。</w:t>
      </w:r>
    </w:p>
    <w:p w14:paraId="6D2B0DF5">
      <w:pPr>
        <w:pStyle w:val="4"/>
        <w:bidi w:val="0"/>
        <w:rPr>
          <w:rFonts w:hint="eastAsia"/>
          <w:lang w:val="zh-CN"/>
        </w:rPr>
      </w:pPr>
      <w:r>
        <w:rPr>
          <w:rFonts w:hint="eastAsia"/>
          <w:lang w:val="zh-CN"/>
        </w:rPr>
        <w:t>【专项整治】</w:t>
      </w:r>
    </w:p>
    <w:p w14:paraId="60F81E10">
      <w:pPr>
        <w:bidi w:val="0"/>
        <w:rPr>
          <w:rFonts w:hint="eastAsia"/>
          <w:lang w:val="zh-CN"/>
        </w:rPr>
      </w:pPr>
      <w:r>
        <w:rPr>
          <w:rFonts w:hint="eastAsia"/>
          <w:lang w:val="zh-CN"/>
        </w:rPr>
        <w:t>围绕扫黑除恶专项斗争，市纪委监委召开7次常委会议专题研究部署，制定出台相关工作方案、责任分工等文件，召开全市纪检监察系统惩治涉黑涉恶和“保护伞”工作推进会，统筹全市扫黑除恶专项斗争工作，重点对发现和处理在扫黑除恶专项斗争中站位不高、重视不够、责任不清、措施不力、效果不好等问题的相关单位负责人进行约谈，严肃处理一批涉黑涉恶腐败和“保护伞”问题。围绕扶贫攻坚工作，专门成立扶贫领域腐败和作风问题专项整治领导小组，开展扶贫领域腐败和作风问题专项治理工作，完成68个省定贫困村的专项巡察，发现问题279个，排查扶贫领域违纪违法问题线索55条，其中转立案21件、结案21件，给予党纪政务处分21人，移送检察机关起诉4人。围绕中央生态环保督察移送问题，就全市生态环保问题线索进行大起底，与涉及问题的7个市直单位“一把手”和14个镇（街）镇长（主任）进行面对面约谈。围绕追逃追赃工作，坚持“防住一个就等于追回来一个”的工作理念，召开追逃追赃工作联席会议，制定完善追逃防逃工作方案，圆满完成追逃防逃工作任务。围绕市委主要领导对工作的批示要求，全市纪检监察机关就森林防火、土地确权等领域失职失责、弄虚作假等问题进行严肃查处。</w:t>
      </w:r>
    </w:p>
    <w:p w14:paraId="5A0F0B9B">
      <w:pPr>
        <w:pStyle w:val="4"/>
        <w:bidi w:val="0"/>
        <w:rPr>
          <w:rFonts w:hint="eastAsia"/>
          <w:lang w:val="zh-CN"/>
        </w:rPr>
      </w:pPr>
      <w:r>
        <w:rPr>
          <w:rFonts w:hint="eastAsia"/>
          <w:lang w:val="zh-CN"/>
        </w:rPr>
        <w:t>【监督执纪“四种形态”运用】</w:t>
      </w:r>
    </w:p>
    <w:p w14:paraId="2CBCDF09">
      <w:pPr>
        <w:bidi w:val="0"/>
        <w:rPr>
          <w:rFonts w:hint="eastAsia"/>
          <w:lang w:val="zh-CN"/>
        </w:rPr>
      </w:pPr>
      <w:r>
        <w:rPr>
          <w:rFonts w:hint="eastAsia"/>
          <w:lang w:val="zh-CN"/>
        </w:rPr>
        <w:t>进一步健全完善常态化谈话提醒制度，对党员领导干部存在的不同问题情况，区分情形、区别对待，做到早发现、早提醒，努力实现政治效果、纪法效果和社会效果有机统一。充分用好“第一种形态”，对党员领导干部在担当作为、干事创业过程中出现的苗头性、倾向性问题，及时进行诫勉谈话、提醒谈话和批评教育。全市开展提醒谈话3318人次，其中咬耳扯袖2912人次，占87.8%，红脸出汗406人次，占12.2%。</w:t>
      </w:r>
    </w:p>
    <w:p w14:paraId="5B5395C3">
      <w:pPr>
        <w:pStyle w:val="3"/>
        <w:bidi w:val="0"/>
        <w:rPr>
          <w:rFonts w:hint="eastAsia"/>
          <w:lang w:val="zh-CN"/>
        </w:rPr>
      </w:pPr>
      <w:r>
        <w:rPr>
          <w:rFonts w:hint="eastAsia"/>
          <w:lang w:val="zh-CN"/>
        </w:rPr>
        <w:t>派驻</w:t>
      </w:r>
    </w:p>
    <w:p w14:paraId="7E00D317">
      <w:pPr>
        <w:pStyle w:val="4"/>
        <w:bidi w:val="0"/>
        <w:rPr>
          <w:rFonts w:hint="eastAsia"/>
          <w:lang w:val="zh-CN"/>
        </w:rPr>
      </w:pPr>
      <w:r>
        <w:rPr>
          <w:rFonts w:hint="eastAsia"/>
          <w:lang w:val="zh-CN"/>
        </w:rPr>
        <w:t>【概况】</w:t>
      </w:r>
    </w:p>
    <w:p w14:paraId="48C22769">
      <w:pPr>
        <w:bidi w:val="0"/>
        <w:rPr>
          <w:rFonts w:hint="eastAsia"/>
          <w:lang w:val="zh-CN"/>
        </w:rPr>
      </w:pPr>
      <w:r>
        <w:rPr>
          <w:rFonts w:hint="eastAsia"/>
          <w:lang w:val="zh-CN"/>
        </w:rPr>
        <w:t>7月，按照广东省、韶关市关于监察职能向基层延伸工作部署，印发《关于明确派驻纪检监察组监察权限和推动监察职能向基层延伸的意见（试行）》，组建10个派驻纪检监察组、18个镇（街）派出监察组和1个派出产业园区监察专员办公室，依法对管辖范围内的公职人员进行监督、调查、处置。</w:t>
      </w:r>
    </w:p>
    <w:p w14:paraId="6FC788E7">
      <w:pPr>
        <w:pStyle w:val="4"/>
        <w:bidi w:val="0"/>
        <w:rPr>
          <w:rFonts w:hint="eastAsia"/>
          <w:lang w:val="zh-CN"/>
        </w:rPr>
      </w:pPr>
      <w:r>
        <w:rPr>
          <w:rFonts w:hint="eastAsia"/>
          <w:lang w:val="zh-CN"/>
        </w:rPr>
        <w:t>【派驻监督】</w:t>
      </w:r>
    </w:p>
    <w:p w14:paraId="38705E9E">
      <w:pPr>
        <w:bidi w:val="0"/>
        <w:rPr>
          <w:rFonts w:hint="eastAsia"/>
          <w:lang w:val="zh-CN"/>
        </w:rPr>
      </w:pPr>
      <w:r>
        <w:rPr>
          <w:rFonts w:hint="eastAsia"/>
          <w:lang w:val="zh-CN"/>
        </w:rPr>
        <w:t>全面掌握各监督单位班子成员分工、人员职数、内设机构及其职能以及廉政风险点、权力职责清单和所承担的主要工作任务等基本情况，健全完善《监督单位工作信息台账》《监督单位机关作风建设监督检查台账》《三重一大事项台账》和单位党员领导干部操办婚丧喜庆事宜报备制度。督促综合管理和驻在部门领导班子落实全面从严治党的主体责任，履行对综合管理和驻在部门的监督责任。正确运用监督执纪“四种形态”，把“四种形态”落实到线索处理和信访件查办工作中，着力解决监督单位在抓干部管理、作风建设、廉政建设、中心工作落实情况等方面的问题，做到早发现早介入早处置。派驻纪检组核查结信访件180件，组织指导相关单位查办信访件150宗，立案42件，结案42件，处理42人。</w:t>
      </w:r>
    </w:p>
    <w:p w14:paraId="025C0D9A">
      <w:pPr>
        <w:pStyle w:val="4"/>
        <w:bidi w:val="0"/>
        <w:rPr>
          <w:rFonts w:hint="eastAsia"/>
          <w:lang w:val="zh-CN"/>
        </w:rPr>
      </w:pPr>
      <w:r>
        <w:rPr>
          <w:rFonts w:hint="eastAsia"/>
          <w:lang w:val="zh-CN"/>
        </w:rPr>
        <w:t>【派驻巡察协调联动机制】</w:t>
      </w:r>
    </w:p>
    <w:p w14:paraId="20939576">
      <w:pPr>
        <w:bidi w:val="0"/>
        <w:rPr>
          <w:rFonts w:hint="eastAsia"/>
          <w:lang w:val="zh-CN"/>
        </w:rPr>
      </w:pPr>
      <w:r>
        <w:rPr>
          <w:rFonts w:hint="eastAsia"/>
          <w:lang w:val="zh-CN"/>
        </w:rPr>
        <w:t>2018年全市派驻纪检监察组查办和组织指导案件30件，派驻“探头”作用成效明显。</w:t>
      </w:r>
    </w:p>
    <w:p w14:paraId="78F2500E">
      <w:pPr>
        <w:pStyle w:val="3"/>
        <w:bidi w:val="0"/>
        <w:rPr>
          <w:rFonts w:hint="eastAsia"/>
          <w:lang w:val="zh-CN"/>
        </w:rPr>
      </w:pPr>
      <w:r>
        <w:rPr>
          <w:rFonts w:hint="eastAsia"/>
          <w:lang w:val="zh-CN"/>
        </w:rPr>
        <w:t>巡察</w:t>
      </w:r>
    </w:p>
    <w:p w14:paraId="254C4F5B">
      <w:pPr>
        <w:pStyle w:val="4"/>
        <w:bidi w:val="0"/>
        <w:rPr>
          <w:rFonts w:hint="eastAsia"/>
          <w:lang w:val="zh-CN"/>
        </w:rPr>
      </w:pPr>
      <w:r>
        <w:rPr>
          <w:rFonts w:hint="eastAsia"/>
          <w:lang w:val="zh-CN"/>
        </w:rPr>
        <w:t>【概况】</w:t>
      </w:r>
    </w:p>
    <w:p w14:paraId="0D964016">
      <w:pPr>
        <w:bidi w:val="0"/>
        <w:rPr>
          <w:rFonts w:hint="eastAsia"/>
          <w:lang w:val="zh-CN"/>
        </w:rPr>
      </w:pPr>
      <w:r>
        <w:rPr>
          <w:rFonts w:hint="eastAsia"/>
          <w:lang w:val="zh-CN"/>
        </w:rPr>
        <w:t>按照“一办四组”的架构调剂16个行政编制，组建市委巡察办和4个巡察组，其中市委巡察办设主任1名（由市纪委常委兼任）、副主任2名、科员2名，每个巡察组设组长1名（正科级）、副组长1名、科员1名。组建巡察人才库，按照忠诚、干净、担当的要求，采取个人自荐和组织推荐相结合的方式，从市直单位和镇（街道）选拔敢于担当、公道正派、清正廉洁且具有一定专业背景的573名年轻干部分6大类别组建巡察人才库，选优配强巡察干部队伍。出台《保密制度》《谈话制度》《考勤制度》等制度，建立巡察干部工作规范，强化巡察干部队伍管理。</w:t>
      </w:r>
    </w:p>
    <w:p w14:paraId="4A2CD937">
      <w:pPr>
        <w:bidi w:val="0"/>
        <w:rPr>
          <w:rFonts w:hint="eastAsia"/>
          <w:lang w:val="zh-CN"/>
        </w:rPr>
      </w:pPr>
      <w:r>
        <w:rPr>
          <w:rFonts w:hint="eastAsia"/>
          <w:lang w:val="zh-CN"/>
        </w:rPr>
        <w:t>7月，调整以市委常委、纪委书记、监委主任徐建坤为组长，市委常委、组织部部长林军为副组长的市委巡察工作领导小组，领导小组下设办公室，办公室设在市纪委监委，办公室主任由刘福娣同志兼任，负责日常工作。</w:t>
      </w:r>
    </w:p>
    <w:p w14:paraId="4AFE4508">
      <w:pPr>
        <w:pStyle w:val="4"/>
        <w:bidi w:val="0"/>
        <w:rPr>
          <w:rFonts w:hint="eastAsia"/>
          <w:lang w:val="zh-CN"/>
        </w:rPr>
      </w:pPr>
      <w:r>
        <w:rPr>
          <w:rFonts w:hint="eastAsia"/>
          <w:lang w:val="zh-CN"/>
        </w:rPr>
        <w:t>【巡察工作机制】</w:t>
      </w:r>
    </w:p>
    <w:p w14:paraId="2632DB0F">
      <w:pPr>
        <w:bidi w:val="0"/>
        <w:rPr>
          <w:rFonts w:hint="eastAsia"/>
          <w:lang w:val="zh-CN"/>
        </w:rPr>
      </w:pPr>
      <w:r>
        <w:rPr>
          <w:rFonts w:hint="eastAsia"/>
          <w:lang w:val="zh-CN"/>
        </w:rPr>
        <w:t>建立书记专题会听取巡察情况汇报制度，党委书记点人点事点问题，态度鲜明，要求明确。2018年以来，市委书记王碧安同志态度鲜明地点出包括党的领导核心作用未充分发挥、党的基层组织建设薄弱、违反中央八项规定精神问题、惠农资金发放问题、扶贫领域问题等涉及廉洁纪律、工作纪律方面的具体人具体事18件次，并对点出的每一件事都提出明确的处置意见和整改要求，要求市委巡察办跟踪落实，切实防止巡察工作表面化、形式化。建立派驻巡察联动机制，针对巡察中发现的问题，由派驻组向综合监督单位或联系的镇（街道）开展阶段性重点监督和长期性跟踪监督，做好巡察“后半篇文章”。</w:t>
      </w:r>
    </w:p>
    <w:p w14:paraId="1260778E">
      <w:pPr>
        <w:pStyle w:val="4"/>
        <w:bidi w:val="0"/>
        <w:rPr>
          <w:rFonts w:hint="eastAsia"/>
          <w:lang w:val="zh-CN"/>
        </w:rPr>
      </w:pPr>
      <w:r>
        <w:rPr>
          <w:rFonts w:hint="eastAsia"/>
          <w:lang w:val="zh-CN"/>
        </w:rPr>
        <w:t>【巡察监督】</w:t>
      </w:r>
    </w:p>
    <w:p w14:paraId="7D10DCA1">
      <w:pPr>
        <w:bidi w:val="0"/>
        <w:rPr>
          <w:rFonts w:hint="eastAsia"/>
          <w:lang w:val="zh-CN"/>
        </w:rPr>
      </w:pPr>
      <w:r>
        <w:rPr>
          <w:rFonts w:hint="eastAsia"/>
          <w:lang w:val="zh-CN"/>
        </w:rPr>
        <w:t>全年开展4轮常规巡察，巡察23个党组织，发现问题292个，移交问题线索38条，立案调查9人。开展4轮扶贫领域专项巡察，实现对全市68个省定贫困村巡察全覆盖，发现问题316个，移交问题线索48条，立案调查3人；3月1日至10日，对全市18个敬老院和1个福利院开展养老福利机构专项巡察，发现问题122个，移交问题线索5条，立案调查7人，其中移送有关国家机关处理2人。7月，派出4个巡察组对首轮巡察的单位开展巡察“回头看”，对之前没有发现的问题再发现，对未深入解的情况再了解，对整改工作不到位的推动再整改，坚决防止在巡察整改上做选择、打折扣、搞变通，大事化小、小事化了。7月至8月，根据韶关市委巡察工作领导小组的统一部署，派出一个巡察组巡察乐昌市环境保护局，仁化县派出一个巡察组巡察南雄市环境保护局，有效解决“地方小、人头熟、巡不深、察不透”等问题，切实提高巡察工作质量和实效。制定对村级延伸巡察工作方案，对接市纪委监委、市委组织部、市委农办、市信访局等单位，对232个村级党组织按照问题较多、问题一般、问题较少实现精准分类，明确在2020年年底前实现对全市232个村级党组织延伸巡察。2018年，以专项巡察、“巡乡镇带村”的形式，完成对80个村级党组织延伸巡察。</w:t>
      </w:r>
      <w:r>
        <w:rPr>
          <w:rFonts w:hint="eastAsia"/>
          <w:b/>
          <w:bCs/>
          <w:lang w:val="zh-CN"/>
        </w:rPr>
        <w:t>（田</w:t>
      </w:r>
      <w:r>
        <w:rPr>
          <w:rFonts w:hint="eastAsia"/>
          <w:b/>
          <w:bCs/>
          <w:lang w:val="en-US" w:eastAsia="zh-CN"/>
        </w:rPr>
        <w:t xml:space="preserve">  </w:t>
      </w:r>
      <w:r>
        <w:rPr>
          <w:rFonts w:hint="eastAsia"/>
          <w:b/>
          <w:bCs/>
          <w:lang w:val="zh-CN"/>
        </w:rPr>
        <w:t>丽）</w:t>
      </w:r>
    </w:p>
    <w:p w14:paraId="2D3DF06E">
      <w:pPr>
        <w:pStyle w:val="11"/>
        <w:bidi w:val="0"/>
        <w:rPr>
          <w:rFonts w:hint="eastAsia"/>
          <w:b/>
          <w:bCs/>
          <w:lang w:val="zh-CN"/>
        </w:rPr>
      </w:pPr>
      <w:r>
        <w:rPr>
          <w:rFonts w:hint="eastAsia"/>
          <w:b/>
          <w:bCs/>
          <w:lang w:val="zh-CN"/>
        </w:rPr>
        <w:t>附：2018年市纪委监委领导班子成员名单</w:t>
      </w:r>
    </w:p>
    <w:p w14:paraId="717F6BBC">
      <w:pPr>
        <w:pStyle w:val="11"/>
        <w:bidi w:val="0"/>
        <w:rPr>
          <w:rFonts w:hint="eastAsia"/>
          <w:lang w:val="zh-CN"/>
        </w:rPr>
      </w:pPr>
      <w:r>
        <w:rPr>
          <w:rFonts w:hint="eastAsia"/>
          <w:b/>
          <w:bCs/>
          <w:lang w:val="zh-CN"/>
        </w:rPr>
        <w:t>纪委书记：</w:t>
      </w:r>
      <w:r>
        <w:rPr>
          <w:rFonts w:hint="eastAsia"/>
          <w:lang w:val="zh-CN"/>
        </w:rPr>
        <w:t>徐建坤（兼）</w:t>
      </w:r>
    </w:p>
    <w:p w14:paraId="36039EDA">
      <w:pPr>
        <w:pStyle w:val="11"/>
        <w:bidi w:val="0"/>
        <w:rPr>
          <w:rFonts w:hint="eastAsia"/>
          <w:lang w:val="zh-CN"/>
        </w:rPr>
      </w:pPr>
      <w:r>
        <w:rPr>
          <w:rFonts w:hint="eastAsia"/>
          <w:b/>
          <w:bCs/>
          <w:lang w:val="zh-CN"/>
        </w:rPr>
        <w:t>纪委副书记：</w:t>
      </w:r>
      <w:r>
        <w:rPr>
          <w:rFonts w:hint="eastAsia"/>
          <w:lang w:val="zh-CN"/>
        </w:rPr>
        <w:t>曾</w:t>
      </w:r>
      <w:r>
        <w:rPr>
          <w:rFonts w:hint="eastAsia"/>
          <w:lang w:val="en-US" w:eastAsia="zh-CN"/>
        </w:rPr>
        <w:t xml:space="preserve">  </w:t>
      </w:r>
      <w:r>
        <w:rPr>
          <w:rFonts w:hint="eastAsia"/>
          <w:lang w:val="zh-CN"/>
        </w:rPr>
        <w:t>光</w:t>
      </w:r>
      <w:r>
        <w:rPr>
          <w:rFonts w:hint="eastAsia"/>
          <w:lang w:val="en-US" w:eastAsia="zh-CN"/>
        </w:rPr>
        <w:t xml:space="preserve">   </w:t>
      </w:r>
      <w:r>
        <w:rPr>
          <w:rFonts w:hint="eastAsia"/>
          <w:lang w:val="zh-CN"/>
        </w:rPr>
        <w:t>黄文儒</w:t>
      </w:r>
    </w:p>
    <w:p w14:paraId="25F6071A">
      <w:pPr>
        <w:pStyle w:val="11"/>
        <w:bidi w:val="0"/>
        <w:rPr>
          <w:rFonts w:hint="eastAsia"/>
          <w:lang w:val="zh-CN"/>
        </w:rPr>
      </w:pPr>
      <w:r>
        <w:rPr>
          <w:rFonts w:hint="eastAsia"/>
          <w:b/>
          <w:bCs/>
          <w:lang w:val="zh-CN"/>
        </w:rPr>
        <w:t>纪委常委：</w:t>
      </w:r>
      <w:r>
        <w:rPr>
          <w:rFonts w:hint="eastAsia"/>
          <w:lang w:val="zh-CN"/>
        </w:rPr>
        <w:t>王长连</w:t>
      </w:r>
      <w:r>
        <w:rPr>
          <w:rFonts w:hint="eastAsia"/>
          <w:lang w:val="en-US" w:eastAsia="zh-CN"/>
        </w:rPr>
        <w:t xml:space="preserve">   </w:t>
      </w:r>
      <w:r>
        <w:rPr>
          <w:rFonts w:hint="eastAsia"/>
          <w:lang w:val="zh-CN"/>
        </w:rPr>
        <w:t>李</w:t>
      </w:r>
      <w:r>
        <w:rPr>
          <w:rFonts w:hint="eastAsia"/>
          <w:lang w:val="en-US" w:eastAsia="zh-CN"/>
        </w:rPr>
        <w:t xml:space="preserve">  </w:t>
      </w:r>
      <w:r>
        <w:rPr>
          <w:rFonts w:hint="eastAsia"/>
          <w:lang w:val="zh-CN"/>
        </w:rPr>
        <w:t>进</w:t>
      </w:r>
    </w:p>
    <w:p w14:paraId="431F3A80">
      <w:pPr>
        <w:pStyle w:val="11"/>
        <w:bidi w:val="0"/>
        <w:ind w:left="1050" w:leftChars="500"/>
        <w:rPr>
          <w:rFonts w:hint="eastAsia"/>
          <w:lang w:val="zh-CN"/>
        </w:rPr>
      </w:pPr>
      <w:r>
        <w:rPr>
          <w:rFonts w:hint="eastAsia"/>
          <w:lang w:val="zh-CN"/>
        </w:rPr>
        <w:t>江学文</w:t>
      </w:r>
      <w:r>
        <w:rPr>
          <w:rFonts w:hint="eastAsia"/>
          <w:lang w:val="en-US" w:eastAsia="zh-CN"/>
        </w:rPr>
        <w:t xml:space="preserve">   </w:t>
      </w:r>
      <w:r>
        <w:rPr>
          <w:rFonts w:hint="eastAsia"/>
          <w:lang w:val="zh-CN"/>
        </w:rPr>
        <w:t>刘福娣</w:t>
      </w:r>
    </w:p>
    <w:p w14:paraId="5A2F595D">
      <w:pPr>
        <w:pStyle w:val="11"/>
        <w:bidi w:val="0"/>
        <w:rPr>
          <w:rFonts w:hint="eastAsia"/>
          <w:lang w:val="zh-CN"/>
        </w:rPr>
      </w:pPr>
      <w:r>
        <w:rPr>
          <w:rFonts w:hint="eastAsia"/>
          <w:b/>
          <w:bCs/>
          <w:lang w:val="zh-CN"/>
        </w:rPr>
        <w:t>监委主任：</w:t>
      </w:r>
      <w:r>
        <w:rPr>
          <w:rFonts w:hint="eastAsia"/>
          <w:lang w:val="zh-CN"/>
        </w:rPr>
        <w:t>徐建坤（1月兼任）</w:t>
      </w:r>
    </w:p>
    <w:p w14:paraId="3194DD28">
      <w:pPr>
        <w:pStyle w:val="11"/>
        <w:bidi w:val="0"/>
        <w:rPr>
          <w:rFonts w:hint="eastAsia"/>
          <w:b/>
          <w:bCs/>
          <w:lang w:val="zh-CN"/>
        </w:rPr>
      </w:pPr>
      <w:r>
        <w:rPr>
          <w:rFonts w:hint="eastAsia"/>
          <w:b/>
          <w:bCs/>
          <w:lang w:val="zh-CN"/>
        </w:rPr>
        <w:t>监委副主任：</w:t>
      </w:r>
    </w:p>
    <w:p w14:paraId="494D5830">
      <w:pPr>
        <w:pStyle w:val="11"/>
        <w:bidi w:val="0"/>
        <w:ind w:left="630" w:leftChars="300"/>
        <w:rPr>
          <w:rFonts w:hint="eastAsia"/>
          <w:lang w:val="zh-CN"/>
        </w:rPr>
      </w:pPr>
      <w:r>
        <w:rPr>
          <w:rFonts w:hint="eastAsia"/>
          <w:lang w:val="zh-CN"/>
        </w:rPr>
        <w:t>曾</w:t>
      </w:r>
      <w:r>
        <w:rPr>
          <w:rFonts w:hint="eastAsia"/>
          <w:lang w:val="en-US" w:eastAsia="zh-CN"/>
        </w:rPr>
        <w:t xml:space="preserve">  </w:t>
      </w:r>
      <w:r>
        <w:rPr>
          <w:rFonts w:hint="eastAsia"/>
          <w:lang w:val="zh-CN"/>
        </w:rPr>
        <w:t>光（1月兼任）</w:t>
      </w:r>
    </w:p>
    <w:p w14:paraId="324B6297">
      <w:pPr>
        <w:pStyle w:val="11"/>
        <w:bidi w:val="0"/>
        <w:ind w:left="630" w:leftChars="300"/>
        <w:rPr>
          <w:rFonts w:hint="eastAsia"/>
          <w:lang w:val="zh-CN"/>
        </w:rPr>
      </w:pPr>
      <w:r>
        <w:rPr>
          <w:rFonts w:hint="eastAsia"/>
          <w:lang w:val="zh-CN"/>
        </w:rPr>
        <w:t>黄文儒（1月兼任）</w:t>
      </w:r>
    </w:p>
    <w:p w14:paraId="23314D7D">
      <w:pPr>
        <w:pStyle w:val="11"/>
        <w:bidi w:val="0"/>
        <w:rPr>
          <w:rFonts w:hint="eastAsia"/>
          <w:lang w:val="zh-CN"/>
        </w:rPr>
      </w:pPr>
      <w:r>
        <w:rPr>
          <w:rFonts w:hint="eastAsia"/>
          <w:b/>
          <w:bCs/>
          <w:lang w:val="zh-CN"/>
        </w:rPr>
        <w:t>监</w:t>
      </w:r>
      <w:r>
        <w:rPr>
          <w:rFonts w:hint="eastAsia"/>
          <w:b/>
          <w:bCs/>
          <w:lang w:val="en-US" w:eastAsia="zh-CN"/>
        </w:rPr>
        <w:t xml:space="preserve"> </w:t>
      </w:r>
      <w:r>
        <w:rPr>
          <w:rFonts w:hint="eastAsia"/>
          <w:b/>
          <w:bCs/>
          <w:lang w:val="zh-CN"/>
        </w:rPr>
        <w:t>委</w:t>
      </w:r>
      <w:r>
        <w:rPr>
          <w:rFonts w:hint="eastAsia"/>
          <w:b/>
          <w:bCs/>
          <w:lang w:val="en-US" w:eastAsia="zh-CN"/>
        </w:rPr>
        <w:t xml:space="preserve"> </w:t>
      </w:r>
      <w:r>
        <w:rPr>
          <w:rFonts w:hint="eastAsia"/>
          <w:b/>
          <w:bCs/>
          <w:lang w:val="zh-CN"/>
        </w:rPr>
        <w:t>委员：</w:t>
      </w:r>
      <w:r>
        <w:rPr>
          <w:rFonts w:hint="eastAsia"/>
          <w:lang w:val="zh-CN"/>
        </w:rPr>
        <w:t>王长连（1月兼任）</w:t>
      </w:r>
    </w:p>
    <w:p w14:paraId="1847E942">
      <w:pPr>
        <w:pStyle w:val="11"/>
        <w:bidi w:val="0"/>
        <w:ind w:left="1260" w:leftChars="600"/>
        <w:rPr>
          <w:rFonts w:hint="eastAsia"/>
          <w:lang w:val="zh-CN"/>
        </w:rPr>
      </w:pPr>
      <w:r>
        <w:rPr>
          <w:rFonts w:hint="eastAsia"/>
          <w:lang w:val="zh-CN"/>
        </w:rPr>
        <w:t>李</w:t>
      </w:r>
      <w:r>
        <w:rPr>
          <w:rFonts w:hint="eastAsia"/>
          <w:lang w:val="en-US" w:eastAsia="zh-CN"/>
        </w:rPr>
        <w:t xml:space="preserve">  </w:t>
      </w:r>
      <w:r>
        <w:rPr>
          <w:rFonts w:hint="eastAsia"/>
          <w:lang w:val="zh-CN"/>
        </w:rPr>
        <w:t>进（1月兼任）</w:t>
      </w:r>
    </w:p>
    <w:p w14:paraId="5CE31646">
      <w:pPr>
        <w:pStyle w:val="11"/>
        <w:bidi w:val="0"/>
        <w:ind w:left="1260" w:leftChars="600"/>
        <w:rPr>
          <w:rFonts w:hint="eastAsia"/>
          <w:lang w:val="zh-CN"/>
        </w:rPr>
      </w:pPr>
      <w:r>
        <w:rPr>
          <w:rFonts w:hint="eastAsia"/>
          <w:lang w:val="zh-CN"/>
        </w:rPr>
        <w:t>谢金城（1月兼任）</w:t>
      </w:r>
    </w:p>
    <w:p w14:paraId="291D5F95">
      <w:pPr>
        <w:pStyle w:val="2"/>
        <w:bidi w:val="0"/>
        <w:rPr>
          <w:rFonts w:hint="eastAsia"/>
        </w:rPr>
      </w:pPr>
      <w:r>
        <w:rPr>
          <w:rFonts w:hint="eastAsia"/>
        </w:rPr>
        <w:t>民主党派·群团组织·社会组织</w:t>
      </w:r>
    </w:p>
    <w:p w14:paraId="67937170">
      <w:pPr>
        <w:pStyle w:val="3"/>
        <w:bidi w:val="0"/>
        <w:rPr>
          <w:rFonts w:hint="eastAsia"/>
          <w:lang w:val="zh-CN"/>
        </w:rPr>
      </w:pPr>
      <w:r>
        <w:rPr>
          <w:rFonts w:hint="eastAsia"/>
          <w:lang w:val="zh-CN"/>
        </w:rPr>
        <w:t>民革南雄市总支部</w:t>
      </w:r>
    </w:p>
    <w:p w14:paraId="4B4B1B42">
      <w:pPr>
        <w:pStyle w:val="4"/>
        <w:bidi w:val="0"/>
        <w:rPr>
          <w:rFonts w:hint="eastAsia"/>
          <w:lang w:val="zh-CN"/>
        </w:rPr>
      </w:pPr>
      <w:r>
        <w:rPr>
          <w:rFonts w:hint="eastAsia"/>
          <w:lang w:val="zh-CN"/>
        </w:rPr>
        <w:t>【概况】</w:t>
      </w:r>
    </w:p>
    <w:p w14:paraId="4B2F16B7">
      <w:pPr>
        <w:bidi w:val="0"/>
        <w:rPr>
          <w:rFonts w:hint="eastAsia"/>
          <w:lang w:val="zh-CN"/>
        </w:rPr>
      </w:pPr>
      <w:r>
        <w:rPr>
          <w:rFonts w:hint="eastAsia"/>
          <w:lang w:val="zh-CN"/>
        </w:rPr>
        <w:t>南雄市于1990年5月成立民革联络小组，组长林佩琪，有5名成员。1991年8月13日，民革南雄县支部正式成立，林佩琪任主任委员，成员7人。1996年10月，民革南雄县支部更名为民革南雄市支部。2015年12月9日，支部升格为民革南雄市总支部委员会，下设民革南雄市第一、第二、第三等三个支部。现总支部有民革党员43人，是韶关民革人数较多的支部之一。其中男党员33名，女党员10名；在职党员36名，退休党员7名。分布在25个单位（部门），以教育、卫生为主，党员中有南雄市政协委员5名，其中南雄市政协副主席2名。中国国民党革命委员会（简称“民革”）是具有政治联盟性质的、致力于建设中国特色社会主义和祖国统一事业的政党，是中国共产党领导的多党合作和政治协商制度中的参政党，由原中国国民党民主派及其他爱国民主人士于1948年1月1日在香港创建。</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5D78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06F91CD">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6170" cy="3771900"/>
                  <wp:effectExtent l="0" t="0" r="5080" b="0"/>
                  <wp:docPr id="111" name="图片 111" descr="南雄年鉴2019_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南雄年鉴2019_0086"/>
                          <pic:cNvPicPr>
                            <a:picLocks noChangeAspect="1"/>
                          </pic:cNvPicPr>
                        </pic:nvPicPr>
                        <pic:blipFill>
                          <a:blip r:embed="rId98"/>
                          <a:stretch>
                            <a:fillRect/>
                          </a:stretch>
                        </pic:blipFill>
                        <pic:spPr>
                          <a:xfrm>
                            <a:off x="0" y="0"/>
                            <a:ext cx="6186170" cy="3771900"/>
                          </a:xfrm>
                          <a:prstGeom prst="rect">
                            <a:avLst/>
                          </a:prstGeom>
                        </pic:spPr>
                      </pic:pic>
                    </a:graphicData>
                  </a:graphic>
                </wp:inline>
              </w:drawing>
            </w:r>
          </w:p>
        </w:tc>
      </w:tr>
      <w:tr w14:paraId="5A7FC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A615A57">
            <w:pPr>
              <w:bidi w:val="0"/>
              <w:rPr>
                <w:rFonts w:hint="eastAsia"/>
                <w:vertAlign w:val="baseline"/>
                <w:lang w:val="zh-CN"/>
              </w:rPr>
            </w:pPr>
            <w:r>
              <w:rPr>
                <w:rFonts w:hint="eastAsia" w:ascii="FZKTK--GBK1-0" w:hAnsi="FZKTK--GBK1-0" w:eastAsia="FZKTK--GBK1-0"/>
                <w:sz w:val="20"/>
              </w:rPr>
              <w:t>9月15日，总支部党员在始兴红围接受红色爱国主义教育（民革南雄总支部</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69CFD796">
      <w:pPr>
        <w:pStyle w:val="4"/>
        <w:bidi w:val="0"/>
        <w:rPr>
          <w:rFonts w:hint="eastAsia"/>
          <w:lang w:val="zh-CN"/>
        </w:rPr>
      </w:pPr>
      <w:r>
        <w:rPr>
          <w:rFonts w:hint="eastAsia"/>
          <w:lang w:val="zh-CN"/>
        </w:rPr>
        <w:t>【组织建设】</w:t>
      </w:r>
    </w:p>
    <w:p w14:paraId="102518D7">
      <w:pPr>
        <w:bidi w:val="0"/>
        <w:rPr>
          <w:rFonts w:hint="eastAsia"/>
          <w:lang w:val="zh-CN"/>
        </w:rPr>
      </w:pPr>
      <w:r>
        <w:rPr>
          <w:rFonts w:hint="eastAsia"/>
          <w:lang w:val="zh-CN"/>
        </w:rPr>
        <w:t>加强党派内部监督，不断加强班子作风和纪律建设。在基层支部建设中，总支部始终强调支部工作的政治属性，以主题引导广大民革党员参加政治活动。特别是将民革党员之家建设和示范支部建设有机结合，使支部活动内容更加丰富。2018年总支部发展新党员2名。</w:t>
      </w:r>
    </w:p>
    <w:p w14:paraId="7C0A5918">
      <w:pPr>
        <w:pStyle w:val="4"/>
        <w:bidi w:val="0"/>
        <w:rPr>
          <w:rFonts w:hint="eastAsia"/>
          <w:lang w:val="zh-CN"/>
        </w:rPr>
      </w:pPr>
      <w:r>
        <w:rPr>
          <w:rFonts w:hint="eastAsia"/>
          <w:lang w:val="zh-CN"/>
        </w:rPr>
        <w:t>【参政议政】</w:t>
      </w:r>
    </w:p>
    <w:p w14:paraId="1FC678E2">
      <w:pPr>
        <w:bidi w:val="0"/>
        <w:rPr>
          <w:rFonts w:hint="eastAsia"/>
          <w:lang w:val="zh-CN"/>
        </w:rPr>
      </w:pPr>
      <w:r>
        <w:rPr>
          <w:rFonts w:hint="eastAsia"/>
          <w:lang w:val="zh-CN"/>
        </w:rPr>
        <w:t>在南雄市政协十届三次会议期间，副主委谭小山代表民革作《关于加大姓氏文化研究力度的建议》的即兴发言；总支部提交8个提案，其中提案《关于加大姓氏文化研究力度的建议》被列为市政协2018年重点督办提案，并被评为市政协2018年优秀提案。7月24至26日，民革南雄市总支部围绕“我市实施乡村振兴战略、加快农业产业发展”开展调研。撰写《推动农业产业化发展促进农业经济快速增长》调研报告，为市委、市政府作决策提供意见和建议。对南雄野生水果资源及其开发利用进行调研，提出开发利用好南雄野生水果资源的建议。</w:t>
      </w:r>
    </w:p>
    <w:p w14:paraId="7A9D005E">
      <w:pPr>
        <w:pStyle w:val="4"/>
        <w:bidi w:val="0"/>
        <w:rPr>
          <w:rFonts w:hint="eastAsia"/>
          <w:lang w:val="zh-CN"/>
        </w:rPr>
      </w:pPr>
      <w:r>
        <w:rPr>
          <w:rFonts w:hint="eastAsia"/>
          <w:lang w:val="zh-CN"/>
        </w:rPr>
        <w:t>【爱岗敬业】</w:t>
      </w:r>
    </w:p>
    <w:p w14:paraId="70883996">
      <w:pPr>
        <w:bidi w:val="0"/>
        <w:rPr>
          <w:rFonts w:hint="eastAsia"/>
          <w:lang w:val="zh-CN"/>
        </w:rPr>
      </w:pPr>
      <w:r>
        <w:rPr>
          <w:rFonts w:hint="eastAsia"/>
          <w:lang w:val="zh-CN"/>
        </w:rPr>
        <w:t>总支部要求党员立足岗位，干好自己的本职工作，树立民革党员良好形象。党员邓德明，现是韶关市黑颈龟养殖协会会长，长期致力于南雄黑颈龟资源保护利用和黑颈龟品牌发展工作，取得很好的成绩；党员谭小山，在干好自己的本职工作同时，积极参政议政、建言献策，被南雄市政协评为2018年度优秀市政协委员；党员李婷，在教育教学工作中脚踏实地、刻苦钻研、勤勤恳恳、兢兢业业，在2018年南雄市中小学教改优秀课例评选中获“一等奖”，被评为2018年南雄中学优秀班主任；党员杨红雨，在南雄市文明委主办的2018年第四季度“南雄好人”推荐评选活动中被评为“南雄孝老爱亲好人”。</w:t>
      </w:r>
    </w:p>
    <w:p w14:paraId="65FA3506">
      <w:pPr>
        <w:bidi w:val="0"/>
        <w:jc w:val="right"/>
        <w:rPr>
          <w:rFonts w:hint="eastAsia"/>
          <w:b/>
          <w:bCs/>
          <w:lang w:val="zh-CN"/>
        </w:rPr>
      </w:pPr>
      <w:r>
        <w:rPr>
          <w:rFonts w:hint="eastAsia"/>
          <w:b/>
          <w:bCs/>
          <w:lang w:val="zh-CN"/>
        </w:rPr>
        <w:t>（谭小山）</w:t>
      </w:r>
    </w:p>
    <w:p w14:paraId="590A6519">
      <w:pPr>
        <w:pStyle w:val="11"/>
        <w:bidi w:val="0"/>
        <w:rPr>
          <w:rFonts w:hint="eastAsia"/>
          <w:b/>
          <w:bCs/>
          <w:lang w:val="zh-CN"/>
        </w:rPr>
      </w:pPr>
      <w:r>
        <w:rPr>
          <w:rFonts w:hint="eastAsia"/>
          <w:b/>
          <w:bCs/>
          <w:lang w:val="zh-CN"/>
        </w:rPr>
        <w:t>附：2018年民革南雄市总支部领导成员名单（正副主委）</w:t>
      </w:r>
    </w:p>
    <w:p w14:paraId="4BE4F9C7">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任</w:t>
      </w:r>
      <w:r>
        <w:rPr>
          <w:rFonts w:hint="eastAsia"/>
          <w:b/>
          <w:bCs/>
          <w:lang w:val="en-US" w:eastAsia="zh-CN"/>
        </w:rPr>
        <w:t xml:space="preserve"> </w:t>
      </w:r>
      <w:r>
        <w:rPr>
          <w:rFonts w:hint="eastAsia"/>
          <w:b/>
          <w:bCs/>
          <w:lang w:val="zh-CN"/>
        </w:rPr>
        <w:t>委员：</w:t>
      </w:r>
      <w:r>
        <w:rPr>
          <w:rFonts w:hint="eastAsia"/>
          <w:lang w:val="zh-CN"/>
        </w:rPr>
        <w:t>刘卫忠</w:t>
      </w:r>
    </w:p>
    <w:p w14:paraId="20285A34">
      <w:pPr>
        <w:pStyle w:val="11"/>
        <w:bidi w:val="0"/>
        <w:rPr>
          <w:rFonts w:hint="eastAsia"/>
          <w:lang w:val="zh-CN"/>
        </w:rPr>
      </w:pPr>
      <w:r>
        <w:rPr>
          <w:rFonts w:hint="eastAsia"/>
          <w:b/>
          <w:bCs/>
          <w:lang w:val="zh-CN"/>
        </w:rPr>
        <w:t>副主任委员：</w:t>
      </w:r>
      <w:r>
        <w:rPr>
          <w:rFonts w:hint="eastAsia"/>
          <w:lang w:val="zh-CN"/>
        </w:rPr>
        <w:t>谭小山</w:t>
      </w:r>
      <w:r>
        <w:rPr>
          <w:rFonts w:hint="eastAsia"/>
          <w:lang w:val="en-US" w:eastAsia="zh-CN"/>
        </w:rPr>
        <w:t xml:space="preserve">   </w:t>
      </w:r>
      <w:r>
        <w:rPr>
          <w:rFonts w:hint="eastAsia"/>
          <w:lang w:val="zh-CN"/>
        </w:rPr>
        <w:t>朱兆清</w:t>
      </w:r>
    </w:p>
    <w:p w14:paraId="114A3CCD">
      <w:pPr>
        <w:pStyle w:val="3"/>
        <w:bidi w:val="0"/>
        <w:rPr>
          <w:rFonts w:hint="eastAsia"/>
          <w:lang w:val="zh-CN"/>
        </w:rPr>
      </w:pPr>
      <w:r>
        <w:rPr>
          <w:rFonts w:hint="eastAsia"/>
          <w:lang w:val="zh-CN"/>
        </w:rPr>
        <w:t>民盟南雄市总支部</w:t>
      </w:r>
    </w:p>
    <w:p w14:paraId="36BC10E9">
      <w:pPr>
        <w:pStyle w:val="4"/>
        <w:bidi w:val="0"/>
        <w:rPr>
          <w:rFonts w:hint="eastAsia"/>
          <w:lang w:val="zh-CN"/>
        </w:rPr>
      </w:pPr>
      <w:r>
        <w:rPr>
          <w:rFonts w:hint="eastAsia"/>
          <w:lang w:val="zh-CN"/>
        </w:rPr>
        <w:t>【概况】</w:t>
      </w:r>
    </w:p>
    <w:p w14:paraId="24F8E086">
      <w:pPr>
        <w:bidi w:val="0"/>
        <w:rPr>
          <w:rFonts w:hint="eastAsia"/>
          <w:lang w:val="zh-CN"/>
        </w:rPr>
      </w:pPr>
      <w:r>
        <w:rPr>
          <w:rFonts w:hint="eastAsia"/>
          <w:lang w:val="zh-CN"/>
        </w:rPr>
        <w:t>1987年5月，中国民主同盟南雄小组成立，有盟员4人。1988年7月20日，成立支部，盟员10人。1994年10月19日，成立总支，下设三个支部，有盟员32人。2018年新进盟员1人，1人离世，有盟员47人。</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956C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BA8D5F3">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2995" cy="3766185"/>
                  <wp:effectExtent l="0" t="0" r="8255" b="5715"/>
                  <wp:docPr id="112" name="图片 112" descr="南雄年鉴2019_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南雄年鉴2019_0087"/>
                          <pic:cNvPicPr>
                            <a:picLocks noChangeAspect="1"/>
                          </pic:cNvPicPr>
                        </pic:nvPicPr>
                        <pic:blipFill>
                          <a:blip r:embed="rId99"/>
                          <a:stretch>
                            <a:fillRect/>
                          </a:stretch>
                        </pic:blipFill>
                        <pic:spPr>
                          <a:xfrm>
                            <a:off x="0" y="0"/>
                            <a:ext cx="6182995" cy="3766185"/>
                          </a:xfrm>
                          <a:prstGeom prst="rect">
                            <a:avLst/>
                          </a:prstGeom>
                        </pic:spPr>
                      </pic:pic>
                    </a:graphicData>
                  </a:graphic>
                </wp:inline>
              </w:drawing>
            </w:r>
          </w:p>
        </w:tc>
      </w:tr>
      <w:tr w14:paraId="4799B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4ED8EE3">
            <w:pPr>
              <w:bidi w:val="0"/>
              <w:rPr>
                <w:rFonts w:hint="eastAsia"/>
                <w:vertAlign w:val="baseline"/>
                <w:lang w:val="zh-CN"/>
              </w:rPr>
            </w:pPr>
            <w:r>
              <w:rPr>
                <w:rFonts w:hint="eastAsia" w:ascii="FZKTK--GBK1-0" w:hAnsi="FZKTK--GBK1-0" w:eastAsia="FZKTK--GBK1-0"/>
                <w:sz w:val="20"/>
              </w:rPr>
              <w:t>调研南雄市乡镇古村落和古祠堂文化历史和保护情况（徐海英</w:t>
            </w:r>
            <w:r>
              <w:rPr>
                <w:rFonts w:hint="eastAsia" w:ascii="FZKTK--GBK1-0" w:hAnsi="FZKTK--GBK1-0" w:eastAsia="FZKTK--GBK1-0"/>
                <w:sz w:val="20"/>
                <w:lang w:val="en-US" w:eastAsia="zh-CN"/>
              </w:rPr>
              <w:t xml:space="preserve">  </w:t>
            </w:r>
            <w:r>
              <w:rPr>
                <w:rFonts w:hint="eastAsia" w:ascii="FZKTK--GBK1-0" w:hAnsi="FZKTK--GBK1-0" w:eastAsia="FZKTK--GBK1-0"/>
                <w:sz w:val="20"/>
              </w:rPr>
              <w:t>摄）</w:t>
            </w:r>
          </w:p>
        </w:tc>
      </w:tr>
    </w:tbl>
    <w:p w14:paraId="025D4AF4">
      <w:pPr>
        <w:pStyle w:val="4"/>
        <w:bidi w:val="0"/>
        <w:rPr>
          <w:rFonts w:hint="eastAsia"/>
          <w:lang w:val="zh-CN"/>
        </w:rPr>
      </w:pPr>
      <w:r>
        <w:rPr>
          <w:rFonts w:hint="eastAsia"/>
          <w:lang w:val="zh-CN"/>
        </w:rPr>
        <w:t>【参政议政】</w:t>
      </w:r>
    </w:p>
    <w:p w14:paraId="3536DBD4">
      <w:pPr>
        <w:bidi w:val="0"/>
        <w:rPr>
          <w:rFonts w:hint="eastAsia"/>
          <w:lang w:val="zh-CN"/>
        </w:rPr>
      </w:pPr>
      <w:r>
        <w:rPr>
          <w:rFonts w:hint="eastAsia"/>
          <w:lang w:val="zh-CN"/>
        </w:rPr>
        <w:t>围绕市委、市政府重点工作开展调研，积极参政议政。提交《关于发展我市旅游业的若干建议》《关于孔江国家湿地公园生态旅游建设的若干建议》《关于加强我市农家乐（民宿）管理建设的若干建议》3个提案。11月，民盟一中支部调研南雄市乡镇古村落和古祠堂的文化历史和保护情况，并提出保护意见和建议。</w:t>
      </w:r>
    </w:p>
    <w:p w14:paraId="2FA46A62">
      <w:pPr>
        <w:pStyle w:val="4"/>
        <w:bidi w:val="0"/>
        <w:rPr>
          <w:rFonts w:hint="eastAsia"/>
          <w:lang w:val="zh-CN"/>
        </w:rPr>
      </w:pPr>
      <w:r>
        <w:rPr>
          <w:rFonts w:hint="eastAsia"/>
          <w:lang w:val="zh-CN"/>
        </w:rPr>
        <w:t>【社会调研】</w:t>
      </w:r>
    </w:p>
    <w:p w14:paraId="37541FF3">
      <w:pPr>
        <w:bidi w:val="0"/>
        <w:rPr>
          <w:rFonts w:hint="eastAsia"/>
          <w:lang w:val="zh-CN"/>
        </w:rPr>
      </w:pPr>
      <w:r>
        <w:rPr>
          <w:rFonts w:hint="eastAsia"/>
          <w:lang w:val="zh-CN"/>
        </w:rPr>
        <w:t>11月8日—14日，民盟南雄总支组织各支部深入到工业园、卫生系统、农业部门及相关企业，围绕“关于安全生产的意见建议”开展调研活动。采取座谈交流、实地考察与问卷调查相结合，充分调动各个支部、广大盟员的聪明才智和履行参政党职能的积极性，为南雄市安全生产提出建议和意见。</w:t>
      </w:r>
    </w:p>
    <w:p w14:paraId="242CC1A2">
      <w:pPr>
        <w:pStyle w:val="4"/>
        <w:bidi w:val="0"/>
        <w:rPr>
          <w:rFonts w:hint="eastAsia"/>
          <w:lang w:val="zh-CN"/>
        </w:rPr>
      </w:pPr>
      <w:r>
        <w:rPr>
          <w:rFonts w:hint="eastAsia"/>
          <w:lang w:val="zh-CN"/>
        </w:rPr>
        <w:t>【服务社会】</w:t>
      </w:r>
    </w:p>
    <w:p w14:paraId="029C85BB">
      <w:pPr>
        <w:bidi w:val="0"/>
        <w:rPr>
          <w:rFonts w:hint="eastAsia"/>
          <w:lang w:val="zh-CN"/>
        </w:rPr>
      </w:pPr>
      <w:r>
        <w:rPr>
          <w:rFonts w:hint="eastAsia"/>
          <w:lang w:val="zh-CN"/>
        </w:rPr>
        <w:t>搭建平台，促进交流，做好对台港澳同胞和海外侨胞的联谊工作。7月8日，受民盟南雄总支主委、黄坑中学校长陈盛荣的邀请，由省人民政府外事侨务办公室主办、广东省华侨职业学校承办的美国旧金山青少年寻根团（寻根之友麦礼谦项目），在领队郑国和、广东省华侨职业技术学校国际部主任龙湘芳的带领下，来到黄坑中学进行参观交流活动。陈盛荣校长向海外学子讲解了南雄这块红土地沉淀下来的雄厚历史文化，介绍了粤北山区的教育情况及学子的学习生活情况，既让海外学子了解家乡，又架起了家乡学子与海外学子之间的沟通与友谊桥梁。此次活动的意义得到上级部门的肯定，并被刊登在手机版羊城晚报上。</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A7C9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9346947">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2995" cy="3766185"/>
                  <wp:effectExtent l="0" t="0" r="8255" b="5715"/>
                  <wp:docPr id="113" name="图片 113" descr="南雄年鉴2019_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南雄年鉴2019_0088"/>
                          <pic:cNvPicPr>
                            <a:picLocks noChangeAspect="1"/>
                          </pic:cNvPicPr>
                        </pic:nvPicPr>
                        <pic:blipFill>
                          <a:blip r:embed="rId100"/>
                          <a:stretch>
                            <a:fillRect/>
                          </a:stretch>
                        </pic:blipFill>
                        <pic:spPr>
                          <a:xfrm>
                            <a:off x="0" y="0"/>
                            <a:ext cx="6182995" cy="3766185"/>
                          </a:xfrm>
                          <a:prstGeom prst="rect">
                            <a:avLst/>
                          </a:prstGeom>
                        </pic:spPr>
                      </pic:pic>
                    </a:graphicData>
                  </a:graphic>
                </wp:inline>
              </w:drawing>
            </w:r>
          </w:p>
        </w:tc>
      </w:tr>
      <w:tr w14:paraId="151EE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04343B7">
            <w:pPr>
              <w:bidi w:val="0"/>
              <w:rPr>
                <w:rFonts w:hint="eastAsia"/>
                <w:vertAlign w:val="baseline"/>
                <w:lang w:val="zh-CN"/>
              </w:rPr>
            </w:pPr>
            <w:r>
              <w:rPr>
                <w:rFonts w:hint="eastAsia" w:ascii="FZKTK--GBK1-0" w:hAnsi="FZKTK--GBK1-0" w:eastAsia="FZKTK--GBK1-0"/>
                <w:sz w:val="20"/>
              </w:rPr>
              <w:t>11月9日，民盟综合支部实地考察维也纳酒店的消防安全设施（陈卫星</w:t>
            </w:r>
            <w:r>
              <w:rPr>
                <w:rFonts w:hint="eastAsia" w:ascii="FZKTK--GBK1-0" w:hAnsi="FZKTK--GBK1-0" w:eastAsia="FZKTK--GBK1-0"/>
                <w:sz w:val="20"/>
                <w:lang w:val="en-US" w:eastAsia="zh-CN"/>
              </w:rPr>
              <w:t xml:space="preserve">  </w:t>
            </w:r>
            <w:r>
              <w:rPr>
                <w:rFonts w:hint="eastAsia" w:ascii="FZKTK--GBK1-0" w:hAnsi="FZKTK--GBK1-0" w:eastAsia="FZKTK--GBK1-0"/>
                <w:sz w:val="20"/>
              </w:rPr>
              <w:t>摄）</w:t>
            </w:r>
          </w:p>
        </w:tc>
      </w:tr>
    </w:tbl>
    <w:p w14:paraId="3ACDE64B">
      <w:pPr>
        <w:pStyle w:val="4"/>
        <w:bidi w:val="0"/>
        <w:rPr>
          <w:rFonts w:hint="eastAsia"/>
          <w:lang w:val="zh-CN"/>
        </w:rPr>
      </w:pPr>
      <w:r>
        <w:rPr>
          <w:rFonts w:hint="eastAsia"/>
          <w:lang w:val="zh-CN"/>
        </w:rPr>
        <w:t>【获得荣誉】</w:t>
      </w:r>
    </w:p>
    <w:p w14:paraId="5A0AFDB2">
      <w:pPr>
        <w:bidi w:val="0"/>
        <w:rPr>
          <w:rFonts w:hint="eastAsia"/>
          <w:lang w:val="zh-CN"/>
        </w:rPr>
      </w:pPr>
      <w:r>
        <w:rPr>
          <w:rFonts w:hint="eastAsia"/>
          <w:lang w:val="zh-CN"/>
        </w:rPr>
        <w:t>2018年，全体盟员继承传统，不忘初心，履职尽责，不断前行。民盟南雄总支副主委、南雄市中医院医务股股长王洪林，其科研课题《腹针对骨科椎管麻术后患者胃肠功能恢复的临床研究》，于2018年1月5日通过广东省中医药局审批，获得科研立项，并获得省中医药局资助的科研经费1万元。民盟雄中支部主委黄静先后被南雄中学评为“优秀指导教师”和“优秀德育工作者”，并承担校级公开课，效果良好，获得好评。盟员莫名云的论文《形成性评高中英语写作的中的运用》在韶关中小学英语教学论文交流会上宣读并获一等奖，并于2018年6月成功承担南雄市英语公开课，2018年9月被评为南雄中学优秀班主任。韩秀艳、谢艳琼、吴俊怡、严文斌、徐海英等多位盟员被评为2018年南雄市第一中学优秀教师和优秀班主任。</w:t>
      </w:r>
    </w:p>
    <w:p w14:paraId="1C0035D5">
      <w:pPr>
        <w:bidi w:val="0"/>
        <w:jc w:val="right"/>
        <w:rPr>
          <w:rFonts w:hint="eastAsia"/>
          <w:b/>
          <w:bCs/>
          <w:lang w:val="zh-CN"/>
        </w:rPr>
      </w:pPr>
      <w:r>
        <w:rPr>
          <w:rFonts w:hint="eastAsia"/>
          <w:b/>
          <w:bCs/>
          <w:lang w:val="zh-CN"/>
        </w:rPr>
        <w:t>（黄</w:t>
      </w:r>
      <w:r>
        <w:rPr>
          <w:rFonts w:hint="eastAsia"/>
          <w:b/>
          <w:bCs/>
          <w:lang w:val="en-US" w:eastAsia="zh-CN"/>
        </w:rPr>
        <w:t xml:space="preserve">  </w:t>
      </w:r>
      <w:r>
        <w:rPr>
          <w:rFonts w:hint="eastAsia"/>
          <w:b/>
          <w:bCs/>
          <w:lang w:val="zh-CN"/>
        </w:rPr>
        <w:t>静）</w:t>
      </w:r>
    </w:p>
    <w:p w14:paraId="11978C86">
      <w:pPr>
        <w:pStyle w:val="11"/>
        <w:bidi w:val="0"/>
        <w:rPr>
          <w:rFonts w:hint="eastAsia"/>
          <w:b/>
          <w:bCs/>
          <w:lang w:val="zh-CN"/>
        </w:rPr>
      </w:pPr>
      <w:r>
        <w:rPr>
          <w:rFonts w:hint="eastAsia"/>
          <w:b/>
          <w:bCs/>
          <w:lang w:val="zh-CN"/>
        </w:rPr>
        <w:t>附：2018年民盟南雄总支领导班子成员名单（正副主委）</w:t>
      </w:r>
    </w:p>
    <w:p w14:paraId="35298347">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委：</w:t>
      </w:r>
      <w:r>
        <w:rPr>
          <w:rFonts w:hint="eastAsia"/>
          <w:lang w:val="zh-CN"/>
        </w:rPr>
        <w:t>陈盛荣</w:t>
      </w:r>
    </w:p>
    <w:p w14:paraId="4653CCB6">
      <w:pPr>
        <w:pStyle w:val="11"/>
        <w:bidi w:val="0"/>
        <w:rPr>
          <w:rFonts w:hint="eastAsia"/>
          <w:lang w:val="zh-CN"/>
        </w:rPr>
      </w:pPr>
      <w:r>
        <w:rPr>
          <w:rFonts w:hint="eastAsia"/>
          <w:b/>
          <w:bCs/>
          <w:lang w:val="zh-CN"/>
        </w:rPr>
        <w:t>副主委：</w:t>
      </w:r>
      <w:r>
        <w:rPr>
          <w:rFonts w:hint="eastAsia"/>
          <w:lang w:val="zh-CN"/>
        </w:rPr>
        <w:t>陈川荣</w:t>
      </w:r>
      <w:r>
        <w:rPr>
          <w:rFonts w:hint="eastAsia"/>
          <w:lang w:val="en-US" w:eastAsia="zh-CN"/>
        </w:rPr>
        <w:t xml:space="preserve">   </w:t>
      </w:r>
      <w:r>
        <w:rPr>
          <w:rFonts w:hint="eastAsia"/>
          <w:lang w:val="zh-CN"/>
        </w:rPr>
        <w:t>王洪林</w:t>
      </w:r>
    </w:p>
    <w:p w14:paraId="35067A67">
      <w:pPr>
        <w:pStyle w:val="3"/>
        <w:bidi w:val="0"/>
        <w:rPr>
          <w:rFonts w:hint="eastAsia"/>
          <w:lang w:val="zh-CN"/>
        </w:rPr>
      </w:pPr>
      <w:r>
        <w:rPr>
          <w:rFonts w:hint="eastAsia"/>
          <w:lang w:val="zh-CN"/>
        </w:rPr>
        <w:t>九三学社南雄市支社</w:t>
      </w:r>
    </w:p>
    <w:p w14:paraId="4FED4787">
      <w:pPr>
        <w:pStyle w:val="4"/>
        <w:bidi w:val="0"/>
        <w:rPr>
          <w:rFonts w:hint="eastAsia"/>
          <w:lang w:val="zh-CN"/>
        </w:rPr>
      </w:pPr>
      <w:r>
        <w:rPr>
          <w:rFonts w:hint="eastAsia"/>
          <w:lang w:val="zh-CN"/>
        </w:rPr>
        <w:t>【概况】</w:t>
      </w:r>
    </w:p>
    <w:p w14:paraId="60A56B00">
      <w:pPr>
        <w:bidi w:val="0"/>
        <w:rPr>
          <w:rFonts w:hint="eastAsia"/>
          <w:lang w:val="zh-CN"/>
        </w:rPr>
      </w:pPr>
      <w:r>
        <w:rPr>
          <w:rFonts w:hint="eastAsia"/>
          <w:lang w:val="zh-CN"/>
        </w:rPr>
        <w:t>2008年，九三学社南雄直属小组成立，何旗明任组长，有社员7人。2013年10月30日，九三学社南雄市支社正式成立，有社员12人，何旗明任主委。2018年支社社员19人，其中高级职称7人，中级职称10人，女社员7人。</w:t>
      </w:r>
    </w:p>
    <w:p w14:paraId="0FE6CFB8">
      <w:pPr>
        <w:pStyle w:val="4"/>
        <w:bidi w:val="0"/>
        <w:rPr>
          <w:rFonts w:hint="eastAsia"/>
          <w:lang w:val="zh-CN"/>
        </w:rPr>
      </w:pPr>
      <w:r>
        <w:rPr>
          <w:rFonts w:hint="eastAsia"/>
          <w:lang w:val="zh-CN"/>
        </w:rPr>
        <w:t>【自身建设】</w:t>
      </w:r>
    </w:p>
    <w:p w14:paraId="3994FE32">
      <w:pPr>
        <w:bidi w:val="0"/>
        <w:rPr>
          <w:rFonts w:hint="eastAsia"/>
          <w:lang w:val="zh-CN"/>
        </w:rPr>
      </w:pPr>
      <w:r>
        <w:rPr>
          <w:rFonts w:hint="eastAsia"/>
          <w:lang w:val="zh-CN"/>
        </w:rPr>
        <w:t>严格把关，发展2名热爱九三学社、拥护中国共产党领导的多党合作、有参政议政潜能的年轻新社员。选派2名优秀社员参加韶关市社会主义学院举办的民主党派新成员培训班，并顺利结业。九三学社南雄支社被评为九三学社韶关市委员会2018年度先进集体；社员曾清洲成为韶关市青年联合会第八届委员；社员何旗明被评为南雄市优秀政协委员、九三学社韶关市委员会先进个人；社员刘奇勇被九三学社韶关市社委评为社会服务先进个人，2018年度工行韶关分行（A类）优秀员工，被聘为广东省金融作协理事。</w:t>
      </w:r>
    </w:p>
    <w:p w14:paraId="301464F0">
      <w:pPr>
        <w:pStyle w:val="4"/>
        <w:bidi w:val="0"/>
        <w:rPr>
          <w:rFonts w:hint="eastAsia"/>
          <w:lang w:val="zh-CN"/>
        </w:rPr>
      </w:pPr>
      <w:r>
        <w:rPr>
          <w:rFonts w:hint="eastAsia"/>
          <w:lang w:val="zh-CN"/>
        </w:rPr>
        <w:t>【参政议政】</w:t>
      </w:r>
    </w:p>
    <w:p w14:paraId="10142D44">
      <w:pPr>
        <w:bidi w:val="0"/>
        <w:rPr>
          <w:rFonts w:hint="eastAsia"/>
          <w:lang w:val="zh-CN"/>
        </w:rPr>
      </w:pPr>
      <w:r>
        <w:rPr>
          <w:rFonts w:hint="eastAsia"/>
          <w:lang w:val="zh-CN"/>
        </w:rPr>
        <w:t>支社在2018年提交《关于南雄市医疗卫生垃圾的处理建议》《南雄市120急救体系建设的建议》等提案，均得到市委、市政府重视及出资解决。其中《南雄市120急救体系建设的建议》《关于梅关古驿道保护与活化利用的调研报告》被列为市政协重点提案。</w:t>
      </w:r>
    </w:p>
    <w:p w14:paraId="090F5D1D">
      <w:pPr>
        <w:pStyle w:val="4"/>
        <w:bidi w:val="0"/>
        <w:rPr>
          <w:rFonts w:hint="eastAsia"/>
          <w:lang w:val="zh-CN"/>
        </w:rPr>
      </w:pPr>
      <w:r>
        <w:rPr>
          <w:rFonts w:hint="eastAsia"/>
          <w:lang w:val="zh-CN"/>
        </w:rPr>
        <w:t>【社会服务】</w:t>
      </w:r>
    </w:p>
    <w:p w14:paraId="7098BF0C">
      <w:pPr>
        <w:bidi w:val="0"/>
        <w:rPr>
          <w:rFonts w:hint="eastAsia"/>
          <w:lang w:val="zh-CN"/>
        </w:rPr>
      </w:pPr>
      <w:r>
        <w:rPr>
          <w:rFonts w:hint="eastAsia"/>
          <w:lang w:val="zh-CN"/>
        </w:rPr>
        <w:t>主要围绕扶贫义诊、送医送药、慰问孤寡老人等方面开展社会服务活动，2018年在乌迳镇中心卫生院组织“乡村健康快车活动”，给白内障患者带去了福音。</w:t>
      </w:r>
    </w:p>
    <w:p w14:paraId="2ADC2DFF">
      <w:pPr>
        <w:bidi w:val="0"/>
        <w:jc w:val="right"/>
        <w:rPr>
          <w:rFonts w:hint="eastAsia"/>
          <w:b/>
          <w:bCs/>
          <w:lang w:val="zh-CN"/>
        </w:rPr>
      </w:pPr>
      <w:r>
        <w:rPr>
          <w:rFonts w:hint="eastAsia"/>
          <w:b/>
          <w:bCs/>
          <w:lang w:val="zh-CN"/>
        </w:rPr>
        <w:t>（李渊英）</w:t>
      </w:r>
    </w:p>
    <w:p w14:paraId="1A06BE51">
      <w:pPr>
        <w:pStyle w:val="11"/>
        <w:bidi w:val="0"/>
        <w:rPr>
          <w:rFonts w:hint="eastAsia"/>
          <w:b/>
          <w:bCs/>
          <w:lang w:val="zh-CN"/>
        </w:rPr>
      </w:pPr>
      <w:r>
        <w:rPr>
          <w:rFonts w:hint="eastAsia"/>
          <w:b/>
          <w:bCs/>
          <w:lang w:val="zh-CN"/>
        </w:rPr>
        <w:t>附：2018年九三学社南雄市支社领导班子成员名单（正副主委）</w:t>
      </w:r>
    </w:p>
    <w:p w14:paraId="61AD5EB3">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委：</w:t>
      </w:r>
      <w:r>
        <w:rPr>
          <w:rFonts w:hint="eastAsia"/>
          <w:lang w:val="zh-CN"/>
        </w:rPr>
        <w:t>何旗明</w:t>
      </w:r>
    </w:p>
    <w:p w14:paraId="44E47809">
      <w:pPr>
        <w:pStyle w:val="11"/>
        <w:bidi w:val="0"/>
        <w:rPr>
          <w:rFonts w:hint="eastAsia"/>
          <w:lang w:val="zh-CN"/>
        </w:rPr>
      </w:pPr>
      <w:r>
        <w:rPr>
          <w:rFonts w:hint="eastAsia"/>
          <w:b/>
          <w:bCs/>
          <w:lang w:val="zh-CN"/>
        </w:rPr>
        <w:t>副主委：</w:t>
      </w:r>
      <w:r>
        <w:rPr>
          <w:rFonts w:hint="eastAsia"/>
          <w:lang w:val="zh-CN"/>
        </w:rPr>
        <w:t>陈</w:t>
      </w:r>
      <w:r>
        <w:rPr>
          <w:rFonts w:hint="eastAsia"/>
          <w:lang w:val="en-US" w:eastAsia="zh-CN"/>
        </w:rPr>
        <w:t xml:space="preserve">  </w:t>
      </w:r>
      <w:r>
        <w:rPr>
          <w:rFonts w:hint="eastAsia"/>
          <w:lang w:val="zh-CN"/>
        </w:rPr>
        <w:t>优</w:t>
      </w:r>
      <w:r>
        <w:rPr>
          <w:rFonts w:hint="eastAsia"/>
          <w:lang w:val="en-US" w:eastAsia="zh-CN"/>
        </w:rPr>
        <w:t xml:space="preserve">   </w:t>
      </w:r>
      <w:r>
        <w:rPr>
          <w:rFonts w:hint="eastAsia"/>
          <w:lang w:val="zh-CN"/>
        </w:rPr>
        <w:t>王衍明</w:t>
      </w:r>
    </w:p>
    <w:p w14:paraId="4D27C6DA">
      <w:pPr>
        <w:pStyle w:val="3"/>
        <w:bidi w:val="0"/>
        <w:rPr>
          <w:rFonts w:hint="eastAsia"/>
          <w:lang w:val="zh-CN"/>
        </w:rPr>
      </w:pPr>
      <w:r>
        <w:rPr>
          <w:rFonts w:hint="eastAsia"/>
          <w:lang w:val="zh-CN"/>
        </w:rPr>
        <w:t>南雄市工商业联合会</w:t>
      </w:r>
    </w:p>
    <w:p w14:paraId="5AED461E">
      <w:pPr>
        <w:pStyle w:val="4"/>
        <w:bidi w:val="0"/>
        <w:rPr>
          <w:rFonts w:hint="eastAsia"/>
          <w:lang w:val="zh-CN"/>
        </w:rPr>
      </w:pPr>
      <w:r>
        <w:rPr>
          <w:rFonts w:hint="eastAsia"/>
          <w:lang w:val="zh-CN"/>
        </w:rPr>
        <w:t>【概况】</w:t>
      </w:r>
    </w:p>
    <w:p w14:paraId="1F4E95F4">
      <w:pPr>
        <w:bidi w:val="0"/>
        <w:rPr>
          <w:rFonts w:hint="eastAsia"/>
          <w:lang w:val="zh-CN"/>
        </w:rPr>
      </w:pPr>
      <w:r>
        <w:rPr>
          <w:rFonts w:hint="eastAsia"/>
          <w:lang w:val="zh-CN"/>
        </w:rPr>
        <w:t>南雄市工商业联合会与统战部合署办公。是中国共产党领导下的由工商界组成的人民团体和民间商会，是党和政府联系非公有制经济人士的桥梁和纽带。履行统一战线人民团体和民间商会职能，维护会员合法权益。</w:t>
      </w:r>
    </w:p>
    <w:p w14:paraId="4367BD4F">
      <w:pPr>
        <w:pStyle w:val="4"/>
        <w:bidi w:val="0"/>
        <w:rPr>
          <w:rFonts w:hint="eastAsia"/>
          <w:lang w:val="zh-CN"/>
        </w:rPr>
      </w:pPr>
      <w:r>
        <w:rPr>
          <w:rFonts w:hint="eastAsia"/>
          <w:lang w:val="zh-CN"/>
        </w:rPr>
        <w:t>【营商环境营造】</w:t>
      </w:r>
    </w:p>
    <w:p w14:paraId="7BBD5C3A">
      <w:pPr>
        <w:bidi w:val="0"/>
        <w:rPr>
          <w:rFonts w:hint="eastAsia"/>
          <w:lang w:val="zh-CN"/>
        </w:rPr>
      </w:pPr>
      <w:r>
        <w:rPr>
          <w:rFonts w:hint="eastAsia"/>
          <w:lang w:val="zh-CN"/>
        </w:rPr>
        <w:t>开展新春走基层调研。2018年春节期间，市委常委、市纪委书记徐建坤率领市纪委、市委统战部、市工商联有关领导干部实地走访调研汇浦医药、自由能、连邦化工等民营企业，就民营企业如何预防职务犯罪听取大家的意见和建议，并向各民营企业家宣传讲解保护民营企业健康发展的有关政策，助力企业树立良好经营形象。完成各项调查问卷任务，根据省工商联和韶关市工商联的有关要求，开展促进民营经济发展、民营企业运行状况、民营企业社会责任等调研问卷，引导企业会员如实填报，为进一步研究制定省、市促进民营经济发展的政策提供依据。做好沟通服务企业工作，高度重视沟通服务非公企业工作，先后组织韶关市工商联、南雄市委统战部有关领导走访调研金友集团、罗曼钢琴、电商园、连邦化工等十几家总商会民营企业，了解企业项目发展和销售经营情况，帮助企业解决融资、降税、征地等方面的困难和问题，鼓励广大企业转型升级、提速发展。同时先后组织非公企业家代表参加2018年南雄市民营企业高质量发展座谈会、南雄市民营企业座谈会、2019年南雄市“政银企”融资对接会议暨“访百万企业助实体经济”专项行动启动仪式等，听取市委、市政府关于促进民营企业发展的政策措施，阐述反映目前民营企业的现状和发展过程中遇到的问题和困难，以及希望市委、市政府协调解决的事项，充分发挥工商联沟通联系政府和非公企业家的桥梁纽带作用，向市委、市政府传达非公企业家心声。</w:t>
      </w:r>
    </w:p>
    <w:p w14:paraId="3B49928A">
      <w:pPr>
        <w:pStyle w:val="4"/>
        <w:bidi w:val="0"/>
        <w:rPr>
          <w:rFonts w:hint="eastAsia"/>
          <w:lang w:val="zh-CN"/>
        </w:rPr>
      </w:pPr>
      <w:r>
        <w:rPr>
          <w:rFonts w:hint="eastAsia"/>
          <w:lang w:val="zh-CN"/>
        </w:rPr>
        <w:t>【商（协）会建设】</w:t>
      </w:r>
    </w:p>
    <w:p w14:paraId="730DDBAA">
      <w:pPr>
        <w:bidi w:val="0"/>
        <w:rPr>
          <w:rFonts w:hint="eastAsia"/>
          <w:lang w:val="zh-CN"/>
        </w:rPr>
      </w:pPr>
      <w:r>
        <w:rPr>
          <w:rFonts w:hint="eastAsia"/>
          <w:lang w:val="zh-CN"/>
        </w:rPr>
        <w:t>指导行业商（协）会、异地商（协）会建设。一年来，不断加强与各商（协）会的联系和沟通，扎实推进以“班子建设好、团结教育好、服务发展好、自律规范好”为主要内容的商（协）会建设工作，把“两个健康”主题贯彻落实到商（协）会建设的各个方面、各个环节，进一步强化工商联所属商（协）会的基层组织地位和作用，建好阵地、管好阵地，夯实工商联事业发展的根基。1月24日，和雅商会党支部揭牌成立；5月17日，组织开展消防安全培训，提高广大非公人士消防安全意识，防止各类火灾事故的发生；12月18日，南雄市家居建材装饰协会挂牌成立；12月27日，和雅商会被省工商联评为2018年广东省工商联系统“四好”商会。推进镇（街）商会筹建。配合市委统战部实施“1+N”工程，多次走访调研乌迳、珠玑两个乡镇商会建设项目，指导各镇（街）在2019年通过开展一次较大规模的奖教奖学活动来筹建镇（街）商会，营造凝心聚力、共谋发展的浓厚工作氛围，协调民政、公安、财政、人民银行等部门，共同推动全市基层商会建设，确保到2020年实现镇级商会全覆盖。</w:t>
      </w:r>
    </w:p>
    <w:p w14:paraId="3B0DA904">
      <w:pPr>
        <w:pStyle w:val="4"/>
        <w:bidi w:val="0"/>
        <w:rPr>
          <w:rFonts w:hint="eastAsia"/>
          <w:lang w:val="zh-CN"/>
        </w:rPr>
      </w:pPr>
      <w:r>
        <w:rPr>
          <w:rFonts w:hint="eastAsia"/>
          <w:lang w:val="zh-CN"/>
        </w:rPr>
        <w:t>【助力脱贫攻坚和乡村振兴】</w:t>
      </w:r>
    </w:p>
    <w:p w14:paraId="6D6F3D87">
      <w:pPr>
        <w:bidi w:val="0"/>
        <w:rPr>
          <w:rFonts w:hint="eastAsia"/>
          <w:lang w:val="zh-CN"/>
        </w:rPr>
      </w:pPr>
      <w:r>
        <w:rPr>
          <w:rFonts w:hint="eastAsia"/>
          <w:lang w:val="zh-CN"/>
        </w:rPr>
        <w:t>参与精准扶贫工作，2018年分别到主田镇窑合村、主田村，油山革命老区，邓坊镇上湖村等地开展新春慰问、扶贫助学等活动，为贫困户送上米、面、油等慰问品，为贫困学子送上爱心助学金，为村委会送上空调、电脑、打印机等基础设备，有效改善贫困户生产生活质量和村委会办公环境。助推乡村振兴战略实施，推进百企帮百村项目，组织广大非公企业家深入镇村调研，结合当地实际发展农业旅游、中草药种植、电商营销等项目，多方合作，互利共赢，既拓展非公企业发展方向，又促进镇村产业振兴。</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2A92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C5FC31D">
            <w:pPr>
              <w:bidi w:val="0"/>
              <w:ind w:left="0" w:leftChars="0" w:firstLine="0" w:firstLineChars="0"/>
              <w:rPr>
                <w:rFonts w:hint="eastAsia"/>
                <w:vertAlign w:val="baseline"/>
                <w:lang w:val="zh-CN"/>
              </w:rPr>
            </w:pPr>
            <w:r>
              <w:rPr>
                <w:rFonts w:hint="eastAsia"/>
                <w:vertAlign w:val="baseline"/>
                <w:lang w:val="zh-CN"/>
              </w:rPr>
              <w:drawing>
                <wp:inline distT="0" distB="0" distL="114300" distR="114300">
                  <wp:extent cx="6182995" cy="3766185"/>
                  <wp:effectExtent l="0" t="0" r="8255" b="5715"/>
                  <wp:docPr id="114" name="图片 114" descr="南雄年鉴2019_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南雄年鉴2019_0089"/>
                          <pic:cNvPicPr>
                            <a:picLocks noChangeAspect="1"/>
                          </pic:cNvPicPr>
                        </pic:nvPicPr>
                        <pic:blipFill>
                          <a:blip r:embed="rId101"/>
                          <a:stretch>
                            <a:fillRect/>
                          </a:stretch>
                        </pic:blipFill>
                        <pic:spPr>
                          <a:xfrm>
                            <a:off x="0" y="0"/>
                            <a:ext cx="6182995" cy="3766185"/>
                          </a:xfrm>
                          <a:prstGeom prst="rect">
                            <a:avLst/>
                          </a:prstGeom>
                        </pic:spPr>
                      </pic:pic>
                    </a:graphicData>
                  </a:graphic>
                </wp:inline>
              </w:drawing>
            </w:r>
          </w:p>
        </w:tc>
      </w:tr>
      <w:tr w14:paraId="5FE7A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0A22279">
            <w:pPr>
              <w:bidi w:val="0"/>
              <w:rPr>
                <w:rFonts w:hint="eastAsia"/>
                <w:vertAlign w:val="baseline"/>
                <w:lang w:val="zh-CN"/>
              </w:rPr>
            </w:pPr>
            <w:r>
              <w:rPr>
                <w:rFonts w:hint="eastAsia" w:ascii="FZKTK--GBK1-0" w:hAnsi="FZKTK--GBK1-0" w:eastAsia="FZKTK--GBK1-0"/>
                <w:color w:val="000000"/>
                <w:sz w:val="20"/>
              </w:rPr>
              <w:t>2018年1月30日，南雄市工商联（总商会）组织会员前往油山开展“真情关爱暖人心”活动（谭雪萍</w:t>
            </w:r>
            <w:r>
              <w:rPr>
                <w:rFonts w:hint="eastAsia" w:ascii="FZKTK--GBK1-0" w:hAnsi="FZKTK--GBK1-0" w:eastAsia="FZKTK--GBK1-0"/>
                <w:color w:val="000000"/>
                <w:sz w:val="20"/>
                <w:lang w:val="en-US" w:eastAsia="zh-CN"/>
              </w:rPr>
              <w:t xml:space="preserve">  </w:t>
            </w:r>
            <w:r>
              <w:rPr>
                <w:rFonts w:hint="eastAsia" w:ascii="FZKTK--GBK1-0" w:hAnsi="FZKTK--GBK1-0" w:eastAsia="FZKTK--GBK1-0"/>
                <w:color w:val="000000"/>
                <w:sz w:val="20"/>
              </w:rPr>
              <w:t>摄）</w:t>
            </w:r>
          </w:p>
        </w:tc>
      </w:tr>
    </w:tbl>
    <w:p w14:paraId="71B8C801">
      <w:pPr>
        <w:pStyle w:val="4"/>
        <w:bidi w:val="0"/>
        <w:rPr>
          <w:rFonts w:hint="eastAsia"/>
          <w:lang w:val="zh-CN"/>
        </w:rPr>
      </w:pPr>
      <w:r>
        <w:rPr>
          <w:rFonts w:hint="eastAsia"/>
          <w:lang w:val="zh-CN"/>
        </w:rPr>
        <w:t>【其他工作】</w:t>
      </w:r>
    </w:p>
    <w:p w14:paraId="33B9BA62">
      <w:pPr>
        <w:bidi w:val="0"/>
        <w:rPr>
          <w:rFonts w:hint="eastAsia"/>
          <w:lang w:val="zh-CN"/>
        </w:rPr>
      </w:pPr>
      <w:r>
        <w:rPr>
          <w:rFonts w:hint="eastAsia"/>
          <w:lang w:val="zh-CN"/>
        </w:rPr>
        <w:t>筹建雄商大厦。2018年多次召开主席会议、常委会议研究讨论，拟在本届班子任期内建成一座集商业贸易、行政办公、人才公寓、企业孵化于一体的多功能综合大楼。该大楼将作为本市地标性建筑，暂定项目名称为“工商联大厦”。各项工作有序进行中。重视学习交流，通过加强与周边县市及省内外先进工商联的学习交流，拓宽发展思路，找准存在的问题和不足，进行企业转型升级。先后组织参加全省工商联2018年组织工作会议，2018年广东非公有制经济组织法律宣传月等学习交流活动，以及中草药产业发展、特色旅游小镇建设等专题调研活动，坚定主动融入珠三角、推动南雄工商联（总商会）工作再上新台阶的信心和决心。</w:t>
      </w:r>
      <w:r>
        <w:rPr>
          <w:rFonts w:hint="eastAsia"/>
          <w:b/>
          <w:bCs/>
          <w:lang w:val="zh-CN"/>
        </w:rPr>
        <w:t>（何</w:t>
      </w:r>
      <w:r>
        <w:rPr>
          <w:rFonts w:hint="eastAsia"/>
          <w:b/>
          <w:bCs/>
          <w:lang w:val="en-US" w:eastAsia="zh-CN"/>
        </w:rPr>
        <w:t xml:space="preserve">  </w:t>
      </w:r>
      <w:r>
        <w:rPr>
          <w:rFonts w:hint="eastAsia"/>
          <w:b/>
          <w:bCs/>
          <w:lang w:val="zh-CN"/>
        </w:rPr>
        <w:t>威）</w:t>
      </w:r>
    </w:p>
    <w:p w14:paraId="16340D59">
      <w:pPr>
        <w:pStyle w:val="11"/>
        <w:bidi w:val="0"/>
        <w:rPr>
          <w:rFonts w:hint="eastAsia"/>
          <w:b/>
          <w:bCs/>
          <w:lang w:val="zh-CN"/>
        </w:rPr>
      </w:pPr>
      <w:r>
        <w:rPr>
          <w:rFonts w:hint="eastAsia"/>
          <w:b/>
          <w:bCs/>
          <w:lang w:val="zh-CN"/>
        </w:rPr>
        <w:t>附：2018年市工商联（总商会）领导班子成员名单</w:t>
      </w:r>
    </w:p>
    <w:p w14:paraId="3E6F5301">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席：</w:t>
      </w:r>
      <w:r>
        <w:rPr>
          <w:rFonts w:hint="eastAsia"/>
          <w:lang w:val="zh-CN"/>
        </w:rPr>
        <w:t>周细妹</w:t>
      </w:r>
    </w:p>
    <w:p w14:paraId="47A33885">
      <w:pPr>
        <w:pStyle w:val="11"/>
        <w:bidi w:val="0"/>
        <w:rPr>
          <w:rFonts w:hint="eastAsia"/>
          <w:lang w:val="zh-CN"/>
        </w:rPr>
      </w:pPr>
      <w:r>
        <w:rPr>
          <w:rFonts w:hint="eastAsia"/>
          <w:b/>
          <w:bCs/>
          <w:lang w:val="zh-CN"/>
        </w:rPr>
        <w:t>党组书记：</w:t>
      </w:r>
      <w:r>
        <w:rPr>
          <w:rFonts w:hint="eastAsia"/>
          <w:lang w:val="zh-CN"/>
        </w:rPr>
        <w:t>董祖明</w:t>
      </w:r>
    </w:p>
    <w:p w14:paraId="09CC9F73">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主</w:t>
      </w:r>
      <w:r>
        <w:rPr>
          <w:rFonts w:hint="eastAsia"/>
          <w:b/>
          <w:bCs/>
          <w:lang w:val="en-US" w:eastAsia="zh-CN"/>
        </w:rPr>
        <w:t xml:space="preserve"> </w:t>
      </w:r>
      <w:r>
        <w:rPr>
          <w:rFonts w:hint="eastAsia"/>
          <w:b/>
          <w:bCs/>
          <w:lang w:val="zh-CN"/>
        </w:rPr>
        <w:t>席：</w:t>
      </w:r>
      <w:r>
        <w:rPr>
          <w:rFonts w:hint="eastAsia"/>
          <w:lang w:val="zh-CN"/>
        </w:rPr>
        <w:t>董祖明卢隆全</w:t>
      </w:r>
    </w:p>
    <w:p w14:paraId="33F77EC9">
      <w:pPr>
        <w:pStyle w:val="11"/>
        <w:bidi w:val="0"/>
        <w:ind w:leftChars="500"/>
        <w:rPr>
          <w:rFonts w:hint="eastAsia"/>
          <w:lang w:val="zh-CN"/>
        </w:rPr>
      </w:pPr>
      <w:r>
        <w:rPr>
          <w:rFonts w:hint="eastAsia"/>
          <w:lang w:val="zh-CN"/>
        </w:rPr>
        <w:t>康小松</w:t>
      </w:r>
      <w:r>
        <w:rPr>
          <w:rFonts w:hint="eastAsia"/>
          <w:lang w:val="en-US" w:eastAsia="zh-CN"/>
        </w:rPr>
        <w:t xml:space="preserve">   </w:t>
      </w:r>
      <w:r>
        <w:rPr>
          <w:rFonts w:hint="eastAsia"/>
          <w:lang w:val="zh-CN"/>
        </w:rPr>
        <w:t>张益平</w:t>
      </w:r>
    </w:p>
    <w:p w14:paraId="244616DB">
      <w:pPr>
        <w:pStyle w:val="11"/>
        <w:bidi w:val="0"/>
        <w:ind w:leftChars="500"/>
        <w:rPr>
          <w:rFonts w:hint="eastAsia"/>
          <w:lang w:val="zh-CN"/>
        </w:rPr>
      </w:pPr>
      <w:r>
        <w:rPr>
          <w:rFonts w:hint="eastAsia"/>
          <w:lang w:val="zh-CN"/>
        </w:rPr>
        <w:t>池缔荣</w:t>
      </w:r>
      <w:r>
        <w:rPr>
          <w:rFonts w:hint="eastAsia"/>
          <w:lang w:val="en-US" w:eastAsia="zh-CN"/>
        </w:rPr>
        <w:t xml:space="preserve">   </w:t>
      </w:r>
      <w:r>
        <w:rPr>
          <w:rFonts w:hint="eastAsia"/>
          <w:lang w:val="zh-CN"/>
        </w:rPr>
        <w:t>邝运坚</w:t>
      </w:r>
    </w:p>
    <w:p w14:paraId="36B9BB84">
      <w:pPr>
        <w:pStyle w:val="11"/>
        <w:bidi w:val="0"/>
        <w:ind w:leftChars="500"/>
        <w:rPr>
          <w:rFonts w:hint="eastAsia"/>
          <w:lang w:val="zh-CN"/>
        </w:rPr>
      </w:pPr>
      <w:r>
        <w:rPr>
          <w:rFonts w:hint="eastAsia"/>
          <w:lang w:val="zh-CN"/>
        </w:rPr>
        <w:t>郑玉峰</w:t>
      </w:r>
      <w:r>
        <w:rPr>
          <w:rFonts w:hint="eastAsia"/>
          <w:lang w:val="en-US" w:eastAsia="zh-CN"/>
        </w:rPr>
        <w:t xml:space="preserve">   </w:t>
      </w:r>
      <w:r>
        <w:rPr>
          <w:rFonts w:hint="eastAsia"/>
          <w:lang w:val="zh-CN"/>
        </w:rPr>
        <w:t>胡天盛</w:t>
      </w:r>
    </w:p>
    <w:p w14:paraId="5040A25D">
      <w:pPr>
        <w:pStyle w:val="11"/>
        <w:bidi w:val="0"/>
        <w:ind w:leftChars="500"/>
        <w:rPr>
          <w:rFonts w:hint="eastAsia"/>
          <w:lang w:val="zh-CN"/>
        </w:rPr>
      </w:pPr>
      <w:r>
        <w:rPr>
          <w:rFonts w:hint="eastAsia"/>
          <w:lang w:val="zh-CN"/>
        </w:rPr>
        <w:t>杜书祥</w:t>
      </w:r>
      <w:r>
        <w:rPr>
          <w:rFonts w:hint="eastAsia"/>
          <w:lang w:val="en-US" w:eastAsia="zh-CN"/>
        </w:rPr>
        <w:t xml:space="preserve">   </w:t>
      </w:r>
      <w:r>
        <w:rPr>
          <w:rFonts w:hint="eastAsia"/>
          <w:lang w:val="zh-CN"/>
        </w:rPr>
        <w:t>刘光森</w:t>
      </w:r>
    </w:p>
    <w:p w14:paraId="34EC0E08">
      <w:pPr>
        <w:pStyle w:val="11"/>
        <w:bidi w:val="0"/>
        <w:rPr>
          <w:rFonts w:hint="eastAsia"/>
          <w:lang w:val="zh-CN"/>
        </w:rPr>
      </w:pPr>
      <w:r>
        <w:rPr>
          <w:rFonts w:hint="eastAsia"/>
          <w:b/>
          <w:bCs/>
          <w:lang w:val="zh-CN"/>
        </w:rPr>
        <w:t>秘</w:t>
      </w:r>
      <w:r>
        <w:rPr>
          <w:rFonts w:hint="eastAsia"/>
          <w:b/>
          <w:bCs/>
          <w:lang w:val="en-US" w:eastAsia="zh-CN"/>
        </w:rPr>
        <w:t xml:space="preserve"> </w:t>
      </w:r>
      <w:r>
        <w:rPr>
          <w:rFonts w:hint="eastAsia"/>
          <w:b/>
          <w:bCs/>
          <w:lang w:val="zh-CN"/>
        </w:rPr>
        <w:t>书</w:t>
      </w:r>
      <w:r>
        <w:rPr>
          <w:rFonts w:hint="eastAsia"/>
          <w:b/>
          <w:bCs/>
          <w:lang w:val="en-US" w:eastAsia="zh-CN"/>
        </w:rPr>
        <w:t xml:space="preserve"> </w:t>
      </w:r>
      <w:r>
        <w:rPr>
          <w:rFonts w:hint="eastAsia"/>
          <w:b/>
          <w:bCs/>
          <w:lang w:val="zh-CN"/>
        </w:rPr>
        <w:t>长：</w:t>
      </w:r>
      <w:r>
        <w:rPr>
          <w:rFonts w:hint="eastAsia"/>
          <w:lang w:val="zh-CN"/>
        </w:rPr>
        <w:t>张益平</w:t>
      </w:r>
    </w:p>
    <w:p w14:paraId="5A700138">
      <w:pPr>
        <w:pStyle w:val="3"/>
        <w:bidi w:val="0"/>
        <w:rPr>
          <w:rFonts w:hint="eastAsia"/>
          <w:lang w:val="zh-CN"/>
        </w:rPr>
      </w:pPr>
      <w:r>
        <w:rPr>
          <w:rFonts w:hint="eastAsia"/>
          <w:lang w:val="zh-CN"/>
        </w:rPr>
        <w:t>南雄市总工会</w:t>
      </w:r>
    </w:p>
    <w:p w14:paraId="01688DBF">
      <w:pPr>
        <w:pStyle w:val="4"/>
        <w:bidi w:val="0"/>
        <w:rPr>
          <w:rFonts w:hint="eastAsia"/>
          <w:lang w:val="zh-CN"/>
        </w:rPr>
      </w:pPr>
      <w:r>
        <w:rPr>
          <w:rFonts w:hint="eastAsia"/>
          <w:lang w:val="zh-CN"/>
        </w:rPr>
        <w:t>【概况】</w:t>
      </w:r>
    </w:p>
    <w:p w14:paraId="6EF678CF">
      <w:pPr>
        <w:bidi w:val="0"/>
        <w:rPr>
          <w:rFonts w:hint="eastAsia"/>
          <w:lang w:val="zh-CN"/>
        </w:rPr>
      </w:pPr>
      <w:r>
        <w:rPr>
          <w:rFonts w:hint="eastAsia"/>
          <w:lang w:val="zh-CN"/>
        </w:rPr>
        <w:t>南雄市总工会成立于1926年5月1日，是正科级群众团体，参公管理单位，行政编制7人（主席由市人大常委会副主任兼任，其编制在市人大），其中副主席2名，股长（部长）4名，工勤人员1名。内设机构有：办公室、组织宣传教育部、职工权益保障部、财务女工部。下辖事业单位南雄市工人文化宫，事业编制8人，在岗在职5人。2018年，南雄市总工会在韶关市工会工作考核中被韶关市总工会评为“2018年度韶关市工会工作先进单位”。</w:t>
      </w:r>
    </w:p>
    <w:p w14:paraId="0427E7CA">
      <w:pPr>
        <w:pStyle w:val="4"/>
        <w:bidi w:val="0"/>
        <w:rPr>
          <w:rFonts w:hint="eastAsia"/>
          <w:lang w:val="zh-CN"/>
        </w:rPr>
      </w:pPr>
      <w:r>
        <w:rPr>
          <w:rFonts w:hint="eastAsia"/>
          <w:lang w:val="zh-CN"/>
        </w:rPr>
        <w:t>【工会建设】</w:t>
      </w:r>
    </w:p>
    <w:p w14:paraId="66A75D33">
      <w:pPr>
        <w:bidi w:val="0"/>
        <w:rPr>
          <w:rFonts w:hint="eastAsia"/>
          <w:lang w:val="zh-CN"/>
        </w:rPr>
      </w:pPr>
      <w:r>
        <w:rPr>
          <w:rFonts w:hint="eastAsia"/>
          <w:lang w:val="zh-CN"/>
        </w:rPr>
        <w:t>2018年，新建基层工会7家，新增工会会员462人，其中新增和动员农民工入会1600多人。开展“会、站、家”一体化创建活动，聘请3名社会化工会工作者，打通服务职工群众“最后一千米”，并投入资金26.5万元完成园区工会联合会、珠玑镇工联会和乐华陶瓷工会职工之家建设，投入6万元分别在澜河镇政府、广东嘉盛环保高新材料股份有限公司建立职工书屋。其中在工业园区建立的职工之家，总规划占地面积1800平方米，总建筑面积2100平方米，设立职工服务中心、劳动争议调解室、职工书屋、电子阅览室以及室内篮球场、羽毛球馆、乒乓球馆等功能室，园区职工之家成为园区内企业职工活动重要场所。</w:t>
      </w:r>
    </w:p>
    <w:p w14:paraId="0C316AB2">
      <w:pPr>
        <w:pStyle w:val="4"/>
        <w:bidi w:val="0"/>
        <w:rPr>
          <w:rFonts w:hint="eastAsia"/>
          <w:lang w:val="zh-CN"/>
        </w:rPr>
      </w:pPr>
      <w:r>
        <w:rPr>
          <w:rFonts w:hint="eastAsia"/>
          <w:lang w:val="zh-CN"/>
        </w:rPr>
        <w:t>【帮扶服务】</w:t>
      </w:r>
    </w:p>
    <w:p w14:paraId="1D982104">
      <w:pPr>
        <w:bidi w:val="0"/>
        <w:rPr>
          <w:rFonts w:hint="eastAsia"/>
          <w:lang w:val="zh-CN"/>
        </w:rPr>
      </w:pPr>
      <w:r>
        <w:rPr>
          <w:rFonts w:hint="eastAsia"/>
          <w:lang w:val="zh-CN"/>
        </w:rPr>
        <w:t>2018年印发《南雄市城镇困难职工精准解困脱困奔康工作实施方案》（ 雄办发电〔2018〕92号），成立城镇困难职工精准解困脱困奔康工作领导小组和“五保障”专责工作小组，建立“城镇困难职工精准解困脱困奔康工作联席会议制度”和“五保障工作专责小组工作制度”，并安排50万元专项资金用于开展城镇困难职工的帮扶工作，帮助困难职工实现“两有五保障”（有吃、有穿，就业、就医、就学、社会保险、住房有保障）目标，还开展新增困难职工摸排工作，组成核查组进行入户调查，及时清退或注销不符合条件的帮扶对象。2018年市总工会对困难职工实行生活救助2006人，发放资金32.21万元；应急救助17人，发放资金3.4万元；医疗救助35人，发放资金9.2万元；春运期间开展“暖流行动”，筹集资金15万元，在火车站和汽车站设立服务点，对返乡途经南雄和在南雄务工的外来工开展志愿服务活动，给他们送上糕点、饮料、姜茶等充饥解渴食品和饮品，服务8000多人次；春节期间，开展慰问企业留守员工活动，筹集资金7万元，对春节期间南雄企业留守员工进行春节慰问，为他们送去本地特产米花糕、萨其马等年货；在新学年开学前开展“金秋助学”活动，为36名困难学子发放14.7万元助学金；在夏日开展“夏送清凉”活动，为在露天工作的一线职工送去5000箱价值30万元的清凉饮料。另外推动工会组织“职工医疗、女职工安康、职工住院医疗、职工住院津贴”四大互助保障计划，使患重大疾病和工伤职工能得到及时救助。四大保障项目累计参保3945人次，2018年累计赔付59人，合计赔付金额为12.65亿元。</w:t>
      </w:r>
    </w:p>
    <w:p w14:paraId="3221E3A3">
      <w:pPr>
        <w:pStyle w:val="4"/>
        <w:bidi w:val="0"/>
        <w:rPr>
          <w:rFonts w:hint="eastAsia"/>
          <w:lang w:val="zh-CN"/>
        </w:rPr>
      </w:pPr>
      <w:r>
        <w:rPr>
          <w:rFonts w:hint="eastAsia"/>
          <w:lang w:val="zh-CN"/>
        </w:rPr>
        <w:t>【创建和谐劳动关系】</w:t>
      </w:r>
    </w:p>
    <w:p w14:paraId="0BEC991A">
      <w:pPr>
        <w:bidi w:val="0"/>
        <w:rPr>
          <w:rFonts w:hint="eastAsia"/>
          <w:lang w:val="zh-CN"/>
        </w:rPr>
      </w:pPr>
      <w:r>
        <w:rPr>
          <w:rFonts w:hint="eastAsia"/>
          <w:lang w:val="zh-CN"/>
        </w:rPr>
        <w:t>2018年制定《南雄市工会法律顾问进企业工作方案》，在工业园区和市辖300人以上的企业建立法律服务站，对广大企业职工开展法律宣传、法律咨询、法律援助等服务。在市产业转移工业园开展“送法进企业”知识培训活动，在三影塔广场开展“尊法守法，携手筑梦”南雄市庆祝“五一”国际劳动节法治宣传活动，邀请广东省总工会“律师在线”的律师罗彦斌开展《工会法和工会干部沟通技巧》的普法宣传专题讲座，基层工会干部职工200多人参加培训。2018年解决拖欠职工、农民工工资2万多元。</w:t>
      </w:r>
    </w:p>
    <w:p w14:paraId="77E74D9A">
      <w:pPr>
        <w:pStyle w:val="4"/>
        <w:bidi w:val="0"/>
        <w:rPr>
          <w:rFonts w:hint="eastAsia"/>
          <w:lang w:val="zh-CN"/>
        </w:rPr>
      </w:pPr>
      <w:r>
        <w:rPr>
          <w:rFonts w:hint="eastAsia"/>
          <w:lang w:val="zh-CN"/>
        </w:rPr>
        <w:t>【自身建设】</w:t>
      </w:r>
    </w:p>
    <w:p w14:paraId="06716B42">
      <w:pPr>
        <w:bidi w:val="0"/>
        <w:rPr>
          <w:rFonts w:hint="eastAsia"/>
          <w:lang w:val="zh-CN"/>
        </w:rPr>
      </w:pPr>
      <w:r>
        <w:rPr>
          <w:rFonts w:hint="eastAsia"/>
          <w:lang w:val="zh-CN"/>
        </w:rPr>
        <w:t>市人大常委会副主任、市总工会主席黄德群以及市总党支部书记分别在市总机关、挂点扶贫村以及挂点联系镇（村）多次开展讲党课活动。市总工会还成立工会改革领导小组及工作班子，起草《南雄市总工会改革实施方案（送审稿）》，经市委常委会讨论通过后印发到市直副科以上单位和有关企业党组织。另外组织全市工会系统干部80余人到江西省总工会干部学校参加工会系统干部履职能力提升培训班，各单位企业工会经审主任、相关负责人近200人参加南雄工会经审、财务业务培训班活动。</w:t>
      </w:r>
    </w:p>
    <w:p w14:paraId="117F48F9">
      <w:pPr>
        <w:pStyle w:val="4"/>
        <w:bidi w:val="0"/>
        <w:rPr>
          <w:rFonts w:hint="eastAsia"/>
          <w:lang w:val="zh-CN"/>
        </w:rPr>
      </w:pPr>
      <w:r>
        <w:rPr>
          <w:rFonts w:hint="eastAsia"/>
          <w:lang w:val="zh-CN"/>
        </w:rPr>
        <w:t>【第三届职工书画大赛】</w:t>
      </w:r>
    </w:p>
    <w:p w14:paraId="39064A82">
      <w:pPr>
        <w:bidi w:val="0"/>
        <w:rPr>
          <w:rFonts w:hint="eastAsia"/>
          <w:lang w:val="zh-CN"/>
        </w:rPr>
      </w:pPr>
      <w:r>
        <w:rPr>
          <w:rFonts w:hint="eastAsia"/>
          <w:lang w:val="zh-CN"/>
        </w:rPr>
        <w:t>举办庆“五一”第三届职工书画大赛。这次书画大赛得到省内外书画名家刘斯奋、陈湘波、彭家政、刘红、关坚、钟承浦、叶剑才、骆阳叶等支持，收到参赛作品92幅，嘉宾作品30幅。大赛结束后所有获奖作品和嘉宾作品进行展出，编印《中国梦·劳动美——南雄市庆“五一”第三届职工书画大赛作品集》。在获奖作品展览期间，广东省人大常委会副主任、省总工会原主席黄业斌亲临书画作品展出现场参观指导。</w:t>
      </w:r>
    </w:p>
    <w:p w14:paraId="22F3A354">
      <w:pPr>
        <w:pStyle w:val="4"/>
        <w:bidi w:val="0"/>
        <w:rPr>
          <w:rFonts w:hint="eastAsia"/>
          <w:lang w:val="zh-CN"/>
        </w:rPr>
      </w:pPr>
      <w:r>
        <w:rPr>
          <w:rFonts w:hint="eastAsia"/>
          <w:lang w:val="zh-CN"/>
        </w:rPr>
        <w:t>【“嘉盛杯”散文大赛】</w:t>
      </w:r>
    </w:p>
    <w:p w14:paraId="49A913F1">
      <w:pPr>
        <w:bidi w:val="0"/>
        <w:rPr>
          <w:rFonts w:hint="eastAsia"/>
          <w:lang w:val="zh-CN"/>
        </w:rPr>
      </w:pPr>
      <w:r>
        <w:rPr>
          <w:rFonts w:hint="eastAsia"/>
          <w:lang w:val="zh-CN"/>
        </w:rPr>
        <w:t>市总工会与市委宣传部联合举办“中国梦·劳动美——新时代·新辉煌”南雄市纪念改革开放四十周年“嘉盛杯”散文大赛。省、市作协的作家50多人参加采风活动启动仪式。参赛作品经省作协散文创作委员会著名作家张宇航、东方莎莎等评委的评比，评选出一等奖作品8篇，二等奖作品12篇，三等奖作品12篇，还有特邀名家作品11篇，这些散文作品已经由省作协散文创作委员会编辑成《新时代新辉煌》一书出版。</w:t>
      </w:r>
    </w:p>
    <w:p w14:paraId="4F9B03DB">
      <w:pPr>
        <w:pStyle w:val="4"/>
        <w:bidi w:val="0"/>
        <w:rPr>
          <w:rFonts w:hint="eastAsia"/>
          <w:lang w:val="zh-CN"/>
        </w:rPr>
      </w:pPr>
      <w:r>
        <w:rPr>
          <w:rFonts w:hint="eastAsia"/>
          <w:lang w:val="zh-CN"/>
        </w:rPr>
        <w:t>【第二届职工男子篮球联赛】</w:t>
      </w:r>
    </w:p>
    <w:p w14:paraId="5CCC7232">
      <w:pPr>
        <w:bidi w:val="0"/>
        <w:rPr>
          <w:rFonts w:hint="eastAsia"/>
          <w:lang w:val="zh-CN"/>
        </w:rPr>
      </w:pPr>
      <w:r>
        <w:rPr>
          <w:rFonts w:hint="eastAsia"/>
          <w:lang w:val="zh-CN"/>
        </w:rPr>
        <w:t>市总工会与市体育局联合举办了南雄市第二届职工男子篮球联赛。这届职工男子篮球联赛历时近三个月，有40支代表队400多名爱好篮球运动的职工群众参与。</w:t>
      </w:r>
    </w:p>
    <w:p w14:paraId="3D368F09">
      <w:pPr>
        <w:pStyle w:val="4"/>
        <w:bidi w:val="0"/>
        <w:rPr>
          <w:rFonts w:hint="eastAsia"/>
          <w:lang w:val="zh-CN"/>
        </w:rPr>
      </w:pPr>
      <w:r>
        <w:rPr>
          <w:rFonts w:hint="eastAsia"/>
          <w:lang w:val="zh-CN"/>
        </w:rPr>
        <w:t>【工会活动】</w:t>
      </w:r>
    </w:p>
    <w:p w14:paraId="0B1CFECE">
      <w:pPr>
        <w:bidi w:val="0"/>
        <w:rPr>
          <w:rFonts w:hint="eastAsia"/>
          <w:lang w:val="zh-CN"/>
        </w:rPr>
      </w:pPr>
      <w:r>
        <w:rPr>
          <w:rFonts w:hint="eastAsia"/>
          <w:lang w:val="zh-CN"/>
        </w:rPr>
        <w:t>市总工会与市委组织部、市委宣传部、市文广新局等单位联合主办“中国梦·劳动美·读书好”——南雄市党员干部职工读书活动。2月7日，市总工会开展“送万福、进万家”书法志愿服务公益活动，书写送出250副对联。为庆祝“五一”国际劳动节，市总工会、市文广新局和韶关市乐华陶瓷洁具有限公司在全安镇乐华家居韶关基地联合主办“激情闪耀·再创辉煌”第五届职工文艺晚会。市总工会、市退管会在市老人学校开展“九九重阳尊老敬老爱老活动”，全市100多名退休职工参加活动。2018年全市各级工会开展各类活动达40多场。</w:t>
      </w:r>
    </w:p>
    <w:p w14:paraId="0F68AB71">
      <w:pPr>
        <w:bidi w:val="0"/>
        <w:jc w:val="right"/>
        <w:rPr>
          <w:rFonts w:hint="eastAsia"/>
          <w:b/>
          <w:bCs/>
          <w:lang w:val="zh-CN"/>
        </w:rPr>
      </w:pPr>
      <w:r>
        <w:rPr>
          <w:rFonts w:hint="eastAsia"/>
          <w:b/>
          <w:bCs/>
          <w:lang w:val="zh-CN"/>
        </w:rPr>
        <w:t>（田</w:t>
      </w:r>
      <w:r>
        <w:rPr>
          <w:rFonts w:hint="eastAsia"/>
          <w:b/>
          <w:bCs/>
          <w:lang w:val="en-US" w:eastAsia="zh-CN"/>
        </w:rPr>
        <w:t xml:space="preserve">  </w:t>
      </w:r>
      <w:r>
        <w:rPr>
          <w:rFonts w:hint="eastAsia"/>
          <w:b/>
          <w:bCs/>
          <w:lang w:val="zh-CN"/>
        </w:rPr>
        <w:t>野）</w:t>
      </w:r>
    </w:p>
    <w:p w14:paraId="58FD0747">
      <w:pPr>
        <w:pStyle w:val="11"/>
        <w:bidi w:val="0"/>
        <w:rPr>
          <w:rFonts w:hint="eastAsia"/>
          <w:b/>
          <w:bCs/>
          <w:lang w:val="zh-CN"/>
        </w:rPr>
      </w:pPr>
      <w:r>
        <w:rPr>
          <w:rFonts w:hint="eastAsia"/>
          <w:b/>
          <w:bCs/>
          <w:lang w:val="zh-CN"/>
        </w:rPr>
        <w:t>附：2018年市总工会领导班子成员名单</w:t>
      </w:r>
    </w:p>
    <w:p w14:paraId="4BCBDDE9">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席：</w:t>
      </w:r>
      <w:r>
        <w:rPr>
          <w:rFonts w:hint="eastAsia"/>
          <w:lang w:val="zh-CN"/>
        </w:rPr>
        <w:t>黄德群（兼）</w:t>
      </w:r>
    </w:p>
    <w:p w14:paraId="1CC01535">
      <w:pPr>
        <w:pStyle w:val="11"/>
        <w:bidi w:val="0"/>
        <w:rPr>
          <w:rFonts w:hint="eastAsia"/>
          <w:lang w:val="zh-CN"/>
        </w:rPr>
      </w:pPr>
      <w:r>
        <w:rPr>
          <w:rFonts w:hint="eastAsia"/>
          <w:b/>
          <w:bCs/>
          <w:lang w:val="zh-CN"/>
        </w:rPr>
        <w:t>副主席：</w:t>
      </w:r>
      <w:r>
        <w:rPr>
          <w:rFonts w:hint="eastAsia"/>
          <w:lang w:val="zh-CN"/>
        </w:rPr>
        <w:t>黄恢伟</w:t>
      </w:r>
      <w:r>
        <w:rPr>
          <w:rFonts w:hint="eastAsia"/>
          <w:lang w:val="en-US" w:eastAsia="zh-CN"/>
        </w:rPr>
        <w:t xml:space="preserve">   </w:t>
      </w:r>
      <w:r>
        <w:rPr>
          <w:rFonts w:hint="eastAsia"/>
          <w:lang w:val="zh-CN"/>
        </w:rPr>
        <w:t>吴显娣</w:t>
      </w:r>
    </w:p>
    <w:p w14:paraId="309C8AD7">
      <w:pPr>
        <w:pStyle w:val="3"/>
        <w:bidi w:val="0"/>
        <w:rPr>
          <w:rFonts w:hint="eastAsia"/>
          <w:lang w:val="zh-CN"/>
        </w:rPr>
      </w:pPr>
      <w:r>
        <w:rPr>
          <w:rFonts w:hint="eastAsia"/>
          <w:lang w:val="zh-CN"/>
        </w:rPr>
        <w:t>共青团南雄市委员会</w:t>
      </w:r>
    </w:p>
    <w:p w14:paraId="5C59C77B">
      <w:pPr>
        <w:pStyle w:val="4"/>
        <w:bidi w:val="0"/>
        <w:rPr>
          <w:rFonts w:hint="eastAsia"/>
          <w:lang w:val="zh-CN"/>
        </w:rPr>
      </w:pPr>
      <w:r>
        <w:rPr>
          <w:rFonts w:hint="eastAsia"/>
          <w:lang w:val="zh-CN"/>
        </w:rPr>
        <w:t>【概况】</w:t>
      </w:r>
    </w:p>
    <w:p w14:paraId="1F822FD0">
      <w:pPr>
        <w:bidi w:val="0"/>
        <w:rPr>
          <w:rFonts w:hint="eastAsia"/>
          <w:lang w:val="zh-CN"/>
        </w:rPr>
      </w:pPr>
      <w:r>
        <w:rPr>
          <w:rFonts w:hint="eastAsia"/>
          <w:lang w:val="zh-CN"/>
        </w:rPr>
        <w:t>共青团南雄市委员会（简称“团市委”）是正科级群团组织，内设办公室、社会部和团务部股级单位；团市委行政编制4人，在编人员3人。被韶关团市委评为2018年度“先进工作单位”。</w:t>
      </w:r>
    </w:p>
    <w:p w14:paraId="3300A922">
      <w:pPr>
        <w:pStyle w:val="4"/>
        <w:bidi w:val="0"/>
        <w:rPr>
          <w:rFonts w:hint="eastAsia"/>
          <w:lang w:val="zh-CN"/>
        </w:rPr>
      </w:pPr>
      <w:r>
        <w:rPr>
          <w:rFonts w:hint="eastAsia"/>
          <w:lang w:val="zh-CN"/>
        </w:rPr>
        <w:t>【青年建设】</w:t>
      </w:r>
    </w:p>
    <w:p w14:paraId="0E3C521C">
      <w:pPr>
        <w:bidi w:val="0"/>
        <w:rPr>
          <w:rFonts w:hint="eastAsia"/>
          <w:lang w:val="zh-CN"/>
        </w:rPr>
      </w:pPr>
      <w:r>
        <w:rPr>
          <w:rFonts w:hint="eastAsia"/>
          <w:lang w:val="zh-CN"/>
        </w:rPr>
        <w:t>邀请党的十九大代表、全国人大代表等为团员青年作党的十九大精神、习近平总书记在广东代表团审议时重要讲话精神和习近平总书记在团中央的“7.2”重要讲话精神的专题报告，举办团干部专题学习培训班7期。五四期间，在全市开展青年“大学习”活动，全市各基层团组织共开展800余场次学习宣传贯彻活动，实现对团员青年全覆盖。举办“不忘初心跟党走，青春建功新时代·我的青春故事”分享会，表彰2017至2018年度南雄十大杰出青年，引导广大团员青年在新时代有新气象、新作为，为南雄市决胜全面建成小康社会，实现苏区人民美好幸福生活奉献青春的智慧与力量。开展“学雷锋”“重温入党誓词”“红领巾相约中国梦”“永远跟党走”“喜迎国庆·献礼祖国”“向习爷爷讲心里话”“与信仰对话”等活动，通过主题团日、报告宣讲、故事分享、向国旗敬礼、18岁成人礼等形式，引导青少年坚定理想信念跟党走，覆盖学生1万多人次。建设“南雄团委”官方微信公众号，宣传市委、市政府重大决策部署，宣传全市乡村振兴成果、好人好事，团市委官微平台影响力在全省排名跃升全省前三，并进入全国50强。推进“青年之声”综合服务平台建设，通过平台为青少年解决困难个案15例，平台影响力在全市排名跃居前三。</w:t>
      </w:r>
    </w:p>
    <w:p w14:paraId="7C55DF07">
      <w:pPr>
        <w:pStyle w:val="4"/>
        <w:bidi w:val="0"/>
        <w:rPr>
          <w:rFonts w:hint="eastAsia"/>
          <w:lang w:val="zh-CN"/>
        </w:rPr>
      </w:pPr>
      <w:r>
        <w:rPr>
          <w:rFonts w:hint="eastAsia"/>
          <w:lang w:val="zh-CN"/>
        </w:rPr>
        <w:t>【团建工作】</w:t>
      </w:r>
    </w:p>
    <w:p w14:paraId="3399BF2E">
      <w:pPr>
        <w:bidi w:val="0"/>
        <w:rPr>
          <w:rFonts w:hint="eastAsia"/>
          <w:lang w:val="zh-CN"/>
        </w:rPr>
      </w:pPr>
      <w:r>
        <w:rPr>
          <w:rFonts w:hint="eastAsia"/>
          <w:lang w:val="zh-CN"/>
        </w:rPr>
        <w:t>参与扶贫攻坚，依托市志愿者联合会、粤港青年交流促进会等平台，组织爱心企业家筹集12万元帮助13户贫困户改善住房。动员爱心组织与50户贫困户进行“一对一”结对帮扶，给予资金和物资支持。与广东省希望工程办公室对接，2018年筹集助学金1.44万元，资助困难学生48名。开展“美丽乡村”南雄青年志愿服务行动，组建美丽乡村“规划师、设计师、美术师、社工师、建筑师”志愿服务队，在各行政村建立志愿服务队伍，助力新农村建设。暑期组织50名韶关籍大学生返乡社会实践，为家乡新农村建设建言献策。扎实开展“领头雁计划”，建立“领头雁”人才数据库，培养农村致富带头人70余人。开展关爱留守儿童活动，通过“韶城会亲”、夏令营、希望家园、支教志愿者等工作，组织志愿者开展课外兴趣培训辅导和心理辅导，覆盖留守儿童600人次，结对帮扶留守儿童上千名；募集资金援建“农村留守儿童希望家园”和“爱心少先队活动室”。</w:t>
      </w:r>
    </w:p>
    <w:p w14:paraId="385B15CC">
      <w:pPr>
        <w:bidi w:val="0"/>
        <w:rPr>
          <w:rFonts w:hint="eastAsia"/>
          <w:lang w:val="zh-CN"/>
        </w:rPr>
      </w:pPr>
      <w:r>
        <w:rPr>
          <w:rFonts w:hint="eastAsia"/>
          <w:lang w:val="zh-CN"/>
        </w:rPr>
        <w:t>开展“伙伴同行”青少年社区矫正工作，组建100多名社工人才队伍，对全市25周岁以下青少年社区矫正个案实行逐个建档帮扶；开通12355维护青少年权益服务热线，服务各类青年50余人，服务满意度达100%。开展“共青团与人大代表、政协委员面对面”座谈活动，收集整理青年的意见和建议，形成提案建议，在“两会”上主动为青年“发声”。开展“青少年禁毒宣传和禁毒宣教图片千校巡展活动”20余场。主办南雄市青少年校园禁毒知识竞赛，并同步开启禁毒知识线上答题，答题人数超3万人次，派发禁毒宣传资料1万余份，覆盖青少年上万人次。组建“善美社区百人志愿宣讲团”，深入社区围绕政策、就业、法律援助、权益保障等领域进行宣讲，着力提升社区善美文化，服务社区建设管理。联合文明办印发《支持和发展志愿服务组织的意见的通知》《南雄市关于进一步规范志愿服务工作流程和活动项目的意见》等多项具体制度文件，加强对志愿服务组织的登记管理、奖励和提供指导等。开展“志愿者工作站”“交通文明引导”“温暖回家路”“阳光助残”“关爱特殊群体”“夏日送清凉”等丰富多彩的志愿活动上百场次。建立志愿者激励回馈机制，签约爱心联盟10多家商家，为志愿者提供优惠服务；开展“最美志愿家庭”“最美志愿”“南雄好青年”“美德少年”评选，塑造志愿者典型。发挥党员、团员模范带头作用，全市党员志愿者有5000多人，团员志愿者近1000人。注册志愿者参加志愿服务活动的人数占注册总人数的比例由8%提升至78.89%，人均服务活动时长由0.9个小时提升至12.34个小时。深化“展翅计划”，为大学生提供上百个实习见习岗位；服务青年需求，开展青年婚恋交友活动，为1000余名青年提供婚恋交友的平台。促进创新创业，培训创业青年200余人，动员优秀人才回乡就业创业，凝聚青年人才投身南雄振兴发展。</w:t>
      </w:r>
    </w:p>
    <w:p w14:paraId="563AFCD9">
      <w:pPr>
        <w:pStyle w:val="4"/>
        <w:bidi w:val="0"/>
        <w:rPr>
          <w:rFonts w:hint="eastAsia"/>
          <w:lang w:val="zh-CN"/>
        </w:rPr>
      </w:pPr>
      <w:r>
        <w:rPr>
          <w:rFonts w:hint="eastAsia"/>
          <w:lang w:val="zh-CN"/>
        </w:rPr>
        <w:t>【从严治团】</w:t>
      </w:r>
    </w:p>
    <w:p w14:paraId="64C43121">
      <w:pPr>
        <w:bidi w:val="0"/>
        <w:rPr>
          <w:rFonts w:hint="eastAsia"/>
          <w:lang w:val="zh-CN"/>
        </w:rPr>
      </w:pPr>
      <w:r>
        <w:rPr>
          <w:rFonts w:hint="eastAsia"/>
          <w:lang w:val="zh-CN"/>
        </w:rPr>
        <w:t>针对部分基层团组织软弱涣散、战斗堡垒作用发挥不够等问题，对全市426个团支部开展自查自纠，督导问题突出的团支部对标整改，切实从严管好团组织。严格发展团员，统一使用印制有团员编号的入团志愿书，实施“一人一号”，精准调控团青比例，2018年全市发展团员1003名。在各中学成立团校，要求入团前参加不少于20学时的团课学习，考核合格后方可入团。落实团员教育评议与团员年度团籍制度，及时教育和处理不合格团员。开展“学习近平总书记系列讲话，做合格团员”活动，多方位加强团员意识教育，切实从严管好团员队伍。严肃组织生活，规范团员入团、戴团徽、举团旗、唱团歌等经常性教育。严格推进落实韶关市委组织部和团韶关市委联合印发的《深化党建带团建，进一步夯实镇（街）、村（社区）基层团组织建设的意见》文件，把党建带团建工作纳入地方党建考核，形成党建带团建、党团同发展的良好局面。年初成立共青团南雄市教育工作委员会，将学校共青团工作纳入教育部门考核范畴。</w:t>
      </w:r>
    </w:p>
    <w:p w14:paraId="217FD4D6">
      <w:pPr>
        <w:bidi w:val="0"/>
        <w:jc w:val="right"/>
        <w:rPr>
          <w:rFonts w:hint="eastAsia"/>
          <w:b/>
          <w:bCs/>
          <w:lang w:val="zh-CN"/>
        </w:rPr>
      </w:pPr>
      <w:r>
        <w:rPr>
          <w:rFonts w:hint="eastAsia"/>
          <w:b/>
          <w:bCs/>
          <w:lang w:val="zh-CN"/>
        </w:rPr>
        <w:t>（陈</w:t>
      </w:r>
      <w:r>
        <w:rPr>
          <w:rFonts w:hint="eastAsia"/>
          <w:b/>
          <w:bCs/>
          <w:lang w:val="en-US" w:eastAsia="zh-CN"/>
        </w:rPr>
        <w:t xml:space="preserve">  </w:t>
      </w:r>
      <w:r>
        <w:rPr>
          <w:rFonts w:hint="eastAsia"/>
          <w:b/>
          <w:bCs/>
          <w:lang w:val="zh-CN"/>
        </w:rPr>
        <w:t>韵）</w:t>
      </w:r>
    </w:p>
    <w:p w14:paraId="73C4DF1F">
      <w:pPr>
        <w:pStyle w:val="11"/>
        <w:bidi w:val="0"/>
        <w:rPr>
          <w:rFonts w:hint="eastAsia"/>
          <w:b/>
          <w:bCs/>
          <w:lang w:val="zh-CN"/>
        </w:rPr>
      </w:pPr>
      <w:r>
        <w:rPr>
          <w:rFonts w:hint="eastAsia"/>
          <w:b/>
          <w:bCs/>
          <w:lang w:val="zh-CN"/>
        </w:rPr>
        <w:t>附：2018年团市委领导班子成员名单</w:t>
      </w:r>
    </w:p>
    <w:p w14:paraId="6FC50A09">
      <w:pPr>
        <w:pStyle w:val="11"/>
        <w:bidi w:val="0"/>
        <w:rPr>
          <w:rFonts w:hint="eastAsia"/>
          <w:lang w:val="zh-CN"/>
        </w:rPr>
      </w:pPr>
      <w:r>
        <w:rPr>
          <w:rFonts w:hint="eastAsia"/>
          <w:b/>
          <w:bCs/>
          <w:lang w:val="zh-CN"/>
        </w:rPr>
        <w:t>书</w:t>
      </w:r>
      <w:r>
        <w:rPr>
          <w:rFonts w:hint="eastAsia"/>
          <w:b/>
          <w:bCs/>
          <w:lang w:val="en-US" w:eastAsia="zh-CN"/>
        </w:rPr>
        <w:t xml:space="preserve">  </w:t>
      </w:r>
      <w:r>
        <w:rPr>
          <w:rFonts w:hint="eastAsia"/>
          <w:b/>
          <w:bCs/>
          <w:lang w:val="zh-CN"/>
        </w:rPr>
        <w:t>记：</w:t>
      </w:r>
      <w:r>
        <w:rPr>
          <w:rFonts w:hint="eastAsia"/>
          <w:lang w:val="zh-CN"/>
        </w:rPr>
        <w:t>董雪英</w:t>
      </w:r>
    </w:p>
    <w:p w14:paraId="128BA55F">
      <w:pPr>
        <w:pStyle w:val="11"/>
        <w:bidi w:val="0"/>
        <w:rPr>
          <w:rFonts w:hint="eastAsia"/>
          <w:lang w:val="zh-CN"/>
        </w:rPr>
      </w:pPr>
      <w:r>
        <w:rPr>
          <w:rFonts w:hint="eastAsia"/>
          <w:b/>
          <w:bCs/>
          <w:lang w:val="zh-CN"/>
        </w:rPr>
        <w:t>副书记：</w:t>
      </w:r>
      <w:r>
        <w:rPr>
          <w:rFonts w:hint="eastAsia"/>
          <w:lang w:val="zh-CN"/>
        </w:rPr>
        <w:t>王</w:t>
      </w:r>
      <w:r>
        <w:rPr>
          <w:rFonts w:hint="eastAsia"/>
          <w:lang w:val="en-US" w:eastAsia="zh-CN"/>
        </w:rPr>
        <w:t xml:space="preserve">  </w:t>
      </w:r>
      <w:r>
        <w:rPr>
          <w:rFonts w:hint="eastAsia"/>
          <w:lang w:val="zh-CN"/>
        </w:rPr>
        <w:t>昊</w:t>
      </w:r>
    </w:p>
    <w:p w14:paraId="65B94553">
      <w:pPr>
        <w:pStyle w:val="11"/>
        <w:bidi w:val="0"/>
        <w:ind w:leftChars="400"/>
        <w:rPr>
          <w:rFonts w:hint="eastAsia"/>
          <w:lang w:val="zh-CN"/>
        </w:rPr>
      </w:pPr>
      <w:r>
        <w:rPr>
          <w:rFonts w:hint="eastAsia"/>
          <w:lang w:val="zh-CN"/>
        </w:rPr>
        <w:t>罗旭晴（挂职）</w:t>
      </w:r>
    </w:p>
    <w:p w14:paraId="0B6F81A3">
      <w:pPr>
        <w:pStyle w:val="3"/>
        <w:bidi w:val="0"/>
        <w:rPr>
          <w:rFonts w:hint="eastAsia"/>
          <w:lang w:val="zh-CN"/>
        </w:rPr>
      </w:pPr>
      <w:r>
        <w:rPr>
          <w:rFonts w:hint="eastAsia"/>
          <w:lang w:val="zh-CN"/>
        </w:rPr>
        <w:t>南雄市妇女联合会</w:t>
      </w:r>
    </w:p>
    <w:p w14:paraId="0A5A0AE6">
      <w:pPr>
        <w:pStyle w:val="4"/>
        <w:bidi w:val="0"/>
        <w:rPr>
          <w:rFonts w:hint="eastAsia"/>
          <w:lang w:val="zh-CN"/>
        </w:rPr>
      </w:pPr>
      <w:r>
        <w:rPr>
          <w:rFonts w:hint="eastAsia"/>
          <w:lang w:val="zh-CN"/>
        </w:rPr>
        <w:t>【概况】</w:t>
      </w:r>
    </w:p>
    <w:p w14:paraId="7653739B">
      <w:pPr>
        <w:bidi w:val="0"/>
        <w:rPr>
          <w:rFonts w:hint="eastAsia"/>
          <w:lang w:val="zh-CN"/>
        </w:rPr>
      </w:pPr>
      <w:r>
        <w:rPr>
          <w:rFonts w:hint="eastAsia"/>
          <w:lang w:val="zh-CN"/>
        </w:rPr>
        <w:t>市妇女联合会为正科级群众团体，内设3个部门（综合部、权益部、市妇女儿童工作委员会，办公室设在市妇联），人员编制5名，其中领导职数3名（1正2副），其他干部1名，工人1名。</w:t>
      </w:r>
    </w:p>
    <w:p w14:paraId="57E4D005">
      <w:pPr>
        <w:pStyle w:val="4"/>
        <w:bidi w:val="0"/>
        <w:rPr>
          <w:rFonts w:hint="eastAsia"/>
          <w:lang w:val="zh-CN"/>
        </w:rPr>
      </w:pPr>
      <w:r>
        <w:rPr>
          <w:rFonts w:hint="eastAsia"/>
          <w:lang w:val="zh-CN"/>
        </w:rPr>
        <w:t>【小额担保贷款】</w:t>
      </w:r>
    </w:p>
    <w:p w14:paraId="69C88CAC">
      <w:pPr>
        <w:bidi w:val="0"/>
        <w:rPr>
          <w:rFonts w:hint="eastAsia"/>
          <w:lang w:val="zh-CN"/>
        </w:rPr>
      </w:pPr>
      <w:r>
        <w:rPr>
          <w:rFonts w:hint="eastAsia"/>
          <w:lang w:val="zh-CN"/>
        </w:rPr>
        <w:t>为4名创业妇女申报小额担保贷款，总额20万元，有效地支持和帮助妇女创业就业。</w:t>
      </w:r>
    </w:p>
    <w:p w14:paraId="5419EE2E">
      <w:pPr>
        <w:pStyle w:val="4"/>
        <w:bidi w:val="0"/>
        <w:rPr>
          <w:rFonts w:hint="eastAsia"/>
          <w:lang w:val="zh-CN"/>
        </w:rPr>
      </w:pPr>
      <w:r>
        <w:rPr>
          <w:rFonts w:hint="eastAsia"/>
          <w:lang w:val="zh-CN"/>
        </w:rPr>
        <w:t>【农村乡风文明建设推进】</w:t>
      </w:r>
    </w:p>
    <w:p w14:paraId="21A7D02B">
      <w:pPr>
        <w:bidi w:val="0"/>
        <w:rPr>
          <w:rFonts w:hint="eastAsia"/>
          <w:lang w:val="zh-CN"/>
        </w:rPr>
      </w:pPr>
      <w:r>
        <w:rPr>
          <w:rFonts w:hint="eastAsia"/>
          <w:lang w:val="zh-CN"/>
        </w:rPr>
        <w:t>5月，中国邮政集团公司广东省南雄市雄州支局、广东电网有限责任公司韶关南雄供电局珠玑供电所营销班申报韶关市“巾帼文明岗”示范点。3月，南雄市农家妹种养家庭农场有限公司、南雄市雄丰火龙果种植专业合作社被授予韶关市“巾帼创业示范基地”称号。5月，南雄市诚畅生态农业有限公司（古市镇）、南雄市江头镇黄金堂种养专业合作社推荐申报韶关市巾帼创业示范基地（种养类）。</w:t>
      </w:r>
    </w:p>
    <w:p w14:paraId="17F86D85">
      <w:pPr>
        <w:pStyle w:val="4"/>
        <w:bidi w:val="0"/>
        <w:rPr>
          <w:rFonts w:hint="eastAsia"/>
          <w:lang w:val="zh-CN"/>
        </w:rPr>
      </w:pPr>
      <w:r>
        <w:rPr>
          <w:rFonts w:hint="eastAsia"/>
          <w:lang w:val="zh-CN"/>
        </w:rPr>
        <w:t>【“三八”纪念活动】</w:t>
      </w:r>
    </w:p>
    <w:p w14:paraId="15074251">
      <w:pPr>
        <w:bidi w:val="0"/>
        <w:rPr>
          <w:rFonts w:hint="eastAsia"/>
          <w:lang w:val="zh-CN"/>
        </w:rPr>
      </w:pPr>
      <w:r>
        <w:rPr>
          <w:rFonts w:hint="eastAsia"/>
          <w:lang w:val="zh-CN"/>
        </w:rPr>
        <w:t>3月7日召开纪念“三八”妇女节颁证大会，对全市妇联系统2017年度27名南雄市“三八红旗手”、4名韶关市“三八红旗手”、2个韶关市“巾帼创业示范基地”、1户韶关市“优秀书香之家”及10户韶关市“文明家庭”等先进集体和个人举行颁证仪式。成立19支巾帼志愿服务队。3月8日，全市19支巾帼志愿服务队约350名巾帼志愿者参与在三影塔广场隆重举行的授旗宣誓仪式。</w:t>
      </w:r>
    </w:p>
    <w:p w14:paraId="29FDAEEC">
      <w:pPr>
        <w:pStyle w:val="4"/>
        <w:bidi w:val="0"/>
        <w:rPr>
          <w:rFonts w:hint="eastAsia"/>
          <w:lang w:val="zh-CN"/>
        </w:rPr>
      </w:pPr>
      <w:r>
        <w:rPr>
          <w:rFonts w:hint="eastAsia"/>
          <w:lang w:val="zh-CN"/>
        </w:rPr>
        <w:t>【家庭美德传承】</w:t>
      </w:r>
    </w:p>
    <w:p w14:paraId="0F1F9683">
      <w:pPr>
        <w:bidi w:val="0"/>
        <w:rPr>
          <w:rFonts w:hint="eastAsia"/>
          <w:lang w:val="zh-CN"/>
        </w:rPr>
      </w:pPr>
      <w:r>
        <w:rPr>
          <w:rFonts w:hint="eastAsia"/>
          <w:lang w:val="zh-CN"/>
        </w:rPr>
        <w:t>开展平安家庭和“优秀书香之家”评选活动。3月，郭爱明、廖四娇等10户家庭被授予韶关市“平安家庭”示范户荣誉称号；新迳村、勋口村、黎口村、王亭石村等被授予韶关市“平安家庭”示范村荣誉称号；郭少芳家庭被授予韶关市“优秀书香之家”荣誉称号。开展“最美家庭”评选活动。为深入推进家庭文明建设，5月—10月，在全市开展“韶关市最美家庭”评选活动。李明英家庭被评为“韶关市最美家庭”。从2018年开始，在全市各行政村（社区）全面启动“星级文明户”创建评选活动。每年按10%左右的比例，命名一批单项文明户和星级文明户。</w:t>
      </w:r>
    </w:p>
    <w:p w14:paraId="5AE193A4">
      <w:pPr>
        <w:pStyle w:val="4"/>
        <w:bidi w:val="0"/>
        <w:rPr>
          <w:rFonts w:hint="eastAsia"/>
          <w:lang w:val="zh-CN"/>
        </w:rPr>
      </w:pPr>
      <w:r>
        <w:rPr>
          <w:rFonts w:hint="eastAsia"/>
          <w:lang w:val="zh-CN"/>
        </w:rPr>
        <w:t>【关爱活动开展】</w:t>
      </w:r>
    </w:p>
    <w:p w14:paraId="5453AC15">
      <w:pPr>
        <w:bidi w:val="0"/>
        <w:rPr>
          <w:rFonts w:hint="eastAsia"/>
          <w:lang w:val="zh-CN"/>
        </w:rPr>
      </w:pPr>
      <w:r>
        <w:rPr>
          <w:rFonts w:hint="eastAsia"/>
          <w:lang w:val="zh-CN"/>
        </w:rPr>
        <w:t>春节期间走访慰问全市70户单亲特困母亲家庭；联合爱心企业开展关爱贫困妇女儿童送温暖活动，为39名困难妇女儿童每人发放慰问金600元。开展“爱心生活箱、爱心图书”捐赠活动。联合韶关市立德会、善行团基金会等在雄州街道荊岗村开展“爱心生活箱、爱心图书”捐赠仪式。仪式中，为20户家庭捐赠20件爱心生活箱，并捐赠给儿童之家120套爱心图书。开展“情暖国庆，关爱女童”慰问活动。通过广东省妇女儿童基金会筹得善款1.8万元，为南雄5名特困家庭女童每人发放慰问金3600元。10月17日，联合黎口村“妇女之家”在黎口村委会党群服务中心广场举办“我们的节日·重阳节”主题文艺汇演，约300位老年人观看演出。7月，携手广州仁人家园慈善机构到雄州街道五洲村、下坪村开展“关爱单亲母亲”爱心捐助活动。为南雄5户贫困单亲母亲家庭进行资助，帮助她们修建新房，资助金额1万—1.5万元。2018年，完成全市妇女“两癌”免费检查1.52万人。</w:t>
      </w:r>
    </w:p>
    <w:p w14:paraId="1D3BA4A9">
      <w:pPr>
        <w:pStyle w:val="4"/>
        <w:bidi w:val="0"/>
        <w:rPr>
          <w:rFonts w:hint="eastAsia"/>
          <w:lang w:val="zh-CN"/>
        </w:rPr>
      </w:pPr>
      <w:r>
        <w:rPr>
          <w:rFonts w:hint="eastAsia"/>
          <w:lang w:val="zh-CN"/>
        </w:rPr>
        <w:t>【维权行动实施】</w:t>
      </w:r>
    </w:p>
    <w:p w14:paraId="0FBC2FB9">
      <w:pPr>
        <w:bidi w:val="0"/>
        <w:rPr>
          <w:rFonts w:hint="eastAsia"/>
          <w:lang w:val="zh-CN"/>
        </w:rPr>
      </w:pPr>
      <w:r>
        <w:rPr>
          <w:rFonts w:hint="eastAsia"/>
          <w:lang w:val="zh-CN"/>
        </w:rPr>
        <w:t>3月8日，联合13个相关职能部门在三影塔广场举办“法治新征程服务在身边”主题宣传咨询活动。参加活动的群众达1000多人，发放宣传资料3000多份，提供法律咨询100余人。开展“百名律师进百村维权服务在身边”法治宣传、普法讲堂活动，2018年，全市共举办维权讲座19场。做实普法用法、综治信访维稳工作。2018年，在南雄市首届国家机关“谁执法谁普法”履职评议活动中，被评为优秀；接待来访72宗，来电2宗，办结率100%；法律援助48宗。</w:t>
      </w:r>
    </w:p>
    <w:p w14:paraId="45B8593C">
      <w:pPr>
        <w:pStyle w:val="4"/>
        <w:bidi w:val="0"/>
        <w:rPr>
          <w:rFonts w:hint="eastAsia"/>
          <w:lang w:val="zh-CN"/>
        </w:rPr>
      </w:pPr>
      <w:r>
        <w:rPr>
          <w:rFonts w:hint="eastAsia"/>
          <w:lang w:val="zh-CN"/>
        </w:rPr>
        <w:t>【未成年人工作】</w:t>
      </w:r>
    </w:p>
    <w:p w14:paraId="694D9539">
      <w:pPr>
        <w:bidi w:val="0"/>
        <w:rPr>
          <w:rFonts w:hint="eastAsia"/>
          <w:lang w:val="zh-CN"/>
        </w:rPr>
      </w:pPr>
      <w:r>
        <w:rPr>
          <w:rFonts w:hint="eastAsia"/>
          <w:lang w:val="zh-CN"/>
        </w:rPr>
        <w:t>联合市教育局、团市委、市关工委携手女童保护基金广东粤北团队开展“女童保护”儿童防性侵课程推进活动，5月23日，在南雄市一小举办“女童保护教育进学校”启动仪式。6月4日，在黄坑镇中心小学举办一场“百名法学专家百场法律讲座”活动，讲座以“儿童防性侵和防校园欺凌”未成年人保护法律知识为主题，邀请讲师团成员彭有莲律师主讲，黄坑镇中心小学六年级250多位学生参加讲座。</w:t>
      </w:r>
    </w:p>
    <w:p w14:paraId="18DACB09">
      <w:pPr>
        <w:pStyle w:val="4"/>
        <w:bidi w:val="0"/>
        <w:rPr>
          <w:rFonts w:hint="eastAsia"/>
          <w:lang w:val="zh-CN"/>
        </w:rPr>
      </w:pPr>
      <w:r>
        <w:rPr>
          <w:rFonts w:hint="eastAsia"/>
          <w:lang w:val="zh-CN"/>
        </w:rPr>
        <w:t>【自身建设】</w:t>
      </w:r>
    </w:p>
    <w:p w14:paraId="64E4F038">
      <w:pPr>
        <w:bidi w:val="0"/>
        <w:rPr>
          <w:rFonts w:hint="eastAsia"/>
          <w:lang w:val="zh-CN"/>
        </w:rPr>
      </w:pPr>
      <w:r>
        <w:rPr>
          <w:rFonts w:hint="eastAsia"/>
          <w:lang w:val="zh-CN"/>
        </w:rPr>
        <w:t>召开市妇联十四届五次执委（扩大）会议，替补选执委5人，共有执委25人，其中市妇联主席1人，专职副主席2人，兼职副主席0人。在18个镇（街）全面完成区域化建设，选出执委378人，其中镇妇联主席18人，专职副主席18人。全市232个村（居）“会改联”工作全面完成，各村选出执委2552人，其中村妇联主席232人，副主席232人。</w:t>
      </w:r>
    </w:p>
    <w:p w14:paraId="4BB03A04">
      <w:pPr>
        <w:pStyle w:val="4"/>
        <w:bidi w:val="0"/>
        <w:rPr>
          <w:rFonts w:hint="eastAsia"/>
          <w:lang w:val="zh-CN"/>
        </w:rPr>
      </w:pPr>
      <w:r>
        <w:rPr>
          <w:rFonts w:hint="eastAsia"/>
          <w:lang w:val="zh-CN"/>
        </w:rPr>
        <w:t>【“妇女之家”创建】</w:t>
      </w:r>
    </w:p>
    <w:p w14:paraId="0CAB7596">
      <w:pPr>
        <w:bidi w:val="0"/>
        <w:rPr>
          <w:rFonts w:hint="eastAsia"/>
          <w:lang w:val="zh-CN"/>
        </w:rPr>
      </w:pPr>
      <w:r>
        <w:rPr>
          <w:rFonts w:hint="eastAsia"/>
          <w:lang w:val="zh-CN"/>
        </w:rPr>
        <w:t>2018年，珠玑镇里仁村、乌迳镇孔塘村申报韶关市级“妇女之家”示范点。南雄创建“妇女之家”232个，其中省级“妇女之家”10个，韶关市级“妇女之家”17个。</w:t>
      </w:r>
    </w:p>
    <w:p w14:paraId="2D517E11">
      <w:pPr>
        <w:pStyle w:val="4"/>
        <w:bidi w:val="0"/>
        <w:rPr>
          <w:rFonts w:hint="eastAsia"/>
          <w:lang w:val="zh-CN"/>
        </w:rPr>
      </w:pPr>
      <w:r>
        <w:rPr>
          <w:rFonts w:hint="eastAsia"/>
          <w:lang w:val="zh-CN"/>
        </w:rPr>
        <w:t>【“儿童之家”创建】</w:t>
      </w:r>
    </w:p>
    <w:p w14:paraId="3C04E823">
      <w:pPr>
        <w:bidi w:val="0"/>
        <w:rPr>
          <w:rFonts w:hint="eastAsia"/>
          <w:lang w:val="zh-CN"/>
        </w:rPr>
      </w:pPr>
      <w:r>
        <w:rPr>
          <w:rFonts w:hint="eastAsia"/>
          <w:lang w:val="zh-CN"/>
        </w:rPr>
        <w:t>2018年，主田镇城门村委会、湖口镇里和村委会、黄坑镇社前村委会、雄州街道勋口村村委会被授予广东省“儿童之家”示范点；水口镇河村村委会被授予广东省2017年度“儿童友好示范社区”示范点。</w:t>
      </w:r>
    </w:p>
    <w:p w14:paraId="447DEF76">
      <w:pPr>
        <w:pStyle w:val="4"/>
        <w:bidi w:val="0"/>
        <w:rPr>
          <w:rFonts w:hint="eastAsia"/>
          <w:lang w:val="zh-CN"/>
        </w:rPr>
      </w:pPr>
      <w:r>
        <w:rPr>
          <w:rFonts w:hint="eastAsia"/>
          <w:lang w:val="zh-CN"/>
        </w:rPr>
        <w:t>【妇女儿童发展规划推进】</w:t>
      </w:r>
    </w:p>
    <w:p w14:paraId="2989DB4A">
      <w:pPr>
        <w:bidi w:val="0"/>
        <w:rPr>
          <w:rFonts w:hint="eastAsia"/>
          <w:lang w:val="zh-CN"/>
        </w:rPr>
      </w:pPr>
      <w:r>
        <w:rPr>
          <w:rFonts w:hint="eastAsia"/>
          <w:lang w:val="zh-CN"/>
        </w:rPr>
        <w:t>协调成员单位做好监测评估。对重难点问题进行研究，组织28个成员单位和责任单位开展2018年度实施妇女儿童发展规划监测统计工作，根据监测结果制定《2018年度南雄市妇女儿童发展规划专项评估工作方案》。针对妇女发展规划中的妇女常见病筛查率和儿童发展规划中的儿童之家建成率两个指标，加大“两癌”宣传力度和儿童之家建设力度，并做好两个规划监测统计报表的收集、统计工作，并撰写评估报告，为市委、市政府制定和完善妇女事业政策措施、进一步推进妇女儿童工作提供决策依据。开展两个规划宣传培训。加大男女平等基本国策的宣传力度，全年开展两个规划宣传培训暨男女平等宣讲进机关、进社区4场，进一步提高社会对男女平等国策的知晓率和认同度。</w:t>
      </w:r>
      <w:r>
        <w:rPr>
          <w:rFonts w:hint="eastAsia"/>
          <w:b/>
          <w:bCs/>
          <w:lang w:val="zh-CN"/>
        </w:rPr>
        <w:t>（陈红凤）</w:t>
      </w:r>
    </w:p>
    <w:p w14:paraId="23B4F9F1">
      <w:pPr>
        <w:pStyle w:val="11"/>
        <w:bidi w:val="0"/>
        <w:rPr>
          <w:rFonts w:hint="eastAsia"/>
          <w:b/>
          <w:bCs/>
          <w:lang w:val="zh-CN"/>
        </w:rPr>
      </w:pPr>
      <w:r>
        <w:rPr>
          <w:rFonts w:hint="eastAsia"/>
          <w:b/>
          <w:bCs/>
          <w:lang w:val="zh-CN"/>
        </w:rPr>
        <w:t>附：2018年市妇联领导班子成员名单</w:t>
      </w:r>
    </w:p>
    <w:p w14:paraId="6B4D3691">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席：</w:t>
      </w:r>
      <w:r>
        <w:rPr>
          <w:rFonts w:hint="eastAsia"/>
          <w:lang w:val="zh-CN"/>
        </w:rPr>
        <w:t>林彩虹</w:t>
      </w:r>
    </w:p>
    <w:p w14:paraId="72BCEA69">
      <w:pPr>
        <w:pStyle w:val="11"/>
        <w:bidi w:val="0"/>
        <w:rPr>
          <w:rFonts w:hint="eastAsia"/>
          <w:lang w:val="zh-CN"/>
        </w:rPr>
      </w:pPr>
      <w:r>
        <w:rPr>
          <w:rFonts w:hint="eastAsia"/>
          <w:b/>
          <w:bCs/>
          <w:lang w:val="zh-CN"/>
        </w:rPr>
        <w:t>副主席：</w:t>
      </w:r>
      <w:r>
        <w:rPr>
          <w:rFonts w:hint="eastAsia"/>
          <w:lang w:val="zh-CN"/>
        </w:rPr>
        <w:t>王丽平</w:t>
      </w:r>
      <w:r>
        <w:rPr>
          <w:rFonts w:hint="eastAsia"/>
          <w:lang w:val="en-US" w:eastAsia="zh-CN"/>
        </w:rPr>
        <w:t xml:space="preserve">   </w:t>
      </w:r>
      <w:r>
        <w:rPr>
          <w:rFonts w:hint="eastAsia"/>
          <w:lang w:val="zh-CN"/>
        </w:rPr>
        <w:t>吴七妹</w:t>
      </w:r>
    </w:p>
    <w:p w14:paraId="5AF816C3">
      <w:pPr>
        <w:pStyle w:val="3"/>
        <w:bidi w:val="0"/>
        <w:rPr>
          <w:rFonts w:hint="eastAsia"/>
          <w:lang w:val="zh-CN"/>
        </w:rPr>
      </w:pPr>
      <w:r>
        <w:rPr>
          <w:rFonts w:hint="eastAsia"/>
          <w:lang w:val="zh-CN"/>
        </w:rPr>
        <w:t>南雄市残疾人联合会</w:t>
      </w:r>
    </w:p>
    <w:p w14:paraId="70100293">
      <w:pPr>
        <w:pStyle w:val="4"/>
        <w:bidi w:val="0"/>
        <w:rPr>
          <w:rFonts w:hint="eastAsia"/>
          <w:lang w:val="zh-CN"/>
        </w:rPr>
      </w:pPr>
      <w:r>
        <w:rPr>
          <w:rFonts w:hint="eastAsia"/>
          <w:lang w:val="zh-CN"/>
        </w:rPr>
        <w:t>【概况】</w:t>
      </w:r>
    </w:p>
    <w:p w14:paraId="586F5435">
      <w:pPr>
        <w:bidi w:val="0"/>
        <w:rPr>
          <w:rFonts w:hint="eastAsia"/>
          <w:lang w:val="zh-CN"/>
        </w:rPr>
      </w:pPr>
      <w:r>
        <w:rPr>
          <w:rFonts w:hint="eastAsia"/>
          <w:lang w:val="zh-CN"/>
        </w:rPr>
        <w:t>南雄市残疾人联合会经市政府批准，于1995年2月正式成立，是将残疾人自身代表组织、社会福利团体和事业管理机构融为一体的残疾人事业单位，是中国残疾人联合会的地方组织。南雄市残疾人联合会为正科级单位。现有理事长1人，副理事长1人，其他股室工作人员4人。设有办公室、康复教育就业股。</w:t>
      </w:r>
    </w:p>
    <w:p w14:paraId="25E94886">
      <w:pPr>
        <w:bidi w:val="0"/>
        <w:rPr>
          <w:rFonts w:hint="eastAsia"/>
          <w:lang w:val="zh-CN"/>
        </w:rPr>
      </w:pPr>
      <w:r>
        <w:rPr>
          <w:rFonts w:hint="eastAsia"/>
          <w:b/>
          <w:bCs/>
          <w:lang w:val="zh-CN"/>
        </w:rPr>
        <w:t>康复中心</w:t>
      </w:r>
      <w:r>
        <w:rPr>
          <w:rFonts w:hint="eastAsia"/>
          <w:b/>
          <w:bCs/>
          <w:lang w:val="en-US" w:eastAsia="zh-CN"/>
        </w:rPr>
        <w:t xml:space="preserve">   </w:t>
      </w:r>
      <w:r>
        <w:rPr>
          <w:rFonts w:hint="eastAsia"/>
          <w:b w:val="0"/>
          <w:bCs w:val="0"/>
          <w:lang w:val="zh-CN"/>
        </w:rPr>
        <w:t>南</w:t>
      </w:r>
      <w:r>
        <w:rPr>
          <w:rFonts w:hint="eastAsia"/>
          <w:lang w:val="zh-CN"/>
        </w:rPr>
        <w:t>雄市残疾人康复中心于2016年5月16日设立，具有“事业单位法人证书”资格，为市残联下属正股级公益一类事业单位，不核定事业编制，核定政府购买服务人员数6人，现有工作人员17人。法定代表人黄青（市残联办公室副主任）。</w:t>
      </w:r>
    </w:p>
    <w:p w14:paraId="556F5EEE">
      <w:pPr>
        <w:pStyle w:val="4"/>
        <w:bidi w:val="0"/>
        <w:rPr>
          <w:rFonts w:hint="eastAsia"/>
          <w:lang w:val="zh-CN"/>
        </w:rPr>
      </w:pPr>
      <w:r>
        <w:rPr>
          <w:rFonts w:hint="eastAsia"/>
          <w:lang w:val="zh-CN"/>
        </w:rPr>
        <w:t>【扶贫助残】</w:t>
      </w:r>
    </w:p>
    <w:p w14:paraId="03D3A92E">
      <w:pPr>
        <w:bidi w:val="0"/>
        <w:rPr>
          <w:rFonts w:hint="eastAsia"/>
          <w:lang w:val="zh-CN"/>
        </w:rPr>
      </w:pPr>
      <w:r>
        <w:rPr>
          <w:rFonts w:hint="eastAsia"/>
          <w:lang w:val="zh-CN"/>
        </w:rPr>
        <w:t>2018年为5665名扶贫残疾人医保参保，人平免交医保费180元，涉及资金101.97万元；农村、城镇重度残疾人社保优惠政策：为7298名农村、城镇（重度残疾人1-2级）、精神病扶贫残疾人免交养老保险费120元，涉及资金87.58万元。</w:t>
      </w:r>
    </w:p>
    <w:p w14:paraId="1E1B200D">
      <w:pPr>
        <w:bidi w:val="0"/>
        <w:rPr>
          <w:rFonts w:hint="eastAsia"/>
          <w:lang w:val="zh-CN"/>
        </w:rPr>
      </w:pPr>
      <w:r>
        <w:rPr>
          <w:rFonts w:hint="eastAsia"/>
          <w:lang w:val="zh-CN"/>
        </w:rPr>
        <w:t>5月28日至6月15日，联合市卫计局、扶贫办等部门对全市598名疑似残疾人进行免费上门鉴定评残服务，经专家组评定，有345人符合办证标准，集中为其办理残疾人证并为符合条件者申请“两项补贴”。</w:t>
      </w:r>
    </w:p>
    <w:p w14:paraId="2A74F32C">
      <w:pPr>
        <w:bidi w:val="0"/>
        <w:rPr>
          <w:rFonts w:hint="eastAsia"/>
          <w:lang w:val="zh-CN"/>
        </w:rPr>
      </w:pPr>
      <w:r>
        <w:rPr>
          <w:rFonts w:hint="eastAsia"/>
          <w:lang w:val="zh-CN"/>
        </w:rPr>
        <w:t>落实残疾人“两项补贴”，重度残疾人（一、二级）护理补贴210元/月，贫困残疾人享受低保（一至四级）的生活津贴157.5元/月。2018年发放重度护理补贴6.27万人次，涉及金额1316.62万元；一、二级生活补贴2.07万人次，涉及金额326.12万元；三、四级生活补贴1.57万人次，涉及金额247.02万元，全部及时录入电子系统，通过财政局拨款划拨到个人账户。</w:t>
      </w:r>
    </w:p>
    <w:p w14:paraId="5293258B">
      <w:pPr>
        <w:bidi w:val="0"/>
        <w:rPr>
          <w:rFonts w:hint="eastAsia"/>
          <w:lang w:val="zh-CN"/>
        </w:rPr>
      </w:pPr>
      <w:r>
        <w:rPr>
          <w:rFonts w:hint="eastAsia"/>
          <w:lang w:val="zh-CN"/>
        </w:rPr>
        <w:t>2018年为各类重度残疾人5165人采购轮椅、助行器、坐便椅、导盲拐等各类辅助器具，通过精准扶贫发放到有需求的残疾人手中458件（套）。</w:t>
      </w:r>
    </w:p>
    <w:p w14:paraId="37A01180">
      <w:pPr>
        <w:bidi w:val="0"/>
        <w:rPr>
          <w:rFonts w:hint="eastAsia"/>
          <w:lang w:val="zh-CN"/>
        </w:rPr>
      </w:pPr>
      <w:r>
        <w:rPr>
          <w:rFonts w:hint="eastAsia"/>
          <w:lang w:val="zh-CN"/>
        </w:rPr>
        <w:t>2018年为有暴力倾向的贫困精神病人免费治疗，对住院的精神病676人次建立精准康复个人档案，涉及治疗费用资金约222.99万元；2018年贫困精神病患者出院后的服药工作，发放药物人数3261人次，涉及资金13.89万元。</w:t>
      </w:r>
    </w:p>
    <w:p w14:paraId="34C238FD">
      <w:pPr>
        <w:bidi w:val="0"/>
        <w:rPr>
          <w:rFonts w:hint="eastAsia"/>
          <w:lang w:val="zh-CN"/>
        </w:rPr>
      </w:pPr>
      <w:r>
        <w:rPr>
          <w:rFonts w:hint="eastAsia"/>
          <w:lang w:val="zh-CN"/>
        </w:rPr>
        <w:t>2018年特困重度残疾人居家无障碍改造项目，是重度残疾人实现生活基本能自理的重要的民心工程，广东省残联下达南雄的特困重度残疾人居家无障碍改造任务数为71户，项目资金35.5万元。经调查摸底筛查，江头镇19户，湖口镇19户，水口镇14户，全安镇19户，在2018年10月全面完成71户特困重度残疾人居家无障碍改造工作。</w:t>
      </w:r>
    </w:p>
    <w:p w14:paraId="0E6F2B07">
      <w:pPr>
        <w:bidi w:val="0"/>
        <w:rPr>
          <w:rFonts w:hint="eastAsia"/>
          <w:lang w:val="zh-CN"/>
        </w:rPr>
      </w:pPr>
      <w:r>
        <w:rPr>
          <w:rFonts w:hint="eastAsia"/>
          <w:lang w:val="zh-CN"/>
        </w:rPr>
        <w:t>2018年残联康复中心负责0-6岁残疾儿童免费肢体康复训练和智障儿童脑部开发训练，上学期康复训练30名残疾儿童、下学期康复训练32名残疾儿童。</w:t>
      </w:r>
    </w:p>
    <w:p w14:paraId="74AC12F4">
      <w:pPr>
        <w:bidi w:val="0"/>
        <w:rPr>
          <w:rFonts w:hint="eastAsia"/>
          <w:lang w:val="zh-CN"/>
        </w:rPr>
      </w:pPr>
      <w:r>
        <w:rPr>
          <w:rFonts w:hint="eastAsia"/>
          <w:lang w:val="zh-CN"/>
        </w:rPr>
        <w:t>2018年贫困家庭残疾学生助学补贴政策，对6名扶贫户残疾学生进行扶残助学补助，其中3名本科学生补助金额1.5万元，3名专科学生1万元。</w:t>
      </w:r>
    </w:p>
    <w:p w14:paraId="03502CC6">
      <w:pPr>
        <w:bidi w:val="0"/>
        <w:rPr>
          <w:rFonts w:hint="eastAsia"/>
          <w:lang w:val="zh-CN"/>
        </w:rPr>
      </w:pPr>
      <w:r>
        <w:rPr>
          <w:rFonts w:hint="eastAsia"/>
          <w:lang w:val="zh-CN"/>
        </w:rPr>
        <w:t>为残疾人购买代步机动轮椅车及燃油费补贴：一、二级残疾人补助5000元，三级残疾人补助3000元，四级残疾人补助2000元，残疾人机动轮椅车燃油补贴260元/人。2018年为100人购买代步机动轮椅车，涉及补助金额39.92万元，代步机动轮椅车燃油费补贴75人申请，涉及补助金额1.95万元。</w:t>
      </w:r>
    </w:p>
    <w:p w14:paraId="7FAC1676">
      <w:pPr>
        <w:bidi w:val="0"/>
        <w:rPr>
          <w:rFonts w:hint="eastAsia"/>
          <w:lang w:val="zh-CN"/>
        </w:rPr>
      </w:pPr>
      <w:r>
        <w:rPr>
          <w:rFonts w:hint="eastAsia"/>
          <w:lang w:val="zh-CN"/>
        </w:rPr>
        <w:t>2018年4月全市开通残疾人免费乘坐城市公共汽车，乘坐达1.87万人次，涉及金额1.87万元。</w:t>
      </w:r>
    </w:p>
    <w:p w14:paraId="2FFC3CBD">
      <w:pPr>
        <w:bidi w:val="0"/>
        <w:rPr>
          <w:rFonts w:hint="eastAsia"/>
          <w:lang w:val="zh-CN"/>
        </w:rPr>
      </w:pPr>
      <w:r>
        <w:rPr>
          <w:rFonts w:hint="eastAsia"/>
          <w:lang w:val="zh-CN"/>
        </w:rPr>
        <w:t>2018年在湖口、全安、江头、主田镇新建4个残疾人康园中心，全面完成上级下达任务。</w:t>
      </w:r>
    </w:p>
    <w:p w14:paraId="37A9E780">
      <w:pPr>
        <w:pStyle w:val="4"/>
        <w:bidi w:val="0"/>
        <w:rPr>
          <w:rFonts w:hint="eastAsia"/>
          <w:lang w:val="zh-CN"/>
        </w:rPr>
      </w:pPr>
      <w:r>
        <w:rPr>
          <w:rFonts w:hint="eastAsia"/>
          <w:lang w:val="zh-CN"/>
        </w:rPr>
        <w:t>【公益活动】</w:t>
      </w:r>
    </w:p>
    <w:p w14:paraId="23DC6936">
      <w:pPr>
        <w:bidi w:val="0"/>
        <w:rPr>
          <w:rFonts w:hint="eastAsia"/>
          <w:lang w:val="zh-CN"/>
        </w:rPr>
      </w:pPr>
      <w:r>
        <w:rPr>
          <w:rFonts w:hint="eastAsia"/>
          <w:lang w:val="zh-CN"/>
        </w:rPr>
        <w:t>6月1日，广东狮子会粤北服务队联合多家赞助商为南雄市残疾人康复中心的0—6岁儿童举办“牵手与爱同行”关爱残疾儿童活动。9月24日，韶关市旅游产业促进会为残疾人康复中心的0—6岁残疾儿童进行中秋节慰问。</w:t>
      </w:r>
    </w:p>
    <w:p w14:paraId="3EF3C558">
      <w:pPr>
        <w:bidi w:val="0"/>
        <w:jc w:val="right"/>
        <w:rPr>
          <w:rFonts w:hint="eastAsia"/>
          <w:b/>
          <w:bCs/>
          <w:lang w:val="zh-CN"/>
        </w:rPr>
      </w:pPr>
      <w:r>
        <w:rPr>
          <w:rFonts w:hint="eastAsia"/>
          <w:b/>
          <w:bCs/>
          <w:lang w:val="zh-CN"/>
        </w:rPr>
        <w:t>（曾</w:t>
      </w:r>
      <w:r>
        <w:rPr>
          <w:rFonts w:hint="eastAsia"/>
          <w:b/>
          <w:bCs/>
          <w:lang w:val="en-US" w:eastAsia="zh-CN"/>
        </w:rPr>
        <w:t xml:space="preserve">  </w:t>
      </w:r>
      <w:r>
        <w:rPr>
          <w:rFonts w:hint="eastAsia"/>
          <w:b/>
          <w:bCs/>
          <w:lang w:val="zh-CN"/>
        </w:rPr>
        <w:t>生）</w:t>
      </w:r>
    </w:p>
    <w:p w14:paraId="2173E204">
      <w:pPr>
        <w:pStyle w:val="11"/>
        <w:bidi w:val="0"/>
        <w:rPr>
          <w:rFonts w:hint="eastAsia"/>
          <w:b/>
          <w:bCs/>
          <w:lang w:val="zh-CN"/>
        </w:rPr>
      </w:pPr>
      <w:r>
        <w:rPr>
          <w:rFonts w:hint="eastAsia"/>
          <w:b/>
          <w:bCs/>
          <w:lang w:val="zh-CN"/>
        </w:rPr>
        <w:t>附：2018年市残联领导班子成员名单</w:t>
      </w:r>
    </w:p>
    <w:p w14:paraId="5B7C486F">
      <w:pPr>
        <w:pStyle w:val="11"/>
        <w:bidi w:val="0"/>
        <w:rPr>
          <w:rFonts w:hint="eastAsia"/>
          <w:lang w:val="zh-CN"/>
        </w:rPr>
      </w:pPr>
      <w:r>
        <w:rPr>
          <w:rFonts w:hint="eastAsia"/>
          <w:b/>
          <w:bCs/>
          <w:lang w:val="zh-CN"/>
        </w:rPr>
        <w:t>理</w:t>
      </w:r>
      <w:r>
        <w:rPr>
          <w:rFonts w:hint="eastAsia"/>
          <w:b/>
          <w:bCs/>
          <w:lang w:val="en-US" w:eastAsia="zh-CN"/>
        </w:rPr>
        <w:t xml:space="preserve"> </w:t>
      </w:r>
      <w:r>
        <w:rPr>
          <w:rFonts w:hint="eastAsia"/>
          <w:b/>
          <w:bCs/>
          <w:lang w:val="zh-CN"/>
        </w:rPr>
        <w:t>事</w:t>
      </w:r>
      <w:r>
        <w:rPr>
          <w:rFonts w:hint="eastAsia"/>
          <w:b/>
          <w:bCs/>
          <w:lang w:val="en-US" w:eastAsia="zh-CN"/>
        </w:rPr>
        <w:t xml:space="preserve"> </w:t>
      </w:r>
      <w:r>
        <w:rPr>
          <w:rFonts w:hint="eastAsia"/>
          <w:b/>
          <w:bCs/>
          <w:lang w:val="zh-CN"/>
        </w:rPr>
        <w:t>长：</w:t>
      </w:r>
      <w:r>
        <w:rPr>
          <w:rFonts w:hint="eastAsia"/>
          <w:lang w:val="zh-CN"/>
        </w:rPr>
        <w:t>刘小弘</w:t>
      </w:r>
    </w:p>
    <w:p w14:paraId="48BA7573">
      <w:pPr>
        <w:pStyle w:val="11"/>
        <w:bidi w:val="0"/>
        <w:rPr>
          <w:rFonts w:hint="eastAsia"/>
          <w:lang w:val="zh-CN"/>
        </w:rPr>
      </w:pPr>
      <w:r>
        <w:rPr>
          <w:rFonts w:hint="eastAsia"/>
          <w:b/>
          <w:bCs/>
          <w:lang w:val="zh-CN"/>
        </w:rPr>
        <w:t>副理事长：</w:t>
      </w:r>
      <w:r>
        <w:rPr>
          <w:rFonts w:hint="eastAsia"/>
          <w:lang w:val="zh-CN"/>
        </w:rPr>
        <w:t>钟爱兰</w:t>
      </w:r>
    </w:p>
    <w:p w14:paraId="36BBDBBE">
      <w:pPr>
        <w:pStyle w:val="3"/>
        <w:bidi w:val="0"/>
        <w:rPr>
          <w:rFonts w:hint="eastAsia"/>
          <w:lang w:val="zh-CN"/>
        </w:rPr>
      </w:pPr>
      <w:r>
        <w:rPr>
          <w:rFonts w:hint="eastAsia"/>
          <w:lang w:val="zh-CN"/>
        </w:rPr>
        <w:t>南雄市科学技术协会</w:t>
      </w:r>
    </w:p>
    <w:p w14:paraId="17C4D0A0">
      <w:pPr>
        <w:pStyle w:val="4"/>
        <w:bidi w:val="0"/>
        <w:rPr>
          <w:rFonts w:hint="eastAsia"/>
          <w:lang w:val="zh-CN"/>
        </w:rPr>
      </w:pPr>
      <w:r>
        <w:rPr>
          <w:rFonts w:hint="eastAsia"/>
          <w:lang w:val="zh-CN"/>
        </w:rPr>
        <w:t>【概况】</w:t>
      </w:r>
    </w:p>
    <w:p w14:paraId="441A3254">
      <w:pPr>
        <w:bidi w:val="0"/>
        <w:rPr>
          <w:rFonts w:hint="eastAsia"/>
          <w:lang w:val="zh-CN"/>
        </w:rPr>
      </w:pPr>
      <w:r>
        <w:rPr>
          <w:rFonts w:hint="eastAsia"/>
          <w:lang w:val="zh-CN"/>
        </w:rPr>
        <w:t>1956年，南雄县科学普及协会成立，附属县委宣传部。1969年科普协会撤销。1980年9月，南雄县科学技术协会成立，属正科级单位，群众团体，财政全额拨款。2002年机构改革行政编制3人，其中主席、副主席各1人。科协内设办公室。下属协会21个，会员2506人（其他情况见附表）</w:t>
      </w:r>
    </w:p>
    <w:p w14:paraId="40DF8501">
      <w:pPr>
        <w:bidi w:val="0"/>
        <w:ind w:left="0" w:leftChars="0" w:firstLine="0" w:firstLineChars="0"/>
        <w:rPr>
          <w:rFonts w:hint="eastAsia"/>
          <w:b/>
          <w:bCs/>
          <w:lang w:val="zh-CN"/>
        </w:rPr>
      </w:pPr>
      <w:r>
        <w:rPr>
          <w:rFonts w:hint="eastAsia"/>
          <w:b/>
          <w:bCs/>
          <w:lang w:val="zh-CN"/>
        </w:rPr>
        <w:t>附表：</w:t>
      </w:r>
    </w:p>
    <w:p w14:paraId="04FE953E">
      <w:pPr>
        <w:bidi w:val="0"/>
        <w:ind w:left="0" w:leftChars="0" w:firstLine="0" w:firstLineChars="0"/>
        <w:jc w:val="center"/>
        <w:rPr>
          <w:rFonts w:hint="eastAsia"/>
          <w:b/>
          <w:bCs/>
          <w:lang w:val="zh-CN"/>
        </w:rPr>
      </w:pPr>
      <w:r>
        <w:rPr>
          <w:rFonts w:hint="eastAsia"/>
          <w:b/>
          <w:bCs/>
          <w:lang w:val="zh-CN"/>
        </w:rPr>
        <w:t>表2</w:t>
      </w:r>
      <w:r>
        <w:rPr>
          <w:rFonts w:hint="eastAsia"/>
          <w:b/>
          <w:bCs/>
          <w:lang w:val="en-US" w:eastAsia="zh-CN"/>
        </w:rPr>
        <w:t xml:space="preserve">  </w:t>
      </w:r>
      <w:r>
        <w:rPr>
          <w:rFonts w:hint="eastAsia"/>
          <w:b/>
          <w:bCs/>
          <w:lang w:val="zh-CN"/>
        </w:rPr>
        <w:t>南雄市科协下辖学会、协会、研究会一览表</w:t>
      </w:r>
    </w:p>
    <w:tbl>
      <w:tblPr>
        <w:tblStyle w:val="7"/>
        <w:tblW w:w="4998" w:type="pct"/>
        <w:tblInd w:w="0" w:type="dxa"/>
        <w:tblLayout w:type="autofit"/>
        <w:tblCellMar>
          <w:top w:w="0" w:type="dxa"/>
          <w:left w:w="0" w:type="dxa"/>
          <w:bottom w:w="0" w:type="dxa"/>
          <w:right w:w="0" w:type="dxa"/>
        </w:tblCellMar>
      </w:tblPr>
      <w:tblGrid>
        <w:gridCol w:w="1952"/>
        <w:gridCol w:w="1312"/>
        <w:gridCol w:w="1633"/>
        <w:gridCol w:w="1631"/>
        <w:gridCol w:w="1637"/>
        <w:gridCol w:w="1633"/>
      </w:tblGrid>
      <w:tr w14:paraId="2C00C105">
        <w:tblPrEx>
          <w:tblCellMar>
            <w:top w:w="0" w:type="dxa"/>
            <w:left w:w="0" w:type="dxa"/>
            <w:bottom w:w="0" w:type="dxa"/>
            <w:right w:w="0" w:type="dxa"/>
          </w:tblCellMar>
        </w:tblPrEx>
        <w:trPr>
          <w:trHeight w:val="396" w:hRule="atLeast"/>
          <w:tblHeader/>
        </w:trPr>
        <w:tc>
          <w:tcPr>
            <w:tcW w:w="996" w:type="pct"/>
            <w:vMerge w:val="restar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A2EED13">
            <w:pPr>
              <w:pStyle w:val="11"/>
              <w:bidi w:val="0"/>
              <w:jc w:val="center"/>
              <w:rPr>
                <w:rFonts w:hint="eastAsia"/>
                <w:b/>
                <w:bCs/>
                <w:color w:val="000000"/>
                <w:lang w:val="zh-CN"/>
              </w:rPr>
            </w:pPr>
            <w:r>
              <w:rPr>
                <w:rFonts w:hint="eastAsia"/>
                <w:b/>
                <w:bCs/>
                <w:color w:val="000000"/>
                <w:lang w:val="zh-CN"/>
              </w:rPr>
              <w:t>名称</w:t>
            </w:r>
          </w:p>
        </w:tc>
        <w:tc>
          <w:tcPr>
            <w:tcW w:w="669" w:type="pct"/>
            <w:vMerge w:val="restar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1AB9978">
            <w:pPr>
              <w:pStyle w:val="11"/>
              <w:bidi w:val="0"/>
              <w:jc w:val="center"/>
              <w:rPr>
                <w:rFonts w:hint="eastAsia"/>
                <w:b/>
                <w:bCs/>
                <w:color w:val="000000"/>
                <w:lang w:val="zh-CN"/>
              </w:rPr>
            </w:pPr>
            <w:r>
              <w:rPr>
                <w:rFonts w:hint="eastAsia"/>
                <w:b/>
                <w:bCs/>
                <w:color w:val="000000"/>
                <w:lang w:val="zh-CN"/>
              </w:rPr>
              <w:t>会员</w:t>
            </w:r>
          </w:p>
        </w:tc>
        <w:tc>
          <w:tcPr>
            <w:tcW w:w="2500" w:type="pct"/>
            <w:gridSpan w:val="3"/>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D155DCC">
            <w:pPr>
              <w:pStyle w:val="11"/>
              <w:bidi w:val="0"/>
              <w:jc w:val="center"/>
              <w:rPr>
                <w:rFonts w:hint="eastAsia"/>
                <w:b/>
                <w:bCs/>
                <w:color w:val="000000"/>
                <w:lang w:val="zh-CN"/>
              </w:rPr>
            </w:pPr>
            <w:r>
              <w:rPr>
                <w:rFonts w:hint="eastAsia"/>
                <w:b/>
                <w:bCs/>
                <w:color w:val="000000"/>
                <w:lang w:val="zh-CN"/>
              </w:rPr>
              <w:t>其中</w:t>
            </w:r>
          </w:p>
        </w:tc>
        <w:tc>
          <w:tcPr>
            <w:tcW w:w="833" w:type="pct"/>
            <w:vMerge w:val="restar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7D8EB25D">
            <w:pPr>
              <w:pStyle w:val="11"/>
              <w:bidi w:val="0"/>
              <w:jc w:val="center"/>
              <w:rPr>
                <w:rFonts w:hint="eastAsia"/>
                <w:b/>
                <w:bCs/>
                <w:color w:val="000000"/>
                <w:lang w:val="zh-CN"/>
              </w:rPr>
            </w:pPr>
            <w:r>
              <w:rPr>
                <w:rFonts w:hint="eastAsia"/>
                <w:b/>
                <w:bCs/>
                <w:color w:val="000000"/>
                <w:lang w:val="zh-CN"/>
              </w:rPr>
              <w:t>挂靠单位</w:t>
            </w:r>
          </w:p>
        </w:tc>
      </w:tr>
      <w:tr w14:paraId="70433A25">
        <w:tblPrEx>
          <w:tblCellMar>
            <w:top w:w="0" w:type="dxa"/>
            <w:left w:w="0" w:type="dxa"/>
            <w:bottom w:w="0" w:type="dxa"/>
            <w:right w:w="0" w:type="dxa"/>
          </w:tblCellMar>
        </w:tblPrEx>
        <w:trPr>
          <w:trHeight w:val="396" w:hRule="atLeast"/>
          <w:tblHeader/>
        </w:trPr>
        <w:tc>
          <w:tcPr>
            <w:tcW w:w="996" w:type="pct"/>
            <w:vMerge w:val="continue"/>
            <w:tcBorders>
              <w:top w:val="single" w:color="auto" w:sz="4" w:space="0"/>
              <w:left w:val="nil"/>
              <w:bottom w:val="single" w:color="auto" w:sz="4" w:space="0"/>
              <w:right w:val="single" w:color="auto" w:sz="4" w:space="0"/>
            </w:tcBorders>
            <w:shd w:val="clear" w:color="auto" w:fill="FFFFFF"/>
            <w:noWrap w:val="0"/>
            <w:vAlign w:val="center"/>
          </w:tcPr>
          <w:p w14:paraId="4613368D">
            <w:pPr>
              <w:pStyle w:val="11"/>
              <w:bidi w:val="0"/>
              <w:jc w:val="center"/>
              <w:rPr>
                <w:rFonts w:hint="eastAsia"/>
                <w:color w:val="000000"/>
              </w:rPr>
            </w:pPr>
          </w:p>
        </w:tc>
        <w:tc>
          <w:tcPr>
            <w:tcW w:w="669"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6B02C454">
            <w:pPr>
              <w:pStyle w:val="11"/>
              <w:bidi w:val="0"/>
              <w:jc w:val="center"/>
              <w:rPr>
                <w:rFonts w:hint="eastAsia"/>
                <w:color w:val="000000"/>
              </w:rPr>
            </w:pP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D494F14">
            <w:pPr>
              <w:pStyle w:val="11"/>
              <w:bidi w:val="0"/>
              <w:jc w:val="center"/>
              <w:rPr>
                <w:rFonts w:hint="eastAsia"/>
                <w:b/>
                <w:bCs/>
                <w:color w:val="000000"/>
                <w:lang w:val="zh-CN"/>
              </w:rPr>
            </w:pPr>
            <w:r>
              <w:rPr>
                <w:rFonts w:hint="eastAsia"/>
                <w:b/>
                <w:bCs/>
                <w:color w:val="000000"/>
                <w:lang w:val="zh-CN"/>
              </w:rPr>
              <w:t>高级职称</w:t>
            </w: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0596D4B">
            <w:pPr>
              <w:pStyle w:val="11"/>
              <w:bidi w:val="0"/>
              <w:jc w:val="center"/>
              <w:rPr>
                <w:rFonts w:hint="eastAsia"/>
                <w:b/>
                <w:bCs/>
                <w:color w:val="000000"/>
                <w:lang w:val="zh-CN"/>
              </w:rPr>
            </w:pPr>
            <w:r>
              <w:rPr>
                <w:rFonts w:hint="eastAsia"/>
                <w:b/>
                <w:bCs/>
                <w:color w:val="000000"/>
                <w:lang w:val="zh-CN"/>
              </w:rPr>
              <w:t>中级职称</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1BAF319">
            <w:pPr>
              <w:pStyle w:val="11"/>
              <w:bidi w:val="0"/>
              <w:jc w:val="center"/>
              <w:rPr>
                <w:rFonts w:hint="eastAsia"/>
                <w:b/>
                <w:bCs/>
                <w:color w:val="000000"/>
                <w:lang w:val="zh-CN"/>
              </w:rPr>
            </w:pPr>
            <w:r>
              <w:rPr>
                <w:rFonts w:hint="eastAsia"/>
                <w:b/>
                <w:bCs/>
                <w:color w:val="000000"/>
                <w:lang w:val="zh-CN"/>
              </w:rPr>
              <w:t>初级职称</w:t>
            </w:r>
          </w:p>
        </w:tc>
        <w:tc>
          <w:tcPr>
            <w:tcW w:w="833" w:type="pct"/>
            <w:vMerge w:val="continue"/>
            <w:tcBorders>
              <w:top w:val="single" w:color="auto" w:sz="4" w:space="0"/>
              <w:left w:val="single" w:color="auto" w:sz="4" w:space="0"/>
              <w:bottom w:val="single" w:color="auto" w:sz="4" w:space="0"/>
              <w:right w:val="nil"/>
            </w:tcBorders>
            <w:shd w:val="clear" w:color="auto" w:fill="FFFFFF"/>
            <w:noWrap w:val="0"/>
            <w:vAlign w:val="center"/>
          </w:tcPr>
          <w:p w14:paraId="3016BB2B">
            <w:pPr>
              <w:pStyle w:val="11"/>
              <w:bidi w:val="0"/>
              <w:jc w:val="center"/>
              <w:rPr>
                <w:rFonts w:hint="eastAsia"/>
                <w:color w:val="000000"/>
              </w:rPr>
            </w:pPr>
          </w:p>
        </w:tc>
      </w:tr>
      <w:tr w14:paraId="434B94DA">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4FA726D">
            <w:pPr>
              <w:pStyle w:val="11"/>
              <w:bidi w:val="0"/>
              <w:jc w:val="center"/>
              <w:rPr>
                <w:rFonts w:hint="eastAsia"/>
                <w:color w:val="000000"/>
                <w:lang w:val="zh-CN"/>
              </w:rPr>
            </w:pPr>
            <w:r>
              <w:rPr>
                <w:rFonts w:hint="eastAsia"/>
                <w:color w:val="000000"/>
                <w:lang w:val="zh-CN"/>
              </w:rPr>
              <w:t>中华医学南雄分会</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20E6445">
            <w:pPr>
              <w:pStyle w:val="11"/>
              <w:bidi w:val="0"/>
              <w:jc w:val="center"/>
              <w:rPr>
                <w:rFonts w:hint="eastAsia"/>
                <w:color w:val="000000"/>
                <w:lang w:val="zh-CN"/>
              </w:rPr>
            </w:pPr>
            <w:r>
              <w:rPr>
                <w:rFonts w:hint="eastAsia"/>
                <w:color w:val="000000"/>
                <w:lang w:val="zh-CN"/>
              </w:rPr>
              <w:t>441</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61D4CD0">
            <w:pPr>
              <w:pStyle w:val="11"/>
              <w:bidi w:val="0"/>
              <w:jc w:val="center"/>
              <w:rPr>
                <w:rFonts w:hint="eastAsia"/>
                <w:color w:val="000000"/>
                <w:lang w:val="zh-CN"/>
              </w:rPr>
            </w:pPr>
            <w:r>
              <w:rPr>
                <w:rFonts w:hint="eastAsia"/>
                <w:color w:val="000000"/>
                <w:lang w:val="zh-CN"/>
              </w:rPr>
              <w:t>15</w:t>
            </w: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A71B4F7">
            <w:pPr>
              <w:pStyle w:val="11"/>
              <w:bidi w:val="0"/>
              <w:jc w:val="center"/>
              <w:rPr>
                <w:rFonts w:hint="eastAsia"/>
                <w:color w:val="000000"/>
                <w:lang w:val="zh-CN"/>
              </w:rPr>
            </w:pPr>
            <w:r>
              <w:rPr>
                <w:rFonts w:hint="eastAsia"/>
                <w:color w:val="000000"/>
                <w:lang w:val="zh-CN"/>
              </w:rPr>
              <w:t>103</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519C9D20">
            <w:pPr>
              <w:pStyle w:val="11"/>
              <w:bidi w:val="0"/>
              <w:jc w:val="center"/>
              <w:rPr>
                <w:rFonts w:hint="eastAsia"/>
                <w:color w:val="000000"/>
                <w:lang w:val="zh-CN"/>
              </w:rPr>
            </w:pPr>
            <w:r>
              <w:rPr>
                <w:rFonts w:hint="eastAsia"/>
                <w:color w:val="000000"/>
                <w:lang w:val="zh-CN"/>
              </w:rPr>
              <w:t>310</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080DFE42">
            <w:pPr>
              <w:pStyle w:val="11"/>
              <w:bidi w:val="0"/>
              <w:jc w:val="center"/>
              <w:rPr>
                <w:rFonts w:hint="eastAsia"/>
                <w:color w:val="000000"/>
                <w:lang w:val="zh-CN"/>
              </w:rPr>
            </w:pPr>
            <w:r>
              <w:rPr>
                <w:rFonts w:hint="eastAsia"/>
                <w:color w:val="000000"/>
                <w:lang w:val="zh-CN"/>
              </w:rPr>
              <w:t>卫生局</w:t>
            </w:r>
          </w:p>
        </w:tc>
      </w:tr>
      <w:tr w14:paraId="3EEAF5E2">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A8CDDE4">
            <w:pPr>
              <w:pStyle w:val="11"/>
              <w:bidi w:val="0"/>
              <w:jc w:val="center"/>
              <w:rPr>
                <w:rFonts w:hint="eastAsia"/>
                <w:color w:val="000000"/>
                <w:lang w:val="zh-CN"/>
              </w:rPr>
            </w:pPr>
            <w:r>
              <w:rPr>
                <w:rFonts w:hint="eastAsia"/>
                <w:color w:val="000000"/>
                <w:lang w:val="zh-CN"/>
              </w:rPr>
              <w:t>工学会</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9E27642">
            <w:pPr>
              <w:pStyle w:val="11"/>
              <w:bidi w:val="0"/>
              <w:jc w:val="center"/>
              <w:rPr>
                <w:rFonts w:hint="eastAsia"/>
                <w:color w:val="000000"/>
                <w:lang w:val="zh-CN"/>
              </w:rPr>
            </w:pPr>
            <w:r>
              <w:rPr>
                <w:rFonts w:hint="eastAsia"/>
                <w:color w:val="000000"/>
                <w:lang w:val="zh-CN"/>
              </w:rPr>
              <w:t>45</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7669E2D">
            <w:pPr>
              <w:pStyle w:val="11"/>
              <w:bidi w:val="0"/>
              <w:jc w:val="center"/>
              <w:rPr>
                <w:rFonts w:hint="eastAsia"/>
                <w:color w:val="000000"/>
                <w:lang w:val="zh-CN"/>
              </w:rPr>
            </w:pPr>
            <w:r>
              <w:rPr>
                <w:rFonts w:hint="eastAsia"/>
                <w:color w:val="000000"/>
                <w:lang w:val="zh-CN"/>
              </w:rPr>
              <w:t>2</w:t>
            </w: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C16367B">
            <w:pPr>
              <w:pStyle w:val="11"/>
              <w:bidi w:val="0"/>
              <w:jc w:val="center"/>
              <w:rPr>
                <w:rFonts w:hint="eastAsia"/>
                <w:color w:val="000000"/>
                <w:lang w:val="zh-CN"/>
              </w:rPr>
            </w:pPr>
            <w:r>
              <w:rPr>
                <w:rFonts w:hint="eastAsia"/>
                <w:color w:val="000000"/>
                <w:lang w:val="zh-CN"/>
              </w:rPr>
              <w:t>21</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5C1C0956">
            <w:pPr>
              <w:pStyle w:val="11"/>
              <w:bidi w:val="0"/>
              <w:jc w:val="center"/>
              <w:rPr>
                <w:rFonts w:hint="eastAsia"/>
                <w:color w:val="000000"/>
                <w:lang w:val="zh-CN"/>
              </w:rPr>
            </w:pPr>
            <w:r>
              <w:rPr>
                <w:rFonts w:hint="eastAsia"/>
                <w:color w:val="000000"/>
                <w:lang w:val="zh-CN"/>
              </w:rPr>
              <w:t>14</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2FA5F41E">
            <w:pPr>
              <w:pStyle w:val="11"/>
              <w:bidi w:val="0"/>
              <w:jc w:val="center"/>
              <w:rPr>
                <w:rFonts w:hint="eastAsia"/>
                <w:color w:val="000000"/>
                <w:lang w:val="zh-CN"/>
              </w:rPr>
            </w:pPr>
            <w:r>
              <w:rPr>
                <w:rFonts w:hint="eastAsia"/>
                <w:color w:val="000000"/>
                <w:lang w:val="zh-CN"/>
              </w:rPr>
              <w:t>工业局</w:t>
            </w:r>
          </w:p>
        </w:tc>
      </w:tr>
      <w:tr w14:paraId="609601D7">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2D49221">
            <w:pPr>
              <w:pStyle w:val="11"/>
              <w:bidi w:val="0"/>
              <w:jc w:val="center"/>
              <w:rPr>
                <w:rFonts w:hint="eastAsia"/>
                <w:color w:val="000000"/>
                <w:lang w:val="zh-CN"/>
              </w:rPr>
            </w:pPr>
            <w:r>
              <w:rPr>
                <w:rFonts w:hint="eastAsia"/>
                <w:color w:val="000000"/>
                <w:lang w:val="zh-CN"/>
              </w:rPr>
              <w:t>农学会</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4814FE8">
            <w:pPr>
              <w:pStyle w:val="11"/>
              <w:bidi w:val="0"/>
              <w:jc w:val="center"/>
              <w:rPr>
                <w:rFonts w:hint="eastAsia"/>
                <w:color w:val="000000"/>
                <w:lang w:val="zh-CN"/>
              </w:rPr>
            </w:pPr>
            <w:r>
              <w:rPr>
                <w:rFonts w:hint="eastAsia"/>
                <w:color w:val="000000"/>
                <w:lang w:val="zh-CN"/>
              </w:rPr>
              <w:t>159</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E19B2D3">
            <w:pPr>
              <w:pStyle w:val="11"/>
              <w:bidi w:val="0"/>
              <w:jc w:val="center"/>
              <w:rPr>
                <w:rFonts w:hint="eastAsia"/>
                <w:color w:val="000000"/>
                <w:lang w:val="zh-CN"/>
              </w:rPr>
            </w:pPr>
            <w:r>
              <w:rPr>
                <w:rFonts w:hint="eastAsia"/>
                <w:color w:val="000000"/>
                <w:lang w:val="zh-CN"/>
              </w:rPr>
              <w:t>12</w:t>
            </w: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6982F31">
            <w:pPr>
              <w:pStyle w:val="11"/>
              <w:bidi w:val="0"/>
              <w:jc w:val="center"/>
              <w:rPr>
                <w:rFonts w:hint="eastAsia"/>
                <w:color w:val="000000"/>
                <w:lang w:val="zh-CN"/>
              </w:rPr>
            </w:pPr>
            <w:r>
              <w:rPr>
                <w:rFonts w:hint="eastAsia"/>
                <w:color w:val="000000"/>
                <w:lang w:val="zh-CN"/>
              </w:rPr>
              <w:t>39</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542980F">
            <w:pPr>
              <w:pStyle w:val="11"/>
              <w:bidi w:val="0"/>
              <w:jc w:val="center"/>
              <w:rPr>
                <w:rFonts w:hint="eastAsia"/>
                <w:color w:val="000000"/>
                <w:lang w:val="zh-CN"/>
              </w:rPr>
            </w:pPr>
            <w:r>
              <w:rPr>
                <w:rFonts w:hint="eastAsia"/>
                <w:color w:val="000000"/>
                <w:lang w:val="zh-CN"/>
              </w:rPr>
              <w:t>62</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5A0DBF0B">
            <w:pPr>
              <w:pStyle w:val="11"/>
              <w:bidi w:val="0"/>
              <w:jc w:val="center"/>
              <w:rPr>
                <w:rFonts w:hint="eastAsia"/>
                <w:color w:val="000000"/>
                <w:lang w:val="zh-CN"/>
              </w:rPr>
            </w:pPr>
            <w:r>
              <w:rPr>
                <w:rFonts w:hint="eastAsia"/>
                <w:color w:val="000000"/>
                <w:lang w:val="zh-CN"/>
              </w:rPr>
              <w:t>农业局</w:t>
            </w:r>
          </w:p>
        </w:tc>
      </w:tr>
      <w:tr w14:paraId="71331B23">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46CFAFA">
            <w:pPr>
              <w:pStyle w:val="11"/>
              <w:bidi w:val="0"/>
              <w:jc w:val="center"/>
              <w:rPr>
                <w:rFonts w:hint="eastAsia"/>
                <w:color w:val="000000"/>
                <w:lang w:val="zh-CN"/>
              </w:rPr>
            </w:pPr>
            <w:r>
              <w:rPr>
                <w:rFonts w:hint="eastAsia"/>
                <w:color w:val="000000"/>
                <w:lang w:val="zh-CN"/>
              </w:rPr>
              <w:t>水利学会</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09EA058">
            <w:pPr>
              <w:pStyle w:val="11"/>
              <w:bidi w:val="0"/>
              <w:jc w:val="center"/>
              <w:rPr>
                <w:rFonts w:hint="eastAsia"/>
                <w:color w:val="000000"/>
                <w:lang w:val="zh-CN"/>
              </w:rPr>
            </w:pPr>
            <w:r>
              <w:rPr>
                <w:rFonts w:hint="eastAsia"/>
                <w:color w:val="000000"/>
                <w:lang w:val="zh-CN"/>
              </w:rPr>
              <w:t>101</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B0F4336">
            <w:pPr>
              <w:pStyle w:val="11"/>
              <w:bidi w:val="0"/>
              <w:jc w:val="center"/>
              <w:rPr>
                <w:rFonts w:hint="eastAsia"/>
                <w:color w:val="000000"/>
                <w:lang w:val="zh-CN"/>
              </w:rPr>
            </w:pPr>
            <w:r>
              <w:rPr>
                <w:rFonts w:hint="eastAsia"/>
                <w:color w:val="000000"/>
                <w:lang w:val="zh-CN"/>
              </w:rPr>
              <w:t>3</w:t>
            </w: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A6F8E17">
            <w:pPr>
              <w:pStyle w:val="11"/>
              <w:bidi w:val="0"/>
              <w:jc w:val="center"/>
              <w:rPr>
                <w:rFonts w:hint="eastAsia"/>
                <w:color w:val="000000"/>
                <w:lang w:val="zh-CN"/>
              </w:rPr>
            </w:pPr>
            <w:r>
              <w:rPr>
                <w:rFonts w:hint="eastAsia"/>
                <w:color w:val="000000"/>
                <w:lang w:val="zh-CN"/>
              </w:rPr>
              <w:t>17</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6BF890A">
            <w:pPr>
              <w:pStyle w:val="11"/>
              <w:bidi w:val="0"/>
              <w:jc w:val="center"/>
              <w:rPr>
                <w:rFonts w:hint="eastAsia"/>
                <w:color w:val="000000"/>
                <w:lang w:val="zh-CN"/>
              </w:rPr>
            </w:pPr>
            <w:r>
              <w:rPr>
                <w:rFonts w:hint="eastAsia"/>
                <w:color w:val="000000"/>
                <w:lang w:val="zh-CN"/>
              </w:rPr>
              <w:t>78</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6254113F">
            <w:pPr>
              <w:pStyle w:val="11"/>
              <w:bidi w:val="0"/>
              <w:jc w:val="center"/>
              <w:rPr>
                <w:rFonts w:hint="eastAsia"/>
                <w:color w:val="000000"/>
                <w:lang w:val="zh-CN"/>
              </w:rPr>
            </w:pPr>
            <w:r>
              <w:rPr>
                <w:rFonts w:hint="eastAsia"/>
                <w:color w:val="000000"/>
                <w:lang w:val="zh-CN"/>
              </w:rPr>
              <w:t>水电局</w:t>
            </w:r>
          </w:p>
        </w:tc>
      </w:tr>
      <w:tr w14:paraId="7FDBF93D">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A54F526">
            <w:pPr>
              <w:pStyle w:val="11"/>
              <w:bidi w:val="0"/>
              <w:jc w:val="center"/>
              <w:rPr>
                <w:rFonts w:hint="eastAsia"/>
                <w:color w:val="000000"/>
                <w:lang w:val="zh-CN"/>
              </w:rPr>
            </w:pPr>
            <w:r>
              <w:rPr>
                <w:rFonts w:hint="eastAsia"/>
                <w:color w:val="000000"/>
                <w:lang w:val="zh-CN"/>
              </w:rPr>
              <w:t>林学会</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971EBBF">
            <w:pPr>
              <w:pStyle w:val="11"/>
              <w:bidi w:val="0"/>
              <w:jc w:val="center"/>
              <w:rPr>
                <w:rFonts w:hint="eastAsia"/>
                <w:color w:val="000000"/>
                <w:lang w:val="zh-CN"/>
              </w:rPr>
            </w:pPr>
            <w:r>
              <w:rPr>
                <w:rFonts w:hint="eastAsia"/>
                <w:color w:val="000000"/>
                <w:lang w:val="zh-CN"/>
              </w:rPr>
              <w:t>35</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22CCA2F">
            <w:pPr>
              <w:pStyle w:val="11"/>
              <w:bidi w:val="0"/>
              <w:jc w:val="center"/>
              <w:rPr>
                <w:rFonts w:hint="eastAsia"/>
                <w:color w:val="000000"/>
                <w:lang w:val="zh-CN"/>
              </w:rPr>
            </w:pPr>
            <w:r>
              <w:rPr>
                <w:rFonts w:hint="eastAsia"/>
                <w:color w:val="000000"/>
                <w:lang w:val="zh-CN"/>
              </w:rPr>
              <w:t>3</w:t>
            </w: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2AA9004">
            <w:pPr>
              <w:pStyle w:val="11"/>
              <w:bidi w:val="0"/>
              <w:jc w:val="center"/>
              <w:rPr>
                <w:rFonts w:hint="eastAsia"/>
                <w:color w:val="000000"/>
                <w:lang w:val="zh-CN"/>
              </w:rPr>
            </w:pPr>
            <w:r>
              <w:rPr>
                <w:rFonts w:hint="eastAsia"/>
                <w:color w:val="000000"/>
                <w:lang w:val="zh-CN"/>
              </w:rPr>
              <w:t>10</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4582B8C">
            <w:pPr>
              <w:pStyle w:val="11"/>
              <w:bidi w:val="0"/>
              <w:jc w:val="center"/>
              <w:rPr>
                <w:rFonts w:hint="eastAsia"/>
                <w:color w:val="000000"/>
                <w:lang w:val="zh-CN"/>
              </w:rPr>
            </w:pPr>
            <w:r>
              <w:rPr>
                <w:rFonts w:hint="eastAsia"/>
                <w:color w:val="000000"/>
                <w:lang w:val="zh-CN"/>
              </w:rPr>
              <w:t>17</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09D3829A">
            <w:pPr>
              <w:pStyle w:val="11"/>
              <w:bidi w:val="0"/>
              <w:jc w:val="center"/>
              <w:rPr>
                <w:rFonts w:hint="eastAsia"/>
                <w:color w:val="000000"/>
                <w:lang w:val="zh-CN"/>
              </w:rPr>
            </w:pPr>
            <w:r>
              <w:rPr>
                <w:rFonts w:hint="eastAsia"/>
                <w:color w:val="000000"/>
                <w:lang w:val="zh-CN"/>
              </w:rPr>
              <w:t>林业局</w:t>
            </w:r>
          </w:p>
        </w:tc>
      </w:tr>
      <w:tr w14:paraId="4DE2B38A">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52FA77A6">
            <w:pPr>
              <w:pStyle w:val="11"/>
              <w:bidi w:val="0"/>
              <w:jc w:val="center"/>
              <w:rPr>
                <w:rFonts w:hint="eastAsia"/>
                <w:color w:val="000000"/>
                <w:lang w:val="zh-CN"/>
              </w:rPr>
            </w:pPr>
            <w:r>
              <w:rPr>
                <w:rFonts w:hint="eastAsia"/>
                <w:color w:val="000000"/>
                <w:lang w:val="zh-CN"/>
              </w:rPr>
              <w:t>气象学会</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19F0197">
            <w:pPr>
              <w:pStyle w:val="11"/>
              <w:bidi w:val="0"/>
              <w:jc w:val="center"/>
              <w:rPr>
                <w:rFonts w:hint="eastAsia"/>
                <w:color w:val="000000"/>
                <w:lang w:val="zh-CN"/>
              </w:rPr>
            </w:pPr>
            <w:r>
              <w:rPr>
                <w:rFonts w:hint="eastAsia"/>
                <w:color w:val="000000"/>
                <w:lang w:val="zh-CN"/>
              </w:rPr>
              <w:t>14</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EF9835D">
            <w:pPr>
              <w:pStyle w:val="11"/>
              <w:bidi w:val="0"/>
              <w:jc w:val="center"/>
              <w:rPr>
                <w:rFonts w:hint="eastAsia"/>
                <w:color w:val="000000"/>
              </w:rPr>
            </w:pP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3F0755C">
            <w:pPr>
              <w:pStyle w:val="11"/>
              <w:bidi w:val="0"/>
              <w:jc w:val="center"/>
              <w:rPr>
                <w:rFonts w:hint="eastAsia"/>
                <w:color w:val="000000"/>
                <w:lang w:val="zh-CN"/>
              </w:rPr>
            </w:pPr>
            <w:r>
              <w:rPr>
                <w:rFonts w:hint="eastAsia"/>
                <w:color w:val="000000"/>
                <w:lang w:val="zh-CN"/>
              </w:rPr>
              <w:t>2</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538BAA8">
            <w:pPr>
              <w:pStyle w:val="11"/>
              <w:bidi w:val="0"/>
              <w:jc w:val="center"/>
              <w:rPr>
                <w:rFonts w:hint="eastAsia"/>
                <w:color w:val="000000"/>
                <w:lang w:val="zh-CN"/>
              </w:rPr>
            </w:pPr>
            <w:r>
              <w:rPr>
                <w:rFonts w:hint="eastAsia"/>
                <w:color w:val="000000"/>
                <w:lang w:val="zh-CN"/>
              </w:rPr>
              <w:t>12</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3297F0B8">
            <w:pPr>
              <w:pStyle w:val="11"/>
              <w:bidi w:val="0"/>
              <w:jc w:val="center"/>
              <w:rPr>
                <w:rFonts w:hint="eastAsia"/>
                <w:color w:val="000000"/>
                <w:lang w:val="zh-CN"/>
              </w:rPr>
            </w:pPr>
            <w:r>
              <w:rPr>
                <w:rFonts w:hint="eastAsia"/>
                <w:color w:val="000000"/>
                <w:lang w:val="zh-CN"/>
              </w:rPr>
              <w:t>气象局</w:t>
            </w:r>
          </w:p>
        </w:tc>
      </w:tr>
      <w:tr w14:paraId="1CEB3019">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2016C4F">
            <w:pPr>
              <w:pStyle w:val="11"/>
              <w:bidi w:val="0"/>
              <w:jc w:val="center"/>
              <w:rPr>
                <w:rFonts w:hint="eastAsia"/>
                <w:color w:val="000000"/>
                <w:lang w:val="zh-CN"/>
              </w:rPr>
            </w:pPr>
            <w:r>
              <w:rPr>
                <w:rFonts w:hint="eastAsia"/>
                <w:color w:val="000000"/>
                <w:lang w:val="zh-CN"/>
              </w:rPr>
              <w:t>环保学会</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DDF76E6">
            <w:pPr>
              <w:pStyle w:val="11"/>
              <w:bidi w:val="0"/>
              <w:jc w:val="center"/>
              <w:rPr>
                <w:rFonts w:hint="eastAsia"/>
                <w:color w:val="000000"/>
                <w:lang w:val="zh-CN"/>
              </w:rPr>
            </w:pPr>
            <w:r>
              <w:rPr>
                <w:rFonts w:hint="eastAsia"/>
                <w:color w:val="000000"/>
                <w:lang w:val="zh-CN"/>
              </w:rPr>
              <w:t>18</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55D8BA1">
            <w:pPr>
              <w:pStyle w:val="11"/>
              <w:bidi w:val="0"/>
              <w:jc w:val="center"/>
              <w:rPr>
                <w:rFonts w:hint="eastAsia"/>
                <w:color w:val="000000"/>
              </w:rPr>
            </w:pP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EF97FAB">
            <w:pPr>
              <w:pStyle w:val="11"/>
              <w:bidi w:val="0"/>
              <w:jc w:val="center"/>
              <w:rPr>
                <w:rFonts w:hint="eastAsia"/>
                <w:color w:val="000000"/>
                <w:lang w:val="zh-CN"/>
              </w:rPr>
            </w:pPr>
            <w:r>
              <w:rPr>
                <w:rFonts w:hint="eastAsia"/>
                <w:color w:val="000000"/>
                <w:lang w:val="zh-CN"/>
              </w:rPr>
              <w:t>4</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6493F7D">
            <w:pPr>
              <w:pStyle w:val="11"/>
              <w:bidi w:val="0"/>
              <w:jc w:val="center"/>
              <w:rPr>
                <w:rFonts w:hint="eastAsia"/>
                <w:color w:val="000000"/>
                <w:lang w:val="zh-CN"/>
              </w:rPr>
            </w:pPr>
            <w:r>
              <w:rPr>
                <w:rFonts w:hint="eastAsia"/>
                <w:color w:val="000000"/>
                <w:lang w:val="zh-CN"/>
              </w:rPr>
              <w:t>13</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4370103F">
            <w:pPr>
              <w:pStyle w:val="11"/>
              <w:bidi w:val="0"/>
              <w:jc w:val="center"/>
              <w:rPr>
                <w:rFonts w:hint="eastAsia"/>
                <w:color w:val="000000"/>
                <w:lang w:val="zh-CN"/>
              </w:rPr>
            </w:pPr>
            <w:r>
              <w:rPr>
                <w:rFonts w:hint="eastAsia"/>
                <w:color w:val="000000"/>
                <w:lang w:val="zh-CN"/>
              </w:rPr>
              <w:t>环保局</w:t>
            </w:r>
          </w:p>
        </w:tc>
      </w:tr>
      <w:tr w14:paraId="46D6D48E">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68B7B1F">
            <w:pPr>
              <w:pStyle w:val="11"/>
              <w:bidi w:val="0"/>
              <w:jc w:val="center"/>
              <w:rPr>
                <w:rFonts w:hint="eastAsia"/>
                <w:color w:val="000000"/>
                <w:lang w:val="zh-CN"/>
              </w:rPr>
            </w:pPr>
            <w:r>
              <w:rPr>
                <w:rFonts w:hint="eastAsia"/>
                <w:color w:val="000000"/>
                <w:lang w:val="zh-CN"/>
              </w:rPr>
              <w:t>畜牧兽医学会</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C9DECD1">
            <w:pPr>
              <w:pStyle w:val="11"/>
              <w:bidi w:val="0"/>
              <w:jc w:val="center"/>
              <w:rPr>
                <w:rFonts w:hint="eastAsia"/>
                <w:color w:val="000000"/>
                <w:lang w:val="zh-CN"/>
              </w:rPr>
            </w:pPr>
            <w:r>
              <w:rPr>
                <w:rFonts w:hint="eastAsia"/>
                <w:color w:val="000000"/>
                <w:lang w:val="zh-CN"/>
              </w:rPr>
              <w:t>25</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D45DEB2">
            <w:pPr>
              <w:pStyle w:val="11"/>
              <w:bidi w:val="0"/>
              <w:jc w:val="center"/>
              <w:rPr>
                <w:rFonts w:hint="eastAsia"/>
                <w:color w:val="000000"/>
              </w:rPr>
            </w:pP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828678A">
            <w:pPr>
              <w:pStyle w:val="11"/>
              <w:bidi w:val="0"/>
              <w:jc w:val="center"/>
              <w:rPr>
                <w:rFonts w:hint="eastAsia"/>
                <w:color w:val="000000"/>
                <w:lang w:val="zh-CN"/>
              </w:rPr>
            </w:pPr>
            <w:r>
              <w:rPr>
                <w:rFonts w:hint="eastAsia"/>
                <w:color w:val="000000"/>
                <w:lang w:val="zh-CN"/>
              </w:rPr>
              <w:t>3</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A97D846">
            <w:pPr>
              <w:pStyle w:val="11"/>
              <w:bidi w:val="0"/>
              <w:jc w:val="center"/>
              <w:rPr>
                <w:rFonts w:hint="eastAsia"/>
                <w:color w:val="000000"/>
                <w:lang w:val="zh-CN"/>
              </w:rPr>
            </w:pPr>
            <w:r>
              <w:rPr>
                <w:rFonts w:hint="eastAsia"/>
                <w:color w:val="000000"/>
                <w:lang w:val="zh-CN"/>
              </w:rPr>
              <w:t>18</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2F6C1E89">
            <w:pPr>
              <w:pStyle w:val="11"/>
              <w:bidi w:val="0"/>
              <w:jc w:val="center"/>
              <w:rPr>
                <w:rFonts w:hint="eastAsia"/>
                <w:color w:val="000000"/>
                <w:lang w:val="zh-CN"/>
              </w:rPr>
            </w:pPr>
            <w:r>
              <w:rPr>
                <w:rFonts w:hint="eastAsia"/>
                <w:color w:val="000000"/>
                <w:lang w:val="zh-CN"/>
              </w:rPr>
              <w:t>畜牧局</w:t>
            </w:r>
          </w:p>
        </w:tc>
      </w:tr>
      <w:tr w14:paraId="10D07B68">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A4C3AC1">
            <w:pPr>
              <w:pStyle w:val="11"/>
              <w:bidi w:val="0"/>
              <w:jc w:val="center"/>
              <w:rPr>
                <w:rFonts w:hint="eastAsia"/>
                <w:color w:val="000000"/>
                <w:lang w:val="zh-CN"/>
              </w:rPr>
            </w:pPr>
            <w:r>
              <w:rPr>
                <w:rFonts w:hint="eastAsia"/>
                <w:color w:val="000000"/>
                <w:lang w:val="zh-CN"/>
              </w:rPr>
              <w:t>建筑学会</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15E8DD9">
            <w:pPr>
              <w:pStyle w:val="11"/>
              <w:bidi w:val="0"/>
              <w:jc w:val="center"/>
              <w:rPr>
                <w:rFonts w:hint="eastAsia"/>
                <w:color w:val="000000"/>
                <w:lang w:val="zh-CN"/>
              </w:rPr>
            </w:pPr>
            <w:r>
              <w:rPr>
                <w:rFonts w:hint="eastAsia"/>
                <w:color w:val="000000"/>
                <w:lang w:val="zh-CN"/>
              </w:rPr>
              <w:t>85</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E616D11">
            <w:pPr>
              <w:pStyle w:val="11"/>
              <w:bidi w:val="0"/>
              <w:jc w:val="center"/>
              <w:rPr>
                <w:rFonts w:hint="eastAsia"/>
                <w:color w:val="000000"/>
                <w:lang w:val="zh-CN"/>
              </w:rPr>
            </w:pPr>
            <w:r>
              <w:rPr>
                <w:rFonts w:hint="eastAsia"/>
                <w:color w:val="000000"/>
                <w:lang w:val="zh-CN"/>
              </w:rPr>
              <w:t>2</w:t>
            </w: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7E6B776">
            <w:pPr>
              <w:pStyle w:val="11"/>
              <w:bidi w:val="0"/>
              <w:jc w:val="center"/>
              <w:rPr>
                <w:rFonts w:hint="eastAsia"/>
                <w:color w:val="000000"/>
                <w:lang w:val="zh-CN"/>
              </w:rPr>
            </w:pPr>
            <w:r>
              <w:rPr>
                <w:rFonts w:hint="eastAsia"/>
                <w:color w:val="000000"/>
                <w:lang w:val="zh-CN"/>
              </w:rPr>
              <w:t>12</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7E7279B">
            <w:pPr>
              <w:pStyle w:val="11"/>
              <w:bidi w:val="0"/>
              <w:jc w:val="center"/>
              <w:rPr>
                <w:rFonts w:hint="eastAsia"/>
                <w:color w:val="000000"/>
                <w:lang w:val="zh-CN"/>
              </w:rPr>
            </w:pPr>
            <w:r>
              <w:rPr>
                <w:rFonts w:hint="eastAsia"/>
                <w:color w:val="000000"/>
                <w:lang w:val="zh-CN"/>
              </w:rPr>
              <w:t>71</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6CBD39E9">
            <w:pPr>
              <w:pStyle w:val="11"/>
              <w:bidi w:val="0"/>
              <w:jc w:val="center"/>
              <w:rPr>
                <w:rFonts w:hint="eastAsia"/>
                <w:color w:val="000000"/>
                <w:lang w:val="zh-CN"/>
              </w:rPr>
            </w:pPr>
            <w:r>
              <w:rPr>
                <w:rFonts w:hint="eastAsia"/>
                <w:color w:val="000000"/>
                <w:lang w:val="zh-CN"/>
              </w:rPr>
              <w:t>建设局</w:t>
            </w:r>
          </w:p>
        </w:tc>
      </w:tr>
      <w:tr w14:paraId="5FDE4B01">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07FECFC">
            <w:pPr>
              <w:pStyle w:val="11"/>
              <w:bidi w:val="0"/>
              <w:jc w:val="center"/>
              <w:rPr>
                <w:rFonts w:hint="eastAsia"/>
                <w:color w:val="000000"/>
                <w:lang w:val="zh-CN"/>
              </w:rPr>
            </w:pPr>
            <w:r>
              <w:rPr>
                <w:rFonts w:hint="eastAsia"/>
                <w:color w:val="000000"/>
                <w:lang w:val="zh-CN"/>
              </w:rPr>
              <w:t>会计学会</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F2F481D">
            <w:pPr>
              <w:pStyle w:val="11"/>
              <w:bidi w:val="0"/>
              <w:jc w:val="center"/>
              <w:rPr>
                <w:rFonts w:hint="eastAsia"/>
                <w:color w:val="000000"/>
                <w:lang w:val="zh-CN"/>
              </w:rPr>
            </w:pPr>
            <w:r>
              <w:rPr>
                <w:rFonts w:hint="eastAsia"/>
                <w:color w:val="000000"/>
                <w:lang w:val="zh-CN"/>
              </w:rPr>
              <w:t>763</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82DF986">
            <w:pPr>
              <w:pStyle w:val="11"/>
              <w:bidi w:val="0"/>
              <w:jc w:val="center"/>
              <w:rPr>
                <w:rFonts w:hint="eastAsia"/>
                <w:color w:val="000000"/>
                <w:lang w:val="zh-CN"/>
              </w:rPr>
            </w:pPr>
            <w:r>
              <w:rPr>
                <w:rFonts w:hint="eastAsia"/>
                <w:color w:val="000000"/>
                <w:lang w:val="zh-CN"/>
              </w:rPr>
              <w:t>14</w:t>
            </w: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AF953BD">
            <w:pPr>
              <w:pStyle w:val="11"/>
              <w:bidi w:val="0"/>
              <w:jc w:val="center"/>
              <w:rPr>
                <w:rFonts w:hint="eastAsia"/>
                <w:color w:val="000000"/>
                <w:lang w:val="zh-CN"/>
              </w:rPr>
            </w:pPr>
            <w:r>
              <w:rPr>
                <w:rFonts w:hint="eastAsia"/>
                <w:color w:val="000000"/>
                <w:lang w:val="zh-CN"/>
              </w:rPr>
              <w:t>61</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BB3815D">
            <w:pPr>
              <w:pStyle w:val="11"/>
              <w:bidi w:val="0"/>
              <w:jc w:val="center"/>
              <w:rPr>
                <w:rFonts w:hint="eastAsia"/>
                <w:color w:val="000000"/>
                <w:lang w:val="zh-CN"/>
              </w:rPr>
            </w:pPr>
            <w:r>
              <w:rPr>
                <w:rFonts w:hint="eastAsia"/>
                <w:color w:val="000000"/>
                <w:lang w:val="zh-CN"/>
              </w:rPr>
              <w:t>555</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3550B382">
            <w:pPr>
              <w:pStyle w:val="11"/>
              <w:bidi w:val="0"/>
              <w:jc w:val="center"/>
              <w:rPr>
                <w:rFonts w:hint="eastAsia"/>
                <w:color w:val="000000"/>
                <w:lang w:val="zh-CN"/>
              </w:rPr>
            </w:pPr>
            <w:r>
              <w:rPr>
                <w:rFonts w:hint="eastAsia"/>
                <w:color w:val="000000"/>
                <w:lang w:val="zh-CN"/>
              </w:rPr>
              <w:t>财政局</w:t>
            </w:r>
          </w:p>
        </w:tc>
      </w:tr>
      <w:tr w14:paraId="1FB8C946">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E1099C7">
            <w:pPr>
              <w:pStyle w:val="11"/>
              <w:bidi w:val="0"/>
              <w:jc w:val="center"/>
              <w:rPr>
                <w:rFonts w:hint="eastAsia"/>
                <w:color w:val="000000"/>
                <w:lang w:val="zh-CN"/>
              </w:rPr>
            </w:pPr>
            <w:r>
              <w:rPr>
                <w:rFonts w:hint="eastAsia"/>
                <w:color w:val="000000"/>
                <w:lang w:val="zh-CN"/>
              </w:rPr>
              <w:t>青少年科普协会</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22D633C">
            <w:pPr>
              <w:pStyle w:val="11"/>
              <w:bidi w:val="0"/>
              <w:jc w:val="center"/>
              <w:rPr>
                <w:rFonts w:hint="eastAsia"/>
                <w:color w:val="000000"/>
                <w:lang w:val="zh-CN"/>
              </w:rPr>
            </w:pPr>
            <w:r>
              <w:rPr>
                <w:rFonts w:hint="eastAsia"/>
                <w:color w:val="000000"/>
                <w:lang w:val="zh-CN"/>
              </w:rPr>
              <w:t>45</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3BE1956">
            <w:pPr>
              <w:pStyle w:val="11"/>
              <w:bidi w:val="0"/>
              <w:jc w:val="center"/>
              <w:rPr>
                <w:rFonts w:hint="eastAsia"/>
                <w:color w:val="000000"/>
                <w:lang w:val="zh-CN"/>
              </w:rPr>
            </w:pPr>
            <w:r>
              <w:rPr>
                <w:rFonts w:hint="eastAsia"/>
                <w:color w:val="000000"/>
                <w:lang w:val="zh-CN"/>
              </w:rPr>
              <w:t>13</w:t>
            </w: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CA7DA50">
            <w:pPr>
              <w:pStyle w:val="11"/>
              <w:bidi w:val="0"/>
              <w:jc w:val="center"/>
              <w:rPr>
                <w:rFonts w:hint="eastAsia"/>
                <w:color w:val="000000"/>
                <w:lang w:val="zh-CN"/>
              </w:rPr>
            </w:pPr>
            <w:r>
              <w:rPr>
                <w:rFonts w:hint="eastAsia"/>
                <w:color w:val="000000"/>
                <w:lang w:val="zh-CN"/>
              </w:rPr>
              <w:t>27</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CECE43E">
            <w:pPr>
              <w:pStyle w:val="11"/>
              <w:bidi w:val="0"/>
              <w:jc w:val="center"/>
              <w:rPr>
                <w:rFonts w:hint="eastAsia"/>
                <w:color w:val="000000"/>
                <w:lang w:val="zh-CN"/>
              </w:rPr>
            </w:pPr>
            <w:r>
              <w:rPr>
                <w:rFonts w:hint="eastAsia"/>
                <w:color w:val="000000"/>
                <w:lang w:val="zh-CN"/>
              </w:rPr>
              <w:t>5</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1A1D4367">
            <w:pPr>
              <w:pStyle w:val="11"/>
              <w:bidi w:val="0"/>
              <w:jc w:val="center"/>
              <w:rPr>
                <w:rFonts w:hint="eastAsia"/>
                <w:color w:val="000000"/>
                <w:lang w:val="zh-CN"/>
              </w:rPr>
            </w:pPr>
            <w:r>
              <w:rPr>
                <w:rFonts w:hint="eastAsia"/>
                <w:color w:val="000000"/>
                <w:lang w:val="zh-CN"/>
              </w:rPr>
              <w:t>教育局</w:t>
            </w:r>
          </w:p>
        </w:tc>
      </w:tr>
      <w:tr w14:paraId="6C170A2E">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A727833">
            <w:pPr>
              <w:pStyle w:val="11"/>
              <w:bidi w:val="0"/>
              <w:jc w:val="center"/>
              <w:rPr>
                <w:rFonts w:hint="eastAsia"/>
                <w:color w:val="000000"/>
                <w:lang w:val="zh-CN"/>
              </w:rPr>
            </w:pPr>
            <w:r>
              <w:rPr>
                <w:rFonts w:hint="eastAsia"/>
                <w:color w:val="000000"/>
                <w:lang w:val="zh-CN"/>
              </w:rPr>
              <w:t>黄烟科学技术研究会</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E719B91">
            <w:pPr>
              <w:pStyle w:val="11"/>
              <w:bidi w:val="0"/>
              <w:jc w:val="center"/>
              <w:rPr>
                <w:rFonts w:hint="eastAsia"/>
                <w:color w:val="000000"/>
                <w:lang w:val="zh-CN"/>
              </w:rPr>
            </w:pPr>
            <w:r>
              <w:rPr>
                <w:rFonts w:hint="eastAsia"/>
                <w:color w:val="000000"/>
                <w:lang w:val="zh-CN"/>
              </w:rPr>
              <w:t>268</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AFDB17E">
            <w:pPr>
              <w:pStyle w:val="11"/>
              <w:bidi w:val="0"/>
              <w:jc w:val="center"/>
              <w:rPr>
                <w:rFonts w:hint="eastAsia"/>
                <w:color w:val="000000"/>
                <w:lang w:val="zh-CN"/>
              </w:rPr>
            </w:pPr>
            <w:r>
              <w:rPr>
                <w:rFonts w:hint="eastAsia"/>
                <w:color w:val="000000"/>
                <w:lang w:val="zh-CN"/>
              </w:rPr>
              <w:t>5</w:t>
            </w: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9AF3D9D">
            <w:pPr>
              <w:pStyle w:val="11"/>
              <w:bidi w:val="0"/>
              <w:jc w:val="center"/>
              <w:rPr>
                <w:rFonts w:hint="eastAsia"/>
                <w:color w:val="000000"/>
                <w:lang w:val="zh-CN"/>
              </w:rPr>
            </w:pPr>
            <w:r>
              <w:rPr>
                <w:rFonts w:hint="eastAsia"/>
                <w:color w:val="000000"/>
                <w:lang w:val="zh-CN"/>
              </w:rPr>
              <w:t>45</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F760034">
            <w:pPr>
              <w:pStyle w:val="11"/>
              <w:bidi w:val="0"/>
              <w:jc w:val="center"/>
              <w:rPr>
                <w:rFonts w:hint="eastAsia"/>
                <w:color w:val="000000"/>
                <w:lang w:val="zh-CN"/>
              </w:rPr>
            </w:pPr>
            <w:r>
              <w:rPr>
                <w:rFonts w:hint="eastAsia"/>
                <w:color w:val="000000"/>
                <w:lang w:val="zh-CN"/>
              </w:rPr>
              <w:t>188</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226CDD7F">
            <w:pPr>
              <w:pStyle w:val="11"/>
              <w:bidi w:val="0"/>
              <w:jc w:val="center"/>
              <w:rPr>
                <w:rFonts w:hint="eastAsia"/>
                <w:color w:val="000000"/>
                <w:lang w:val="zh-CN"/>
              </w:rPr>
            </w:pPr>
            <w:r>
              <w:rPr>
                <w:rFonts w:hint="eastAsia"/>
                <w:color w:val="000000"/>
                <w:lang w:val="zh-CN"/>
              </w:rPr>
              <w:t>烟草公司</w:t>
            </w:r>
          </w:p>
        </w:tc>
      </w:tr>
      <w:tr w14:paraId="6B9681A9">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77A871D">
            <w:pPr>
              <w:pStyle w:val="11"/>
              <w:bidi w:val="0"/>
              <w:jc w:val="center"/>
              <w:rPr>
                <w:rFonts w:hint="eastAsia"/>
                <w:color w:val="000000"/>
                <w:lang w:val="zh-CN"/>
              </w:rPr>
            </w:pPr>
            <w:r>
              <w:rPr>
                <w:rFonts w:hint="eastAsia"/>
                <w:color w:val="000000"/>
                <w:lang w:val="zh-CN"/>
              </w:rPr>
              <w:t>兰花、盆景协会</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0AE607E">
            <w:pPr>
              <w:pStyle w:val="11"/>
              <w:bidi w:val="0"/>
              <w:jc w:val="center"/>
              <w:rPr>
                <w:rFonts w:hint="eastAsia"/>
                <w:color w:val="000000"/>
                <w:lang w:val="zh-CN"/>
              </w:rPr>
            </w:pPr>
            <w:r>
              <w:rPr>
                <w:rFonts w:hint="eastAsia"/>
                <w:color w:val="000000"/>
                <w:lang w:val="zh-CN"/>
              </w:rPr>
              <w:t>103</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2F646C5">
            <w:pPr>
              <w:pStyle w:val="11"/>
              <w:bidi w:val="0"/>
              <w:jc w:val="center"/>
              <w:rPr>
                <w:rFonts w:hint="eastAsia"/>
                <w:color w:val="000000"/>
              </w:rPr>
            </w:pP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524AF891">
            <w:pPr>
              <w:pStyle w:val="11"/>
              <w:bidi w:val="0"/>
              <w:jc w:val="center"/>
              <w:rPr>
                <w:rFonts w:hint="eastAsia"/>
                <w:color w:val="000000"/>
                <w:lang w:val="zh-CN"/>
              </w:rPr>
            </w:pPr>
            <w:r>
              <w:rPr>
                <w:rFonts w:hint="eastAsia"/>
                <w:color w:val="000000"/>
                <w:lang w:val="zh-CN"/>
              </w:rPr>
              <w:t>27</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28D0444">
            <w:pPr>
              <w:pStyle w:val="11"/>
              <w:bidi w:val="0"/>
              <w:jc w:val="center"/>
              <w:rPr>
                <w:rFonts w:hint="eastAsia"/>
                <w:color w:val="000000"/>
                <w:lang w:val="zh-CN"/>
              </w:rPr>
            </w:pPr>
            <w:r>
              <w:rPr>
                <w:rFonts w:hint="eastAsia"/>
                <w:color w:val="000000"/>
                <w:lang w:val="zh-CN"/>
              </w:rPr>
              <w:t>39</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75AA3C86">
            <w:pPr>
              <w:pStyle w:val="11"/>
              <w:bidi w:val="0"/>
              <w:jc w:val="center"/>
              <w:rPr>
                <w:rFonts w:hint="eastAsia"/>
                <w:color w:val="000000"/>
                <w:lang w:val="zh-CN"/>
              </w:rPr>
            </w:pPr>
            <w:r>
              <w:rPr>
                <w:rFonts w:hint="eastAsia"/>
                <w:color w:val="000000"/>
                <w:lang w:val="zh-CN"/>
              </w:rPr>
              <w:t>园林所</w:t>
            </w:r>
          </w:p>
        </w:tc>
      </w:tr>
      <w:tr w14:paraId="664F321D">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FA9B8BC">
            <w:pPr>
              <w:pStyle w:val="11"/>
              <w:bidi w:val="0"/>
              <w:jc w:val="center"/>
              <w:rPr>
                <w:rFonts w:hint="eastAsia"/>
                <w:color w:val="000000"/>
                <w:lang w:val="zh-CN"/>
              </w:rPr>
            </w:pPr>
            <w:r>
              <w:rPr>
                <w:rFonts w:hint="eastAsia"/>
                <w:color w:val="000000"/>
                <w:lang w:val="zh-CN"/>
              </w:rPr>
              <w:t>邓坊镇科协</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033EC39">
            <w:pPr>
              <w:pStyle w:val="11"/>
              <w:bidi w:val="0"/>
              <w:jc w:val="center"/>
              <w:rPr>
                <w:rFonts w:hint="eastAsia"/>
                <w:color w:val="000000"/>
                <w:lang w:val="zh-CN"/>
              </w:rPr>
            </w:pPr>
            <w:r>
              <w:rPr>
                <w:rFonts w:hint="eastAsia"/>
                <w:color w:val="000000"/>
                <w:lang w:val="zh-CN"/>
              </w:rPr>
              <w:t>138</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124069F">
            <w:pPr>
              <w:pStyle w:val="11"/>
              <w:bidi w:val="0"/>
              <w:jc w:val="center"/>
              <w:rPr>
                <w:rFonts w:hint="eastAsia"/>
                <w:color w:val="000000"/>
              </w:rPr>
            </w:pP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2CAAEF9">
            <w:pPr>
              <w:pStyle w:val="11"/>
              <w:bidi w:val="0"/>
              <w:jc w:val="center"/>
              <w:rPr>
                <w:rFonts w:hint="eastAsia"/>
                <w:color w:val="000000"/>
                <w:lang w:val="zh-CN"/>
              </w:rPr>
            </w:pPr>
            <w:r>
              <w:rPr>
                <w:rFonts w:hint="eastAsia"/>
                <w:color w:val="000000"/>
                <w:lang w:val="zh-CN"/>
              </w:rPr>
              <w:t>2</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06B253E">
            <w:pPr>
              <w:pStyle w:val="11"/>
              <w:bidi w:val="0"/>
              <w:jc w:val="center"/>
              <w:rPr>
                <w:rFonts w:hint="eastAsia"/>
                <w:color w:val="000000"/>
                <w:lang w:val="zh-CN"/>
              </w:rPr>
            </w:pPr>
            <w:r>
              <w:rPr>
                <w:rFonts w:hint="eastAsia"/>
                <w:color w:val="000000"/>
                <w:lang w:val="zh-CN"/>
              </w:rPr>
              <w:t>7</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6E601A12">
            <w:pPr>
              <w:pStyle w:val="11"/>
              <w:bidi w:val="0"/>
              <w:jc w:val="center"/>
              <w:rPr>
                <w:rFonts w:hint="eastAsia"/>
                <w:color w:val="000000"/>
                <w:lang w:val="zh-CN"/>
              </w:rPr>
            </w:pPr>
            <w:r>
              <w:rPr>
                <w:rFonts w:hint="eastAsia"/>
                <w:color w:val="000000"/>
                <w:lang w:val="zh-CN"/>
              </w:rPr>
              <w:t>镇政府</w:t>
            </w:r>
          </w:p>
        </w:tc>
      </w:tr>
      <w:tr w14:paraId="4CEBF0DE">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34ED9FC">
            <w:pPr>
              <w:pStyle w:val="11"/>
              <w:bidi w:val="0"/>
              <w:jc w:val="center"/>
              <w:rPr>
                <w:rFonts w:hint="eastAsia"/>
                <w:color w:val="000000"/>
                <w:lang w:val="zh-CN"/>
              </w:rPr>
            </w:pPr>
            <w:r>
              <w:rPr>
                <w:rFonts w:hint="eastAsia"/>
                <w:color w:val="000000"/>
                <w:lang w:val="zh-CN"/>
              </w:rPr>
              <w:t>全安镇科协</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664A40F">
            <w:pPr>
              <w:pStyle w:val="11"/>
              <w:bidi w:val="0"/>
              <w:jc w:val="center"/>
              <w:rPr>
                <w:rFonts w:hint="eastAsia"/>
                <w:color w:val="000000"/>
                <w:lang w:val="zh-CN"/>
              </w:rPr>
            </w:pPr>
            <w:r>
              <w:rPr>
                <w:rFonts w:hint="eastAsia"/>
                <w:color w:val="000000"/>
                <w:lang w:val="zh-CN"/>
              </w:rPr>
              <w:t>69</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BD3BCD7">
            <w:pPr>
              <w:pStyle w:val="11"/>
              <w:bidi w:val="0"/>
              <w:jc w:val="center"/>
              <w:rPr>
                <w:rFonts w:hint="eastAsia"/>
                <w:color w:val="000000"/>
              </w:rPr>
            </w:pP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A24CCBD">
            <w:pPr>
              <w:pStyle w:val="11"/>
              <w:bidi w:val="0"/>
              <w:jc w:val="center"/>
              <w:rPr>
                <w:rFonts w:hint="eastAsia"/>
                <w:color w:val="000000"/>
                <w:lang w:val="zh-CN"/>
              </w:rPr>
            </w:pPr>
            <w:r>
              <w:rPr>
                <w:rFonts w:hint="eastAsia"/>
                <w:color w:val="000000"/>
                <w:lang w:val="zh-CN"/>
              </w:rPr>
              <w:t>9</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4F8734A">
            <w:pPr>
              <w:pStyle w:val="11"/>
              <w:bidi w:val="0"/>
              <w:jc w:val="center"/>
              <w:rPr>
                <w:rFonts w:hint="eastAsia"/>
                <w:color w:val="000000"/>
                <w:lang w:val="zh-CN"/>
              </w:rPr>
            </w:pPr>
            <w:r>
              <w:rPr>
                <w:rFonts w:hint="eastAsia"/>
                <w:color w:val="000000"/>
                <w:lang w:val="zh-CN"/>
              </w:rPr>
              <w:t>8</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39FD18DC">
            <w:pPr>
              <w:pStyle w:val="11"/>
              <w:bidi w:val="0"/>
              <w:jc w:val="center"/>
              <w:rPr>
                <w:rFonts w:hint="eastAsia"/>
                <w:color w:val="000000"/>
                <w:lang w:val="zh-CN"/>
              </w:rPr>
            </w:pPr>
            <w:r>
              <w:rPr>
                <w:rFonts w:hint="eastAsia"/>
                <w:color w:val="000000"/>
                <w:lang w:val="zh-CN"/>
              </w:rPr>
              <w:t>镇政府</w:t>
            </w:r>
          </w:p>
        </w:tc>
      </w:tr>
      <w:tr w14:paraId="39A25A63">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F07836B">
            <w:pPr>
              <w:pStyle w:val="11"/>
              <w:bidi w:val="0"/>
              <w:jc w:val="center"/>
              <w:rPr>
                <w:rFonts w:hint="eastAsia"/>
                <w:color w:val="000000"/>
                <w:lang w:val="zh-CN"/>
              </w:rPr>
            </w:pPr>
            <w:r>
              <w:rPr>
                <w:rFonts w:hint="eastAsia"/>
                <w:color w:val="000000"/>
                <w:lang w:val="zh-CN"/>
              </w:rPr>
              <w:t>百顺镇科协</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4312C69">
            <w:pPr>
              <w:pStyle w:val="11"/>
              <w:bidi w:val="0"/>
              <w:jc w:val="center"/>
              <w:rPr>
                <w:rFonts w:hint="eastAsia"/>
                <w:color w:val="000000"/>
                <w:lang w:val="zh-CN"/>
              </w:rPr>
            </w:pPr>
            <w:r>
              <w:rPr>
                <w:rFonts w:hint="eastAsia"/>
                <w:color w:val="000000"/>
                <w:lang w:val="zh-CN"/>
              </w:rPr>
              <w:t>38</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170AE5A">
            <w:pPr>
              <w:pStyle w:val="11"/>
              <w:bidi w:val="0"/>
              <w:jc w:val="center"/>
              <w:rPr>
                <w:rFonts w:hint="eastAsia"/>
                <w:color w:val="000000"/>
              </w:rPr>
            </w:pP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9E230AA">
            <w:pPr>
              <w:pStyle w:val="11"/>
              <w:bidi w:val="0"/>
              <w:jc w:val="center"/>
              <w:rPr>
                <w:rFonts w:hint="eastAsia"/>
                <w:color w:val="000000"/>
                <w:lang w:val="zh-CN"/>
              </w:rPr>
            </w:pPr>
            <w:r>
              <w:rPr>
                <w:rFonts w:hint="eastAsia"/>
                <w:color w:val="000000"/>
                <w:lang w:val="zh-CN"/>
              </w:rPr>
              <w:t>3</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5641E53">
            <w:pPr>
              <w:pStyle w:val="11"/>
              <w:bidi w:val="0"/>
              <w:jc w:val="center"/>
              <w:rPr>
                <w:rFonts w:hint="eastAsia"/>
                <w:color w:val="000000"/>
                <w:lang w:val="zh-CN"/>
              </w:rPr>
            </w:pPr>
            <w:r>
              <w:rPr>
                <w:rFonts w:hint="eastAsia"/>
                <w:color w:val="000000"/>
                <w:lang w:val="zh-CN"/>
              </w:rPr>
              <w:t>20</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56E2E560">
            <w:pPr>
              <w:pStyle w:val="11"/>
              <w:bidi w:val="0"/>
              <w:jc w:val="center"/>
              <w:rPr>
                <w:rFonts w:hint="eastAsia"/>
                <w:color w:val="000000"/>
                <w:lang w:val="zh-CN"/>
              </w:rPr>
            </w:pPr>
            <w:r>
              <w:rPr>
                <w:rFonts w:hint="eastAsia"/>
                <w:color w:val="000000"/>
                <w:lang w:val="zh-CN"/>
              </w:rPr>
              <w:t>镇政府</w:t>
            </w:r>
          </w:p>
        </w:tc>
      </w:tr>
      <w:tr w14:paraId="67798ED7">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0D995A9">
            <w:pPr>
              <w:pStyle w:val="11"/>
              <w:bidi w:val="0"/>
              <w:jc w:val="center"/>
              <w:rPr>
                <w:rFonts w:hint="eastAsia"/>
                <w:color w:val="000000"/>
                <w:lang w:val="zh-CN"/>
              </w:rPr>
            </w:pPr>
            <w:r>
              <w:rPr>
                <w:rFonts w:hint="eastAsia"/>
                <w:color w:val="000000"/>
                <w:lang w:val="zh-CN"/>
              </w:rPr>
              <w:t>南亩镇科协</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AB70D91">
            <w:pPr>
              <w:pStyle w:val="11"/>
              <w:bidi w:val="0"/>
              <w:jc w:val="center"/>
              <w:rPr>
                <w:rFonts w:hint="eastAsia"/>
                <w:color w:val="000000"/>
                <w:lang w:val="zh-CN"/>
              </w:rPr>
            </w:pPr>
            <w:r>
              <w:rPr>
                <w:rFonts w:hint="eastAsia"/>
                <w:color w:val="000000"/>
                <w:lang w:val="zh-CN"/>
              </w:rPr>
              <w:t>32</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6A5B0BA">
            <w:pPr>
              <w:pStyle w:val="11"/>
              <w:bidi w:val="0"/>
              <w:jc w:val="center"/>
              <w:rPr>
                <w:rFonts w:hint="eastAsia"/>
                <w:color w:val="000000"/>
              </w:rPr>
            </w:pP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BF98D28">
            <w:pPr>
              <w:pStyle w:val="11"/>
              <w:bidi w:val="0"/>
              <w:jc w:val="center"/>
              <w:rPr>
                <w:rFonts w:hint="eastAsia"/>
                <w:color w:val="000000"/>
                <w:lang w:val="zh-CN"/>
              </w:rPr>
            </w:pPr>
            <w:r>
              <w:rPr>
                <w:rFonts w:hint="eastAsia"/>
                <w:color w:val="000000"/>
                <w:lang w:val="zh-CN"/>
              </w:rPr>
              <w:t>3</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06234CD">
            <w:pPr>
              <w:pStyle w:val="11"/>
              <w:bidi w:val="0"/>
              <w:jc w:val="center"/>
              <w:rPr>
                <w:rFonts w:hint="eastAsia"/>
                <w:color w:val="000000"/>
                <w:lang w:val="zh-CN"/>
              </w:rPr>
            </w:pPr>
            <w:r>
              <w:rPr>
                <w:rFonts w:hint="eastAsia"/>
                <w:color w:val="000000"/>
                <w:lang w:val="zh-CN"/>
              </w:rPr>
              <w:t>19</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073DC628">
            <w:pPr>
              <w:pStyle w:val="11"/>
              <w:bidi w:val="0"/>
              <w:jc w:val="center"/>
              <w:rPr>
                <w:rFonts w:hint="eastAsia"/>
                <w:color w:val="000000"/>
                <w:lang w:val="zh-CN"/>
              </w:rPr>
            </w:pPr>
            <w:r>
              <w:rPr>
                <w:rFonts w:hint="eastAsia"/>
                <w:color w:val="000000"/>
                <w:lang w:val="zh-CN"/>
              </w:rPr>
              <w:t>镇政府</w:t>
            </w:r>
          </w:p>
        </w:tc>
      </w:tr>
      <w:tr w14:paraId="2E83922C">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97282F7">
            <w:pPr>
              <w:pStyle w:val="11"/>
              <w:bidi w:val="0"/>
              <w:jc w:val="center"/>
              <w:rPr>
                <w:rFonts w:hint="eastAsia"/>
                <w:color w:val="000000"/>
                <w:lang w:val="zh-CN"/>
              </w:rPr>
            </w:pPr>
            <w:r>
              <w:rPr>
                <w:rFonts w:hint="eastAsia"/>
                <w:color w:val="000000"/>
                <w:lang w:val="zh-CN"/>
              </w:rPr>
              <w:t>江头镇科协</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6F92BC9">
            <w:pPr>
              <w:pStyle w:val="11"/>
              <w:bidi w:val="0"/>
              <w:jc w:val="center"/>
              <w:rPr>
                <w:rFonts w:hint="eastAsia"/>
                <w:color w:val="000000"/>
                <w:lang w:val="zh-CN"/>
              </w:rPr>
            </w:pPr>
            <w:r>
              <w:rPr>
                <w:rFonts w:hint="eastAsia"/>
                <w:color w:val="000000"/>
                <w:lang w:val="zh-CN"/>
              </w:rPr>
              <w:t>62</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172E514">
            <w:pPr>
              <w:pStyle w:val="11"/>
              <w:bidi w:val="0"/>
              <w:jc w:val="center"/>
              <w:rPr>
                <w:rFonts w:hint="eastAsia"/>
                <w:color w:val="000000"/>
              </w:rPr>
            </w:pP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3600A55">
            <w:pPr>
              <w:pStyle w:val="11"/>
              <w:bidi w:val="0"/>
              <w:jc w:val="center"/>
              <w:rPr>
                <w:rFonts w:hint="eastAsia"/>
                <w:color w:val="000000"/>
                <w:lang w:val="zh-CN"/>
              </w:rPr>
            </w:pPr>
            <w:r>
              <w:rPr>
                <w:rFonts w:hint="eastAsia"/>
                <w:color w:val="000000"/>
                <w:lang w:val="zh-CN"/>
              </w:rPr>
              <w:t>7</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5B98F688">
            <w:pPr>
              <w:pStyle w:val="11"/>
              <w:bidi w:val="0"/>
              <w:jc w:val="center"/>
              <w:rPr>
                <w:rFonts w:hint="eastAsia"/>
                <w:color w:val="000000"/>
                <w:lang w:val="zh-CN"/>
              </w:rPr>
            </w:pPr>
            <w:r>
              <w:rPr>
                <w:rFonts w:hint="eastAsia"/>
                <w:color w:val="000000"/>
                <w:lang w:val="zh-CN"/>
              </w:rPr>
              <w:t>22</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70511F67">
            <w:pPr>
              <w:pStyle w:val="11"/>
              <w:bidi w:val="0"/>
              <w:jc w:val="center"/>
              <w:rPr>
                <w:rFonts w:hint="eastAsia"/>
                <w:color w:val="000000"/>
                <w:lang w:val="zh-CN"/>
              </w:rPr>
            </w:pPr>
            <w:r>
              <w:rPr>
                <w:rFonts w:hint="eastAsia"/>
                <w:color w:val="000000"/>
                <w:lang w:val="zh-CN"/>
              </w:rPr>
              <w:t>镇政府</w:t>
            </w:r>
          </w:p>
        </w:tc>
      </w:tr>
      <w:tr w14:paraId="062126A5">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7EF2574">
            <w:pPr>
              <w:pStyle w:val="11"/>
              <w:bidi w:val="0"/>
              <w:jc w:val="center"/>
              <w:rPr>
                <w:rFonts w:hint="eastAsia"/>
                <w:color w:val="000000"/>
                <w:lang w:val="zh-CN"/>
              </w:rPr>
            </w:pPr>
            <w:r>
              <w:rPr>
                <w:rFonts w:hint="eastAsia"/>
                <w:color w:val="000000"/>
                <w:lang w:val="zh-CN"/>
              </w:rPr>
              <w:t>养蜂协会</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BF036C4">
            <w:pPr>
              <w:pStyle w:val="11"/>
              <w:bidi w:val="0"/>
              <w:jc w:val="center"/>
              <w:rPr>
                <w:rFonts w:hint="eastAsia"/>
                <w:color w:val="000000"/>
                <w:lang w:val="zh-CN"/>
              </w:rPr>
            </w:pPr>
            <w:r>
              <w:rPr>
                <w:rFonts w:hint="eastAsia"/>
                <w:color w:val="000000"/>
                <w:lang w:val="zh-CN"/>
              </w:rPr>
              <w:t>45</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34DF251">
            <w:pPr>
              <w:pStyle w:val="11"/>
              <w:bidi w:val="0"/>
              <w:jc w:val="center"/>
              <w:rPr>
                <w:rFonts w:hint="eastAsia"/>
                <w:color w:val="000000"/>
              </w:rPr>
            </w:pP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6B5F19C">
            <w:pPr>
              <w:pStyle w:val="11"/>
              <w:bidi w:val="0"/>
              <w:jc w:val="center"/>
              <w:rPr>
                <w:rFonts w:hint="eastAsia"/>
                <w:color w:val="000000"/>
                <w:lang w:val="zh-CN"/>
              </w:rPr>
            </w:pPr>
            <w:r>
              <w:rPr>
                <w:rFonts w:hint="eastAsia"/>
                <w:color w:val="000000"/>
                <w:lang w:val="zh-CN"/>
              </w:rPr>
              <w:t>2</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E627897">
            <w:pPr>
              <w:pStyle w:val="11"/>
              <w:bidi w:val="0"/>
              <w:jc w:val="center"/>
              <w:rPr>
                <w:rFonts w:hint="eastAsia"/>
                <w:color w:val="000000"/>
                <w:lang w:val="zh-CN"/>
              </w:rPr>
            </w:pPr>
            <w:r>
              <w:rPr>
                <w:rFonts w:hint="eastAsia"/>
                <w:color w:val="000000"/>
                <w:lang w:val="zh-CN"/>
              </w:rPr>
              <w:t>16</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07E6A01A">
            <w:pPr>
              <w:pStyle w:val="11"/>
              <w:bidi w:val="0"/>
              <w:jc w:val="center"/>
              <w:rPr>
                <w:rFonts w:hint="eastAsia"/>
                <w:color w:val="000000"/>
                <w:lang w:val="zh-CN"/>
              </w:rPr>
            </w:pPr>
            <w:r>
              <w:rPr>
                <w:rFonts w:hint="eastAsia"/>
                <w:color w:val="000000"/>
                <w:lang w:val="zh-CN"/>
              </w:rPr>
              <w:t>湖口镇</w:t>
            </w:r>
          </w:p>
        </w:tc>
      </w:tr>
      <w:tr w14:paraId="271CD2F5">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B4C1FFF">
            <w:pPr>
              <w:pStyle w:val="11"/>
              <w:bidi w:val="0"/>
              <w:jc w:val="center"/>
              <w:rPr>
                <w:rFonts w:hint="eastAsia"/>
                <w:color w:val="000000"/>
                <w:lang w:val="zh-CN"/>
              </w:rPr>
            </w:pPr>
            <w:r>
              <w:rPr>
                <w:rFonts w:hint="eastAsia"/>
                <w:color w:val="000000"/>
                <w:lang w:val="zh-CN"/>
              </w:rPr>
              <w:t>黑山羊协会</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1B78CF3">
            <w:pPr>
              <w:pStyle w:val="11"/>
              <w:bidi w:val="0"/>
              <w:jc w:val="center"/>
              <w:rPr>
                <w:rFonts w:hint="eastAsia"/>
                <w:color w:val="000000"/>
                <w:lang w:val="zh-CN"/>
              </w:rPr>
            </w:pPr>
            <w:r>
              <w:rPr>
                <w:rFonts w:hint="eastAsia"/>
                <w:color w:val="000000"/>
                <w:lang w:val="zh-CN"/>
              </w:rPr>
              <w:t>21</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9731539">
            <w:pPr>
              <w:pStyle w:val="11"/>
              <w:bidi w:val="0"/>
              <w:jc w:val="center"/>
              <w:rPr>
                <w:rFonts w:hint="eastAsia"/>
                <w:color w:val="000000"/>
              </w:rPr>
            </w:pP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5A61B12E">
            <w:pPr>
              <w:pStyle w:val="11"/>
              <w:bidi w:val="0"/>
              <w:jc w:val="center"/>
              <w:rPr>
                <w:rFonts w:hint="eastAsia"/>
                <w:color w:val="000000"/>
                <w:lang w:val="zh-CN"/>
              </w:rPr>
            </w:pPr>
            <w:r>
              <w:rPr>
                <w:rFonts w:hint="eastAsia"/>
                <w:color w:val="000000"/>
                <w:lang w:val="zh-CN"/>
              </w:rPr>
              <w:t>3</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B4BA2A7">
            <w:pPr>
              <w:pStyle w:val="11"/>
              <w:bidi w:val="0"/>
              <w:jc w:val="center"/>
              <w:rPr>
                <w:rFonts w:hint="eastAsia"/>
                <w:color w:val="000000"/>
                <w:lang w:val="zh-CN"/>
              </w:rPr>
            </w:pPr>
            <w:r>
              <w:rPr>
                <w:rFonts w:hint="eastAsia"/>
                <w:color w:val="000000"/>
                <w:lang w:val="zh-CN"/>
              </w:rPr>
              <w:t>14</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2536D679">
            <w:pPr>
              <w:pStyle w:val="11"/>
              <w:bidi w:val="0"/>
              <w:jc w:val="center"/>
              <w:rPr>
                <w:rFonts w:hint="eastAsia"/>
                <w:color w:val="000000"/>
                <w:lang w:val="zh-CN"/>
              </w:rPr>
            </w:pPr>
            <w:r>
              <w:rPr>
                <w:rFonts w:hint="eastAsia"/>
                <w:color w:val="000000"/>
                <w:lang w:val="zh-CN"/>
              </w:rPr>
              <w:t>江头镇</w:t>
            </w:r>
          </w:p>
        </w:tc>
      </w:tr>
      <w:tr w14:paraId="2A8A9C64">
        <w:tblPrEx>
          <w:tblCellMar>
            <w:top w:w="0" w:type="dxa"/>
            <w:left w:w="0" w:type="dxa"/>
            <w:bottom w:w="0" w:type="dxa"/>
            <w:right w:w="0" w:type="dxa"/>
          </w:tblCellMar>
        </w:tblPrEx>
        <w:trPr>
          <w:trHeight w:val="396" w:hRule="atLeast"/>
        </w:trPr>
        <w:tc>
          <w:tcPr>
            <w:tcW w:w="99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2A23EC1">
            <w:pPr>
              <w:pStyle w:val="11"/>
              <w:bidi w:val="0"/>
              <w:jc w:val="center"/>
              <w:rPr>
                <w:rFonts w:hint="eastAsia"/>
                <w:color w:val="000000"/>
                <w:lang w:val="zh-CN"/>
              </w:rPr>
            </w:pPr>
            <w:r>
              <w:rPr>
                <w:rFonts w:hint="eastAsia"/>
                <w:color w:val="000000"/>
                <w:lang w:val="zh-CN"/>
              </w:rPr>
              <w:t>合计</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C8098EC">
            <w:pPr>
              <w:pStyle w:val="11"/>
              <w:bidi w:val="0"/>
              <w:jc w:val="center"/>
              <w:rPr>
                <w:rFonts w:hint="eastAsia"/>
                <w:color w:val="000000"/>
                <w:lang w:val="zh-CN"/>
              </w:rPr>
            </w:pPr>
            <w:r>
              <w:rPr>
                <w:rFonts w:hint="eastAsia"/>
                <w:color w:val="000000"/>
                <w:lang w:val="zh-CN"/>
              </w:rPr>
              <w:t>2506</w:t>
            </w:r>
          </w:p>
        </w:tc>
        <w:tc>
          <w:tcPr>
            <w:tcW w:w="83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6316CE9">
            <w:pPr>
              <w:pStyle w:val="11"/>
              <w:bidi w:val="0"/>
              <w:jc w:val="center"/>
              <w:rPr>
                <w:rFonts w:hint="eastAsia"/>
                <w:color w:val="000000"/>
                <w:lang w:val="zh-CN"/>
              </w:rPr>
            </w:pPr>
            <w:r>
              <w:rPr>
                <w:rFonts w:hint="eastAsia"/>
                <w:color w:val="000000"/>
                <w:lang w:val="zh-CN"/>
              </w:rPr>
              <w:t>69</w:t>
            </w:r>
          </w:p>
        </w:tc>
        <w:tc>
          <w:tcPr>
            <w:tcW w:w="83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A7C7153">
            <w:pPr>
              <w:pStyle w:val="11"/>
              <w:bidi w:val="0"/>
              <w:jc w:val="center"/>
              <w:rPr>
                <w:rFonts w:hint="eastAsia"/>
                <w:color w:val="000000"/>
                <w:lang w:val="zh-CN"/>
              </w:rPr>
            </w:pPr>
            <w:r>
              <w:rPr>
                <w:rFonts w:hint="eastAsia"/>
                <w:color w:val="000000"/>
                <w:lang w:val="zh-CN"/>
              </w:rPr>
              <w:t>400</w:t>
            </w:r>
          </w:p>
        </w:tc>
        <w:tc>
          <w:tcPr>
            <w:tcW w:w="8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A754426">
            <w:pPr>
              <w:pStyle w:val="11"/>
              <w:bidi w:val="0"/>
              <w:jc w:val="center"/>
              <w:rPr>
                <w:rFonts w:hint="eastAsia"/>
                <w:color w:val="000000"/>
                <w:lang w:val="zh-CN"/>
              </w:rPr>
            </w:pPr>
            <w:r>
              <w:rPr>
                <w:rFonts w:hint="eastAsia"/>
                <w:color w:val="000000"/>
                <w:lang w:val="zh-CN"/>
              </w:rPr>
              <w:t>1470</w:t>
            </w:r>
          </w:p>
        </w:tc>
        <w:tc>
          <w:tcPr>
            <w:tcW w:w="833"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10FA3D85">
            <w:pPr>
              <w:pStyle w:val="11"/>
              <w:bidi w:val="0"/>
              <w:jc w:val="center"/>
              <w:rPr>
                <w:rFonts w:hint="eastAsia"/>
                <w:color w:val="000000"/>
              </w:rPr>
            </w:pPr>
          </w:p>
        </w:tc>
      </w:tr>
    </w:tbl>
    <w:p w14:paraId="58CC8A61">
      <w:pPr>
        <w:pStyle w:val="4"/>
        <w:bidi w:val="0"/>
        <w:rPr>
          <w:rFonts w:hint="eastAsia"/>
          <w:lang w:val="zh-CN"/>
        </w:rPr>
      </w:pPr>
      <w:r>
        <w:rPr>
          <w:rFonts w:hint="eastAsia"/>
          <w:lang w:val="zh-CN"/>
        </w:rPr>
        <w:t>【科普惠民活动】</w:t>
      </w:r>
    </w:p>
    <w:p w14:paraId="6206D175">
      <w:pPr>
        <w:bidi w:val="0"/>
        <w:rPr>
          <w:rFonts w:hint="eastAsia"/>
          <w:lang w:val="zh-CN"/>
        </w:rPr>
      </w:pPr>
      <w:r>
        <w:rPr>
          <w:rFonts w:hint="eastAsia"/>
          <w:lang w:val="zh-CN"/>
        </w:rPr>
        <w:t>组织由农技专家、专业带头人为主要成员，农村“农业土专家”组成的“新型职业农民培训专家讲师团”，采取“固定课堂”“田间课堂”“基地课堂”“流动课堂”等进行培训。市农业局、畜牧科技部门针对种植户、养殖户对发展现代生态型种植业、畜牧业的要求，先后举办蜜蜂养殖、果树种植、优质稻发展、生态环保型畜牧业技术培训班，并将科技培训引入“精准扶贫”。市精准办聘请养蜂能手、专家分配到18个乡镇街道的各个村委会，向全市养蜂户传授养殖技术，并现场解答养蜂户在生产中遇到的技术难题。同时，加强对农村电商服务中心建设，对种植养殖生产带头人进行电商技能培训，让他们带头借助电商平台触网销售产品。2018年涉农部门、各镇、街道办事处培训农民2000人次以上。市孔江湿地公园被评为科普教育基地先进集体。市科协举办“全国科普活动日——文化、科技、卫生下乡”活动。组织中医、西医、妇科、儿科等方面的医科专家，以及科普志愿者60人参与下乡，分别在珠玑、湖口、帽子峰等镇免费为600多名群众做健康检查，现场为群众量血压、分析解答群众病情，免费为群众用药，并举办科普图片展览，向群众发放医药科普资料1000多份。开展科普进社区活动，通过板报、电子屏、发放宣传单和宣传资料等多种媒介向广大居民宣传食品安全知识。同时开展绿色、低碳、健康、文明、节约能源、保护环境的科普宣传活动：免费向群众发放《健康知识》《生活中的科学知多少》《节水知识手册》等多种科普宣传资料1000余册，接受群众现场咨询500人次。一年来开展大型科普宣传2次。实施“科普惠农兴村计划”，扶持和培育农村专业技术协会。市科协组织将孔江湿地公园申报为“韶关市科普示范教育基地”。</w:t>
      </w:r>
    </w:p>
    <w:p w14:paraId="1C7A8BE1">
      <w:pPr>
        <w:pStyle w:val="4"/>
        <w:bidi w:val="0"/>
        <w:rPr>
          <w:rFonts w:hint="eastAsia"/>
          <w:lang w:val="zh-CN"/>
        </w:rPr>
      </w:pPr>
      <w:r>
        <w:rPr>
          <w:rFonts w:hint="eastAsia"/>
          <w:lang w:val="zh-CN"/>
        </w:rPr>
        <w:t>【科普事业发展】</w:t>
      </w:r>
    </w:p>
    <w:p w14:paraId="58BBF0CD">
      <w:pPr>
        <w:bidi w:val="0"/>
        <w:rPr>
          <w:rFonts w:hint="eastAsia"/>
          <w:lang w:val="zh-CN"/>
        </w:rPr>
      </w:pPr>
      <w:r>
        <w:rPr>
          <w:rFonts w:hint="eastAsia"/>
          <w:lang w:val="zh-CN"/>
        </w:rPr>
        <w:t>市科协联合文化、教育、卫生、农业局等单位，举办南雄市文化、科技、卫生“三下乡”活动，推动《全民科学素质纲要》在全社会的贯彻。开展“全国科普月”。科普活动包括科普讲座、科普报告会、科普知识竞赛、科普知识宣传等。使“保护生环境，建设美丽中国”成为每个人的自觉行动，努力营造一个全方位、立体化的大科普工作氛围。与市广播电视台共同开办《科普大蓬车》栏目，制作的《黄烟科技窗》节目，每周播放一期，以寓教于乐的形式，把科普知识送到千家万户，帮助农村和农民解决黄烟生产中的难题。</w:t>
      </w:r>
    </w:p>
    <w:p w14:paraId="16904787">
      <w:pPr>
        <w:bidi w:val="0"/>
        <w:rPr>
          <w:rFonts w:hint="eastAsia"/>
          <w:lang w:val="zh-CN"/>
        </w:rPr>
      </w:pPr>
      <w:r>
        <w:rPr>
          <w:rFonts w:hint="eastAsia"/>
          <w:lang w:val="zh-CN"/>
        </w:rPr>
        <w:t>市科协利用现有科普画廊张贴挂图，进行节约能源资源、保护人类生态环境、安全健康等科普宣传，如《低碳生活在身边》《节约用电小窍门》《野外逃生技能》《儿童口手足病预防》《泥石流等自然灾害预防基本知识》。让市民在直观浅显的图例中学到科普知识。</w:t>
      </w:r>
    </w:p>
    <w:p w14:paraId="1D8A89A8">
      <w:pPr>
        <w:pStyle w:val="4"/>
        <w:bidi w:val="0"/>
        <w:rPr>
          <w:rFonts w:hint="eastAsia"/>
          <w:lang w:val="zh-CN"/>
        </w:rPr>
      </w:pPr>
      <w:r>
        <w:rPr>
          <w:rFonts w:hint="eastAsia"/>
          <w:lang w:val="zh-CN"/>
        </w:rPr>
        <w:t>【科普进校园活动】</w:t>
      </w:r>
    </w:p>
    <w:p w14:paraId="72BD4722">
      <w:pPr>
        <w:bidi w:val="0"/>
        <w:rPr>
          <w:rFonts w:hint="eastAsia"/>
          <w:lang w:val="zh-CN"/>
        </w:rPr>
      </w:pPr>
      <w:r>
        <w:rPr>
          <w:rFonts w:hint="eastAsia"/>
          <w:lang w:val="zh-CN"/>
        </w:rPr>
        <w:t>市科协高度重视青少年科技活动的开展。中国流动科技馆南雄巡展活动于8月14日至11月5日（为期3个月）在南雄市一小开馆展出。活动以“体验科学、探究科学”为主题，展出面积600平方米，设置“声光体验”“健康生活”“数学魅力”等主题展区，50余件经典互动展品与机器人等科学表演相结合。为了丰富活动内容，活动还开展流动科技馆问卷调查，抒发对科学体验的感想，受参观者欢迎。活动向全市青少年及社会公众开放3个月，全市各中小学校高年级师生和社会公众5.31万人次参观巡展。</w:t>
      </w:r>
    </w:p>
    <w:p w14:paraId="5C600C37">
      <w:pPr>
        <w:bidi w:val="0"/>
        <w:jc w:val="right"/>
        <w:rPr>
          <w:rFonts w:hint="eastAsia"/>
          <w:b/>
          <w:bCs/>
          <w:lang w:val="zh-CN"/>
        </w:rPr>
      </w:pPr>
      <w:r>
        <w:rPr>
          <w:rFonts w:hint="eastAsia"/>
          <w:b/>
          <w:bCs/>
          <w:lang w:val="zh-CN"/>
        </w:rPr>
        <w:t>（杨小凤）</w:t>
      </w:r>
    </w:p>
    <w:p w14:paraId="10B40071">
      <w:pPr>
        <w:pStyle w:val="11"/>
        <w:bidi w:val="0"/>
        <w:rPr>
          <w:rFonts w:hint="eastAsia"/>
          <w:b/>
          <w:bCs/>
          <w:lang w:val="zh-CN"/>
        </w:rPr>
      </w:pPr>
      <w:r>
        <w:rPr>
          <w:rFonts w:hint="eastAsia"/>
          <w:b/>
          <w:bCs/>
          <w:lang w:val="zh-CN"/>
        </w:rPr>
        <w:t>附：2017年市科协领导班子成员名单</w:t>
      </w:r>
    </w:p>
    <w:p w14:paraId="77735D95">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席：</w:t>
      </w:r>
      <w:r>
        <w:rPr>
          <w:rFonts w:hint="eastAsia"/>
          <w:lang w:val="zh-CN"/>
        </w:rPr>
        <w:t>吴美华</w:t>
      </w:r>
    </w:p>
    <w:p w14:paraId="575468F8">
      <w:pPr>
        <w:pStyle w:val="11"/>
        <w:bidi w:val="0"/>
        <w:rPr>
          <w:rFonts w:hint="eastAsia"/>
          <w:lang w:val="zh-CN"/>
        </w:rPr>
      </w:pPr>
      <w:r>
        <w:rPr>
          <w:rFonts w:hint="eastAsia"/>
          <w:b/>
          <w:bCs/>
          <w:lang w:val="zh-CN"/>
        </w:rPr>
        <w:t>副主席：</w:t>
      </w:r>
      <w:r>
        <w:rPr>
          <w:rFonts w:hint="eastAsia"/>
          <w:lang w:val="zh-CN"/>
        </w:rPr>
        <w:t>董书祥</w:t>
      </w:r>
    </w:p>
    <w:p w14:paraId="5C9A787A">
      <w:pPr>
        <w:pStyle w:val="3"/>
        <w:bidi w:val="0"/>
        <w:rPr>
          <w:rFonts w:hint="eastAsia"/>
          <w:lang w:val="zh-CN"/>
        </w:rPr>
      </w:pPr>
      <w:r>
        <w:rPr>
          <w:rFonts w:hint="eastAsia"/>
          <w:lang w:val="zh-CN"/>
        </w:rPr>
        <w:t>南雄市文学艺术界联合会</w:t>
      </w:r>
    </w:p>
    <w:p w14:paraId="2EBCED7D">
      <w:pPr>
        <w:pStyle w:val="4"/>
        <w:bidi w:val="0"/>
        <w:rPr>
          <w:rFonts w:hint="eastAsia"/>
          <w:lang w:val="zh-CN"/>
        </w:rPr>
      </w:pPr>
      <w:r>
        <w:rPr>
          <w:rFonts w:hint="eastAsia"/>
          <w:lang w:val="zh-CN"/>
        </w:rPr>
        <w:t>【概况】</w:t>
      </w:r>
    </w:p>
    <w:p w14:paraId="52107FD5">
      <w:pPr>
        <w:bidi w:val="0"/>
        <w:rPr>
          <w:rFonts w:hint="eastAsia"/>
          <w:lang w:val="zh-CN"/>
        </w:rPr>
      </w:pPr>
      <w:r>
        <w:rPr>
          <w:rFonts w:hint="eastAsia"/>
          <w:lang w:val="zh-CN"/>
        </w:rPr>
        <w:t>南雄市文学艺术界联合会为正科级群众团体单位，编制2名。2018年有属下美术协会、书法家协会、老年书法协会、音乐舞蹈戏剧协会、摄影家协会、诗词学会、观赏石协会、演讲与口才协会、硬笔书法协会、作家协会、民间文艺家协会和新时代艺术交流协会等12个协会，出版《珠玑文艺》1期、《南雄硬笔书法》1期，开展大型文艺活动3场、各种展览6场次。</w:t>
      </w:r>
    </w:p>
    <w:p w14:paraId="3F63FF03">
      <w:pPr>
        <w:pStyle w:val="4"/>
        <w:bidi w:val="0"/>
        <w:rPr>
          <w:rFonts w:hint="eastAsia"/>
          <w:lang w:val="zh-CN"/>
        </w:rPr>
      </w:pPr>
      <w:r>
        <w:rPr>
          <w:rFonts w:hint="eastAsia"/>
          <w:lang w:val="zh-CN"/>
        </w:rPr>
        <w:t>【主要文艺活动】</w:t>
      </w:r>
    </w:p>
    <w:p w14:paraId="0380A835">
      <w:pPr>
        <w:bidi w:val="0"/>
        <w:rPr>
          <w:rFonts w:hint="eastAsia"/>
          <w:lang w:val="zh-CN"/>
        </w:rPr>
      </w:pPr>
      <w:r>
        <w:rPr>
          <w:rFonts w:hint="eastAsia"/>
          <w:lang w:val="zh-CN"/>
        </w:rPr>
        <w:t>1月，在市区雄州公园广场、黎口村、坪田镇、水口镇等地举行送春联迎新春活动，送出春联5000多副；春节期间，在三影塔广场、时代广场、广州会馆、博物馆举办2018年迎春摄影作品展、美术作品展、书法作品、赏石展等活动。</w:t>
      </w:r>
    </w:p>
    <w:p w14:paraId="4B40C22C">
      <w:pPr>
        <w:bidi w:val="0"/>
        <w:rPr>
          <w:rFonts w:hint="eastAsia"/>
          <w:lang w:val="zh-CN"/>
        </w:rPr>
      </w:pPr>
      <w:r>
        <w:rPr>
          <w:rFonts w:hint="eastAsia"/>
          <w:lang w:val="zh-CN"/>
        </w:rPr>
        <w:t>2月，广州会馆举办美术协会2018年迎春美术展。</w:t>
      </w:r>
    </w:p>
    <w:p w14:paraId="48AA32F9">
      <w:pPr>
        <w:bidi w:val="0"/>
        <w:rPr>
          <w:rFonts w:hint="eastAsia"/>
          <w:lang w:val="zh-CN"/>
        </w:rPr>
      </w:pPr>
      <w:r>
        <w:rPr>
          <w:rFonts w:hint="eastAsia"/>
          <w:lang w:val="zh-CN"/>
        </w:rPr>
        <w:t>3月，雄州公园开展“迎新春庆元宵”文艺演出活动。</w:t>
      </w:r>
    </w:p>
    <w:p w14:paraId="34D10533">
      <w:pPr>
        <w:bidi w:val="0"/>
        <w:rPr>
          <w:rFonts w:hint="eastAsia"/>
          <w:lang w:val="zh-CN"/>
        </w:rPr>
      </w:pPr>
      <w:r>
        <w:rPr>
          <w:rFonts w:hint="eastAsia"/>
          <w:lang w:val="zh-CN"/>
        </w:rPr>
        <w:t>5月，组织音乐协会歌手参加在雄州公园举办的“南雄市警民同心共筑中国梦”文艺活动。</w:t>
      </w:r>
    </w:p>
    <w:p w14:paraId="50A8F595">
      <w:pPr>
        <w:bidi w:val="0"/>
        <w:rPr>
          <w:rFonts w:hint="eastAsia"/>
          <w:lang w:val="zh-CN"/>
        </w:rPr>
      </w:pPr>
      <w:r>
        <w:rPr>
          <w:rFonts w:hint="eastAsia"/>
          <w:lang w:val="zh-CN"/>
        </w:rPr>
        <w:t>6月，组织诗词学会和音乐舞蹈戏剧协会在雄州街道河南街天悦湾小区举办我们的节日——“经典咏流传”端午节民俗文化文艺活动。</w:t>
      </w:r>
    </w:p>
    <w:p w14:paraId="7FBAED47">
      <w:pPr>
        <w:bidi w:val="0"/>
        <w:rPr>
          <w:rFonts w:hint="eastAsia"/>
          <w:lang w:val="zh-CN"/>
        </w:rPr>
      </w:pPr>
      <w:r>
        <w:rPr>
          <w:rFonts w:hint="eastAsia"/>
          <w:lang w:val="zh-CN"/>
        </w:rPr>
        <w:t>8月，在广州会馆举办南雄红色文艺轻骑兵庆“八一”歌咏会活动。</w:t>
      </w:r>
    </w:p>
    <w:p w14:paraId="4AB197A4">
      <w:pPr>
        <w:bidi w:val="0"/>
        <w:rPr>
          <w:rFonts w:hint="eastAsia"/>
          <w:lang w:val="zh-CN"/>
        </w:rPr>
      </w:pPr>
      <w:r>
        <w:rPr>
          <w:rFonts w:hint="eastAsia"/>
          <w:lang w:val="zh-CN"/>
        </w:rPr>
        <w:t>9月，在珠玑古巷举办南粤古驿道·南雄梅关—乌迳古驿道文创活动。9月20日，庆祝首届农民丰收节暨百姓艺术健康舞走进革命老区水口镇展演。</w:t>
      </w:r>
    </w:p>
    <w:p w14:paraId="5996227A">
      <w:pPr>
        <w:pStyle w:val="4"/>
        <w:bidi w:val="0"/>
        <w:rPr>
          <w:rFonts w:hint="eastAsia"/>
          <w:lang w:val="zh-CN"/>
        </w:rPr>
      </w:pPr>
      <w:r>
        <w:rPr>
          <w:rFonts w:hint="eastAsia"/>
          <w:lang w:val="zh-CN"/>
        </w:rPr>
        <w:t>【文学创作】</w:t>
      </w:r>
    </w:p>
    <w:p w14:paraId="5BED6DE4">
      <w:pPr>
        <w:bidi w:val="0"/>
        <w:rPr>
          <w:rFonts w:hint="eastAsia"/>
          <w:lang w:val="zh-CN"/>
        </w:rPr>
      </w:pPr>
      <w:r>
        <w:rPr>
          <w:rFonts w:hint="eastAsia"/>
          <w:lang w:val="zh-CN"/>
        </w:rPr>
        <w:t>2018年作协收集会员专题作品86篇，采风活动作品42篇，县级刊物发表89篇，地级市刊物刊用发表70篇，省级刊物刊用发表10篇，在各大网站发表的文学作品100篇。老年书法协会钟俊华书法作品入展“庆祝改革开放四十周年—广东书法大展”。</w:t>
      </w:r>
    </w:p>
    <w:p w14:paraId="3CC135A5">
      <w:pPr>
        <w:bidi w:val="0"/>
        <w:jc w:val="right"/>
        <w:rPr>
          <w:rFonts w:hint="eastAsia"/>
          <w:b/>
          <w:bCs/>
          <w:lang w:val="zh-CN"/>
        </w:rPr>
      </w:pPr>
      <w:r>
        <w:rPr>
          <w:rFonts w:hint="eastAsia"/>
          <w:b/>
          <w:bCs/>
          <w:lang w:val="zh-CN"/>
        </w:rPr>
        <w:t>（郭盛斌）</w:t>
      </w:r>
    </w:p>
    <w:p w14:paraId="53F9A52E">
      <w:pPr>
        <w:pStyle w:val="11"/>
        <w:bidi w:val="0"/>
        <w:rPr>
          <w:rFonts w:hint="eastAsia"/>
          <w:b/>
          <w:bCs/>
          <w:lang w:val="zh-CN"/>
        </w:rPr>
      </w:pPr>
      <w:r>
        <w:rPr>
          <w:rFonts w:hint="eastAsia"/>
          <w:b/>
          <w:bCs/>
          <w:lang w:val="zh-CN"/>
        </w:rPr>
        <w:t>附：2018年市文联领导班子成员名单</w:t>
      </w:r>
    </w:p>
    <w:p w14:paraId="2D8725FB">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席：</w:t>
      </w:r>
      <w:r>
        <w:rPr>
          <w:rFonts w:hint="eastAsia"/>
          <w:lang w:val="zh-CN"/>
        </w:rPr>
        <w:t>沈青松</w:t>
      </w:r>
    </w:p>
    <w:p w14:paraId="4BB89B2E">
      <w:pPr>
        <w:pStyle w:val="3"/>
        <w:bidi w:val="0"/>
        <w:rPr>
          <w:rFonts w:hint="eastAsia"/>
          <w:lang w:val="zh-CN"/>
        </w:rPr>
      </w:pPr>
      <w:r>
        <w:rPr>
          <w:rFonts w:hint="eastAsia"/>
          <w:lang w:val="zh-CN"/>
        </w:rPr>
        <w:t>南雄市社会科学界联合会</w:t>
      </w:r>
    </w:p>
    <w:p w14:paraId="63361479">
      <w:pPr>
        <w:pStyle w:val="4"/>
        <w:bidi w:val="0"/>
        <w:rPr>
          <w:rFonts w:hint="eastAsia"/>
          <w:lang w:val="zh-CN"/>
        </w:rPr>
      </w:pPr>
      <w:r>
        <w:rPr>
          <w:rFonts w:hint="eastAsia"/>
          <w:lang w:val="zh-CN"/>
        </w:rPr>
        <w:t>【概况】</w:t>
      </w:r>
    </w:p>
    <w:p w14:paraId="2ECDB27C">
      <w:pPr>
        <w:bidi w:val="0"/>
        <w:rPr>
          <w:rFonts w:hint="eastAsia"/>
          <w:lang w:val="zh-CN"/>
        </w:rPr>
      </w:pPr>
      <w:r>
        <w:rPr>
          <w:rFonts w:hint="eastAsia"/>
          <w:lang w:val="zh-CN"/>
        </w:rPr>
        <w:t>南雄市社会科学联合会是南雄市从事社会科学研究、普及的正科级参公单位，编制2名。</w:t>
      </w:r>
    </w:p>
    <w:p w14:paraId="0AABF000">
      <w:pPr>
        <w:pStyle w:val="4"/>
        <w:bidi w:val="0"/>
        <w:rPr>
          <w:rFonts w:hint="eastAsia"/>
          <w:lang w:val="zh-CN"/>
        </w:rPr>
      </w:pPr>
      <w:r>
        <w:rPr>
          <w:rFonts w:hint="eastAsia"/>
          <w:lang w:val="zh-CN"/>
        </w:rPr>
        <w:t>【社科课题研究和项目申报】</w:t>
      </w:r>
    </w:p>
    <w:p w14:paraId="66680388">
      <w:pPr>
        <w:bidi w:val="0"/>
        <w:rPr>
          <w:rFonts w:hint="eastAsia"/>
          <w:lang w:val="zh-CN"/>
        </w:rPr>
      </w:pPr>
      <w:r>
        <w:rPr>
          <w:rFonts w:hint="eastAsia"/>
          <w:lang w:val="zh-CN"/>
        </w:rPr>
        <w:t>组织各学会、协会及相关单位开展“韶关社科普及规划项目申报立项”、2018年度项目申报和市社科联年度重点研究课题立项申报等工作。积极收集南雄社科著作、书刊、文章上送，社科参评书籍8本。推荐1人加入韶关文化研究学会。同时，配合南雄市委主要工作，争取广东省社科联和韶关市社科联立项、拨款支持，组织相关专家学者搜集、整理、论证、撰写3.5万字的《南雄红色旅游发展研究》已经出版。该书翔实地记录了南雄红色文化渊源的历史由来、数百年经久发展、表现形式。</w:t>
      </w:r>
    </w:p>
    <w:p w14:paraId="1CD80345">
      <w:pPr>
        <w:pStyle w:val="4"/>
        <w:bidi w:val="0"/>
        <w:rPr>
          <w:rFonts w:hint="eastAsia"/>
          <w:lang w:val="zh-CN"/>
        </w:rPr>
      </w:pPr>
      <w:r>
        <w:rPr>
          <w:rFonts w:hint="eastAsia"/>
          <w:lang w:val="zh-CN"/>
        </w:rPr>
        <w:t>【服务基层】</w:t>
      </w:r>
    </w:p>
    <w:p w14:paraId="59536240">
      <w:pPr>
        <w:bidi w:val="0"/>
        <w:rPr>
          <w:rFonts w:hint="eastAsia"/>
          <w:lang w:val="zh-CN"/>
        </w:rPr>
      </w:pPr>
      <w:r>
        <w:rPr>
          <w:rFonts w:hint="eastAsia"/>
          <w:lang w:val="zh-CN"/>
        </w:rPr>
        <w:t>社科联以省委宣传部挂牌“省优秀社科基地”河南社科基地为阵地，开展社科活动。会同市相关单位6月在雄州街道河南社科基地开展科普月、法律普及、家庭卫生保健等活动，组织有关学会、协会及相关单位开展科技下乡、科普进机关、科普进学校、科普进社区以及科普专题讲座、科技培训、卫生咨询、健康检查、义诊等各具特色的活动。</w:t>
      </w:r>
    </w:p>
    <w:p w14:paraId="344F5F72">
      <w:pPr>
        <w:pStyle w:val="4"/>
        <w:bidi w:val="0"/>
        <w:rPr>
          <w:rFonts w:hint="eastAsia"/>
          <w:lang w:val="zh-CN"/>
        </w:rPr>
      </w:pPr>
      <w:r>
        <w:rPr>
          <w:rFonts w:hint="eastAsia"/>
          <w:lang w:val="zh-CN"/>
        </w:rPr>
        <w:t>【社科活动】</w:t>
      </w:r>
    </w:p>
    <w:p w14:paraId="1811724D">
      <w:pPr>
        <w:bidi w:val="0"/>
        <w:rPr>
          <w:rFonts w:hint="eastAsia"/>
          <w:lang w:val="zh-CN"/>
        </w:rPr>
      </w:pPr>
      <w:r>
        <w:rPr>
          <w:rFonts w:hint="eastAsia"/>
          <w:lang w:val="zh-CN"/>
        </w:rPr>
        <w:t>5月16日在江头中学组织580多名师生进行口才与演讲、朗读技巧等2场专题社科知识课。</w:t>
      </w:r>
    </w:p>
    <w:p w14:paraId="0A6987F1">
      <w:pPr>
        <w:bidi w:val="0"/>
        <w:rPr>
          <w:rFonts w:hint="eastAsia"/>
          <w:lang w:val="zh-CN"/>
        </w:rPr>
      </w:pPr>
      <w:r>
        <w:rPr>
          <w:rFonts w:hint="eastAsia"/>
          <w:lang w:val="zh-CN"/>
        </w:rPr>
        <w:t>7月11日邀请省社科联副主席周华、社科专家谢教授到河南村开展“广东省社科专家下基层”活动，宣讲习近平新时代中国特色社会主义思想。</w:t>
      </w:r>
    </w:p>
    <w:p w14:paraId="69F0D4A8">
      <w:pPr>
        <w:bidi w:val="0"/>
        <w:rPr>
          <w:rFonts w:hint="eastAsia"/>
          <w:b/>
          <w:bCs/>
          <w:lang w:val="zh-CN"/>
        </w:rPr>
      </w:pPr>
      <w:r>
        <w:rPr>
          <w:rFonts w:hint="eastAsia"/>
          <w:lang w:val="zh-CN"/>
        </w:rPr>
        <w:t>10月25日邀请广东省社科院党组成员、副院长赵细康同志来南雄为全市村小组以上干部进行《绿水青山就是金山银山》作专题讲授。</w:t>
      </w:r>
      <w:r>
        <w:rPr>
          <w:rFonts w:hint="eastAsia"/>
          <w:b/>
          <w:bCs/>
          <w:lang w:val="zh-CN"/>
        </w:rPr>
        <w:t>（温清馨）</w:t>
      </w:r>
    </w:p>
    <w:p w14:paraId="3BFED751">
      <w:pPr>
        <w:pStyle w:val="11"/>
        <w:bidi w:val="0"/>
        <w:rPr>
          <w:rFonts w:hint="eastAsia"/>
          <w:b/>
          <w:bCs/>
          <w:lang w:val="zh-CN"/>
        </w:rPr>
      </w:pPr>
      <w:r>
        <w:rPr>
          <w:rFonts w:hint="eastAsia"/>
          <w:b/>
          <w:bCs/>
          <w:lang w:val="zh-CN"/>
        </w:rPr>
        <w:t>附：2018年市社科联领导班子成员名单</w:t>
      </w:r>
    </w:p>
    <w:p w14:paraId="2F03EB54">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席：</w:t>
      </w:r>
      <w:r>
        <w:rPr>
          <w:rFonts w:hint="eastAsia"/>
          <w:lang w:val="zh-CN"/>
        </w:rPr>
        <w:t>沈学安</w:t>
      </w:r>
    </w:p>
    <w:p w14:paraId="4F2A97B9">
      <w:pPr>
        <w:pStyle w:val="3"/>
        <w:bidi w:val="0"/>
        <w:rPr>
          <w:rFonts w:hint="eastAsia"/>
          <w:lang w:val="zh-CN"/>
        </w:rPr>
      </w:pPr>
      <w:r>
        <w:rPr>
          <w:rFonts w:hint="eastAsia"/>
          <w:lang w:val="zh-CN"/>
        </w:rPr>
        <w:t>南雄市归国华侨联合会</w:t>
      </w:r>
    </w:p>
    <w:p w14:paraId="713E7D42">
      <w:pPr>
        <w:pStyle w:val="4"/>
        <w:bidi w:val="0"/>
        <w:rPr>
          <w:rFonts w:hint="eastAsia"/>
          <w:lang w:val="zh-CN"/>
        </w:rPr>
      </w:pPr>
      <w:r>
        <w:rPr>
          <w:rFonts w:hint="eastAsia"/>
          <w:lang w:val="zh-CN"/>
        </w:rPr>
        <w:t>【概况】</w:t>
      </w:r>
    </w:p>
    <w:p w14:paraId="1B65222D">
      <w:pPr>
        <w:bidi w:val="0"/>
        <w:rPr>
          <w:rFonts w:hint="eastAsia"/>
          <w:lang w:val="zh-CN"/>
        </w:rPr>
      </w:pPr>
      <w:r>
        <w:rPr>
          <w:rFonts w:hint="eastAsia"/>
          <w:lang w:val="zh-CN"/>
        </w:rPr>
        <w:t>南雄市归国华侨联合会（简称侨联），与统战部合署办公，是在市委领导下，由归侨侨眷组成的人民团体，是党和政府联系广大归侨侨眷的桥梁和纽带。</w:t>
      </w:r>
    </w:p>
    <w:p w14:paraId="1CFD29DB">
      <w:pPr>
        <w:pStyle w:val="4"/>
        <w:bidi w:val="0"/>
        <w:rPr>
          <w:rFonts w:hint="eastAsia"/>
          <w:lang w:val="zh-CN"/>
        </w:rPr>
      </w:pPr>
      <w:r>
        <w:rPr>
          <w:rFonts w:hint="eastAsia"/>
          <w:lang w:val="zh-CN"/>
        </w:rPr>
        <w:t>【侨情普查工作】</w:t>
      </w:r>
    </w:p>
    <w:p w14:paraId="089F148F">
      <w:pPr>
        <w:bidi w:val="0"/>
        <w:rPr>
          <w:rFonts w:hint="eastAsia"/>
          <w:lang w:val="zh-CN"/>
        </w:rPr>
      </w:pPr>
      <w:r>
        <w:rPr>
          <w:rFonts w:hint="eastAsia"/>
          <w:lang w:val="zh-CN"/>
        </w:rPr>
        <w:t>开展侨情普查，级级宣传，收集整理形成侨情资料电子档案上报。把调查解到的华侨华人和港澳同胞的家庭人员、从事职业和联系电话等基本情况建档，为做好海外及港澳侨联工作奠定基础。</w:t>
      </w:r>
    </w:p>
    <w:p w14:paraId="01CC8237">
      <w:pPr>
        <w:pStyle w:val="4"/>
        <w:bidi w:val="0"/>
        <w:rPr>
          <w:rFonts w:hint="eastAsia"/>
          <w:lang w:val="zh-CN"/>
        </w:rPr>
      </w:pPr>
      <w:r>
        <w:rPr>
          <w:rFonts w:hint="eastAsia"/>
          <w:lang w:val="zh-CN"/>
        </w:rPr>
        <w:t>【对外联谊和接待】</w:t>
      </w:r>
    </w:p>
    <w:p w14:paraId="5A71DDF3">
      <w:pPr>
        <w:bidi w:val="0"/>
        <w:rPr>
          <w:rFonts w:hint="eastAsia"/>
          <w:lang w:val="zh-CN"/>
        </w:rPr>
      </w:pPr>
      <w:r>
        <w:rPr>
          <w:rFonts w:hint="eastAsia"/>
          <w:lang w:val="zh-CN"/>
        </w:rPr>
        <w:t>先后组团赴港澳参加2018年澳门-韶关两地青年工作交流会、香港韶关同乡联谊会第二届会董会成立就职典礼等活动，密切同港澳友好社团、旅港澳乡贤和台湾同胞的交流往来，接待来雄港澳台社团16批700多人次，加强与有关侨团、社团组织和华侨华人、港澳台同胞的联系，增进彼此间的友好情谊，扩大共识，增强相互间的交流与合作，激发他们爱国爱乡之情。</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CA7F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B661F15">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79820" cy="3760470"/>
                  <wp:effectExtent l="0" t="0" r="11430" b="11430"/>
                  <wp:docPr id="115" name="图片 115" descr="南雄年鉴2019_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南雄年鉴2019_0090"/>
                          <pic:cNvPicPr>
                            <a:picLocks noChangeAspect="1"/>
                          </pic:cNvPicPr>
                        </pic:nvPicPr>
                        <pic:blipFill>
                          <a:blip r:embed="rId102"/>
                          <a:stretch>
                            <a:fillRect/>
                          </a:stretch>
                        </pic:blipFill>
                        <pic:spPr>
                          <a:xfrm>
                            <a:off x="0" y="0"/>
                            <a:ext cx="6179820" cy="3760470"/>
                          </a:xfrm>
                          <a:prstGeom prst="rect">
                            <a:avLst/>
                          </a:prstGeom>
                        </pic:spPr>
                      </pic:pic>
                    </a:graphicData>
                  </a:graphic>
                </wp:inline>
              </w:drawing>
            </w:r>
          </w:p>
        </w:tc>
      </w:tr>
      <w:tr w14:paraId="26AA2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01B42681">
            <w:pPr>
              <w:spacing w:beforeLines="0" w:afterLines="0"/>
              <w:ind w:firstLine="400" w:firstLineChars="200"/>
              <w:jc w:val="left"/>
              <w:rPr>
                <w:rFonts w:hint="eastAsia" w:ascii="宋体" w:hAnsi="宋体" w:eastAsia="宋体" w:cs="宋体"/>
                <w:kern w:val="2"/>
                <w:sz w:val="21"/>
                <w:szCs w:val="21"/>
                <w:lang w:val="zh-CN" w:eastAsia="zh-CN" w:bidi="ar-SA"/>
              </w:rPr>
            </w:pPr>
            <w:r>
              <w:rPr>
                <w:rFonts w:hint="eastAsia" w:ascii="FZKTK--GBK1-0" w:hAnsi="FZKTK--GBK1-0" w:eastAsia="FZKTK--GBK1-0"/>
                <w:sz w:val="20"/>
              </w:rPr>
              <w:t>3月24日，市委常委、统战部部长陈志光（右二）率侨联到香港南雄联谊会交流</w:t>
            </w:r>
            <w:r>
              <w:rPr>
                <w:rFonts w:hint="eastAsia" w:ascii="FZKTK--GBK1-0" w:hAnsi="FZKTK--GBK1-0" w:eastAsia="FZKTK--GBK1-0"/>
                <w:sz w:val="20"/>
                <w:lang w:val="en-US" w:eastAsia="zh-CN"/>
              </w:rPr>
              <w:t>联谊</w:t>
            </w:r>
            <w:r>
              <w:rPr>
                <w:rFonts w:hint="eastAsia" w:ascii="FZKTK--GBK1-0" w:hAnsi="FZKTK--GBK1-0" w:eastAsia="FZKTK--GBK1-0"/>
                <w:sz w:val="20"/>
              </w:rPr>
              <w:t>（黄慧琼</w:t>
            </w:r>
            <w:r>
              <w:rPr>
                <w:rFonts w:hint="eastAsia" w:ascii="FZKTK--GBK1-0" w:hAnsi="FZKTK--GBK1-0" w:eastAsia="FZKTK--GBK1-0"/>
                <w:sz w:val="20"/>
                <w:lang w:val="en-US" w:eastAsia="zh-CN"/>
              </w:rPr>
              <w:t xml:space="preserve">  </w:t>
            </w:r>
            <w:r>
              <w:rPr>
                <w:rFonts w:hint="eastAsia" w:ascii="FZKTK--GBK1-0" w:hAnsi="FZKTK--GBK1-0" w:eastAsia="FZKTK--GBK1-0"/>
                <w:sz w:val="20"/>
              </w:rPr>
              <w:t>摄）</w:t>
            </w:r>
          </w:p>
        </w:tc>
      </w:tr>
    </w:tbl>
    <w:p w14:paraId="7AE6F9ED">
      <w:pPr>
        <w:pStyle w:val="4"/>
        <w:bidi w:val="0"/>
        <w:rPr>
          <w:rFonts w:hint="eastAsia"/>
          <w:lang w:val="zh-CN"/>
        </w:rPr>
      </w:pPr>
      <w:r>
        <w:rPr>
          <w:rFonts w:hint="eastAsia"/>
          <w:lang w:val="zh-CN"/>
        </w:rPr>
        <w:t>【中国华侨国际文化交流基地申报】</w:t>
      </w:r>
    </w:p>
    <w:p w14:paraId="2E29A282">
      <w:pPr>
        <w:bidi w:val="0"/>
        <w:rPr>
          <w:rFonts w:hint="eastAsia"/>
          <w:lang w:val="zh-CN"/>
        </w:rPr>
      </w:pPr>
      <w:r>
        <w:rPr>
          <w:rFonts w:hint="eastAsia"/>
          <w:lang w:val="zh-CN"/>
        </w:rPr>
        <w:t>积极向省侨联申报珠玑古巷景区为中国华侨国际文化交流基地。利用广东省广府人珠玑巷后裔海外联谊会的桥梁纽带作用，动员海内外珠玑巷后裔为古巷的修复和重建出资出力。全面实施“姓氏名都”发展战略，积极配合市委、市政府在珠玑古巷举办姓氏文化旅游节。</w:t>
      </w:r>
      <w:r>
        <w:rPr>
          <w:rFonts w:hint="eastAsia"/>
          <w:b/>
          <w:bCs/>
          <w:lang w:val="zh-CN"/>
        </w:rPr>
        <w:t>（何</w:t>
      </w:r>
      <w:r>
        <w:rPr>
          <w:rFonts w:hint="eastAsia"/>
          <w:b/>
          <w:bCs/>
          <w:lang w:val="en-US" w:eastAsia="zh-CN"/>
        </w:rPr>
        <w:t xml:space="preserve">  </w:t>
      </w:r>
      <w:r>
        <w:rPr>
          <w:rFonts w:hint="eastAsia"/>
          <w:b/>
          <w:bCs/>
          <w:lang w:val="zh-CN"/>
        </w:rPr>
        <w:t>威）</w:t>
      </w:r>
    </w:p>
    <w:p w14:paraId="43A6D816">
      <w:pPr>
        <w:pStyle w:val="11"/>
        <w:bidi w:val="0"/>
        <w:rPr>
          <w:rFonts w:hint="eastAsia"/>
          <w:b/>
          <w:bCs/>
          <w:lang w:val="zh-CN"/>
        </w:rPr>
      </w:pPr>
      <w:r>
        <w:rPr>
          <w:rFonts w:hint="eastAsia"/>
          <w:b/>
          <w:bCs/>
          <w:lang w:val="zh-CN"/>
        </w:rPr>
        <w:t>附：2018年市侨联领导班子成员名单</w:t>
      </w:r>
    </w:p>
    <w:p w14:paraId="2F3BB472">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席：</w:t>
      </w:r>
      <w:r>
        <w:rPr>
          <w:rFonts w:hint="eastAsia"/>
          <w:lang w:val="zh-CN"/>
        </w:rPr>
        <w:t>刘志梅</w:t>
      </w:r>
    </w:p>
    <w:p w14:paraId="247F88AC">
      <w:pPr>
        <w:pStyle w:val="11"/>
        <w:bidi w:val="0"/>
        <w:rPr>
          <w:rFonts w:hint="eastAsia"/>
          <w:lang w:val="zh-CN"/>
        </w:rPr>
      </w:pPr>
      <w:r>
        <w:rPr>
          <w:rFonts w:hint="eastAsia"/>
          <w:b/>
          <w:bCs/>
          <w:lang w:val="zh-CN"/>
        </w:rPr>
        <w:t>副主席：</w:t>
      </w:r>
      <w:r>
        <w:rPr>
          <w:rFonts w:hint="eastAsia"/>
          <w:lang w:val="zh-CN"/>
        </w:rPr>
        <w:t>华春君</w:t>
      </w:r>
    </w:p>
    <w:p w14:paraId="59D1F9D1">
      <w:pPr>
        <w:pStyle w:val="3"/>
        <w:bidi w:val="0"/>
        <w:rPr>
          <w:rFonts w:hint="eastAsia"/>
          <w:lang w:val="zh-CN"/>
        </w:rPr>
      </w:pPr>
      <w:r>
        <w:rPr>
          <w:rFonts w:hint="eastAsia"/>
          <w:lang w:val="zh-CN"/>
        </w:rPr>
        <w:t>南雄市老区建设促进会</w:t>
      </w:r>
    </w:p>
    <w:p w14:paraId="7AE890D9">
      <w:pPr>
        <w:pStyle w:val="4"/>
        <w:bidi w:val="0"/>
        <w:rPr>
          <w:rFonts w:hint="eastAsia"/>
          <w:lang w:val="zh-CN"/>
        </w:rPr>
      </w:pPr>
      <w:r>
        <w:rPr>
          <w:rFonts w:hint="eastAsia"/>
          <w:lang w:val="zh-CN"/>
        </w:rPr>
        <w:t>【概况】</w:t>
      </w:r>
    </w:p>
    <w:p w14:paraId="523333E1">
      <w:pPr>
        <w:bidi w:val="0"/>
        <w:rPr>
          <w:rFonts w:hint="eastAsia"/>
          <w:lang w:val="zh-CN"/>
        </w:rPr>
      </w:pPr>
      <w:r>
        <w:rPr>
          <w:rFonts w:hint="eastAsia"/>
          <w:lang w:val="zh-CN"/>
        </w:rPr>
        <w:t>南雄市老区建设促进会属社会团体，2017年5月在市民政局进行社团组织登记，理事成员单位42个。</w:t>
      </w:r>
    </w:p>
    <w:p w14:paraId="4C871682">
      <w:pPr>
        <w:bidi w:val="0"/>
        <w:rPr>
          <w:rFonts w:hint="eastAsia"/>
          <w:lang w:val="zh-CN"/>
        </w:rPr>
      </w:pPr>
      <w:r>
        <w:rPr>
          <w:rFonts w:hint="eastAsia"/>
          <w:lang w:val="zh-CN"/>
        </w:rPr>
        <w:t>9月，市老促会被中国老促会评为“先进老区建设促进会”，是广东省唯一获此殊荣的县（市、区）老促会。荣获中国老区宣传工作、广东省老区宣传工作三等奖。5月，市老促会出席中国老促会在吉林省延吉市召开的全国《革命老区县发展史》编纂工作座谈会，并在会上作经验介绍。</w:t>
      </w:r>
    </w:p>
    <w:p w14:paraId="26925531">
      <w:pPr>
        <w:pStyle w:val="4"/>
        <w:bidi w:val="0"/>
        <w:rPr>
          <w:rFonts w:hint="eastAsia"/>
          <w:lang w:val="zh-CN"/>
        </w:rPr>
      </w:pPr>
      <w:r>
        <w:rPr>
          <w:rFonts w:hint="eastAsia"/>
          <w:lang w:val="zh-CN"/>
        </w:rPr>
        <w:t>【调研工作】</w:t>
      </w:r>
    </w:p>
    <w:p w14:paraId="6CAB9C2B">
      <w:pPr>
        <w:bidi w:val="0"/>
        <w:rPr>
          <w:rFonts w:hint="eastAsia"/>
          <w:lang w:val="zh-CN"/>
        </w:rPr>
      </w:pPr>
      <w:r>
        <w:rPr>
          <w:rFonts w:hint="eastAsia"/>
          <w:lang w:val="zh-CN"/>
        </w:rPr>
        <w:t>2018年重点抓3个专题调研：开展老区贫困村创建社会主义新农村示范村专题调研。4月17—18日，由省老促会陈开枝会长带队，率领省、韶关市老促会前来南雄开展老区贫困村创建社会主义新农村示范村专题调研。开展革命老区贫困村脱贫攻坚专题调研。6月12—13日，国家老促会曾广超副会长率国家、省、韶关市老促会前来南雄开展革命老区贫困村脱贫攻坚专题调研。开展革命旧（遗）址调研。5月10—20日，市老促会联合市史志办，分成三个小组，分别由老促会正副会长、史志办主任带队，对2017年没有调研的9个镇以及干部群众反映的且原来没有挖掘又有重要意义的革命旧（遗）址进行调研。通过调研，初步挖掘澜河镇小流坑墨砚厂陈毅养伤处、小流坑粤北党政军临时委员会旧址、锅坑黄屋东江纵队粤北留守部队隐蔽处、油山镇连山仙人洞陈毅隐蔽处、上朔朔溪农会旧址等29处革命旧（遗）址，经史志办审核确认17处，全市革命旧（遗）址总数由原来的51处增加到68处。</w:t>
      </w:r>
    </w:p>
    <w:p w14:paraId="20B476E5">
      <w:pPr>
        <w:pStyle w:val="4"/>
        <w:bidi w:val="0"/>
        <w:rPr>
          <w:rFonts w:hint="eastAsia"/>
          <w:lang w:val="zh-CN"/>
        </w:rPr>
      </w:pPr>
      <w:r>
        <w:rPr>
          <w:rFonts w:hint="eastAsia"/>
          <w:lang w:val="zh-CN"/>
        </w:rPr>
        <w:t>【红色革命旧（遗）址修复】</w:t>
      </w:r>
    </w:p>
    <w:p w14:paraId="1E92F24D">
      <w:pPr>
        <w:bidi w:val="0"/>
        <w:rPr>
          <w:rFonts w:hint="eastAsia"/>
          <w:lang w:val="zh-CN"/>
        </w:rPr>
      </w:pPr>
      <w:r>
        <w:rPr>
          <w:rFonts w:hint="eastAsia"/>
          <w:lang w:val="zh-CN"/>
        </w:rPr>
        <w:t>启动修复三处革命旧（遗）址，与民政局协助市委、市政府为陈召南烈士举行遗骸安放仪式。筹集资金100多万元，在澜河镇白云村龙狮石“北山事件”发生地兴建“北山事件”红军烈士纪念碑、纪念广场和遗址碑。纪念碑基座四周为碑文、碑画。碑身高12.8米。中央军委原副主席、国防部原部长迟浩田上将题写“北山事件红军烈士纪念碑”11个大字。11月27日，在澜河镇白云村委会龙狮石村“北山事件”发生地举行“北山事件红军烈士纪念碑”落成揭幕仪式，同时命名此纪念地为“南雄市爱国主义教育基地”。至此，83年前因“北山事件”壮烈牺牲的60多名红军游击队烈士的英灵终于得到告慰，安息北山。筹集资金10多万元，修复并布展澜河镇澜河村委会锅坑黄屋“东江纵队粤北留守部队隐蔽处”，并于11月23日举行“东江纵队粤北留守部队隐蔽处”修复暨市爱国主义教育基地揭牌仪式，东江纵队原司令员曾生之子曾德平、原东江纵队政委尹林平之女尹小平等东江纵队后代寻访团及市各界人士代表500多人参加活动。筹资50多万元修复油山镇上朔村“南雄县苏维埃政府”遗址，主体工程基本完工。</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1621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87C194B">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2995" cy="3766185"/>
                  <wp:effectExtent l="0" t="0" r="8255" b="5715"/>
                  <wp:docPr id="116" name="图片 116" descr="南雄年鉴2019_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南雄年鉴2019_0091"/>
                          <pic:cNvPicPr>
                            <a:picLocks noChangeAspect="1"/>
                          </pic:cNvPicPr>
                        </pic:nvPicPr>
                        <pic:blipFill>
                          <a:blip r:embed="rId103"/>
                          <a:stretch>
                            <a:fillRect/>
                          </a:stretch>
                        </pic:blipFill>
                        <pic:spPr>
                          <a:xfrm>
                            <a:off x="0" y="0"/>
                            <a:ext cx="6182995" cy="3766185"/>
                          </a:xfrm>
                          <a:prstGeom prst="rect">
                            <a:avLst/>
                          </a:prstGeom>
                        </pic:spPr>
                      </pic:pic>
                    </a:graphicData>
                  </a:graphic>
                </wp:inline>
              </w:drawing>
            </w:r>
          </w:p>
        </w:tc>
      </w:tr>
      <w:tr w14:paraId="7C68F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154CFD1">
            <w:pPr>
              <w:bidi w:val="0"/>
              <w:rPr>
                <w:rFonts w:hint="eastAsia"/>
                <w:vertAlign w:val="baseline"/>
                <w:lang w:val="zh-CN"/>
              </w:rPr>
            </w:pPr>
            <w:r>
              <w:rPr>
                <w:rFonts w:hint="eastAsia" w:ascii="FZKTK--GBK1-0" w:hAnsi="FZKTK--GBK1-0" w:eastAsia="FZKTK--GBK1-0"/>
                <w:sz w:val="20"/>
              </w:rPr>
              <w:t>南雄市老促会荣获中国先进老区建设促进会光荣称号（江珍华</w:t>
            </w:r>
            <w:r>
              <w:rPr>
                <w:rFonts w:hint="eastAsia" w:ascii="FZKTK--GBK1-0" w:hAnsi="FZKTK--GBK1-0" w:eastAsia="FZKTK--GBK1-0"/>
                <w:sz w:val="20"/>
                <w:lang w:val="en-US" w:eastAsia="zh-CN"/>
              </w:rPr>
              <w:t xml:space="preserve">  </w:t>
            </w:r>
            <w:r>
              <w:rPr>
                <w:rFonts w:hint="eastAsia" w:ascii="FZKTK--GBK1-0" w:hAnsi="FZKTK--GBK1-0" w:eastAsia="FZKTK--GBK1-0"/>
                <w:sz w:val="20"/>
              </w:rPr>
              <w:t>摄）</w:t>
            </w:r>
          </w:p>
        </w:tc>
      </w:tr>
    </w:tbl>
    <w:p w14:paraId="1726E36B">
      <w:pPr>
        <w:pStyle w:val="4"/>
        <w:bidi w:val="0"/>
        <w:rPr>
          <w:rFonts w:hint="eastAsia"/>
          <w:lang w:val="zh-CN"/>
        </w:rPr>
      </w:pPr>
      <w:r>
        <w:rPr>
          <w:rFonts w:hint="eastAsia"/>
          <w:lang w:val="zh-CN"/>
        </w:rPr>
        <w:t>【民生工程】</w:t>
      </w:r>
    </w:p>
    <w:p w14:paraId="6B43E722">
      <w:pPr>
        <w:bidi w:val="0"/>
        <w:rPr>
          <w:rFonts w:hint="eastAsia"/>
          <w:lang w:val="zh-CN"/>
        </w:rPr>
      </w:pPr>
      <w:r>
        <w:rPr>
          <w:rFonts w:hint="eastAsia"/>
          <w:lang w:val="zh-CN"/>
        </w:rPr>
        <w:t>在2017年筹资70多万元为全安镇陂头村兴建一座公路桥的基础上，又筹资10万元完善引桥等附属设施；筹集资金5万元支持黄坑镇塘源村委会安装农村路灯100盏；筹集资金3万元支持百顺镇溪头村委会公路水泥硬化工程，解决老区人民交通问题；在市委、市政府关心支持下，积极争取省、韶关市老促会支持，对全市符合条件的革命烈士后裔、在校82名大专以上和中专生发放助学金。大专以上每人每年补助6000元，中专每人每年补助4000元。发放助学金47.6万元。</w:t>
      </w:r>
    </w:p>
    <w:p w14:paraId="43C6A83E">
      <w:pPr>
        <w:pStyle w:val="4"/>
        <w:bidi w:val="0"/>
        <w:rPr>
          <w:rFonts w:hint="eastAsia"/>
          <w:lang w:val="zh-CN"/>
        </w:rPr>
      </w:pPr>
      <w:r>
        <w:rPr>
          <w:rFonts w:hint="eastAsia"/>
          <w:lang w:val="zh-CN"/>
        </w:rPr>
        <w:t>【老区宣传工作】</w:t>
      </w:r>
    </w:p>
    <w:p w14:paraId="4639B15A">
      <w:pPr>
        <w:bidi w:val="0"/>
        <w:rPr>
          <w:rFonts w:hint="eastAsia"/>
          <w:lang w:val="zh-CN"/>
        </w:rPr>
      </w:pPr>
      <w:r>
        <w:rPr>
          <w:rFonts w:hint="eastAsia"/>
          <w:lang w:val="zh-CN"/>
        </w:rPr>
        <w:t>《南雄革命老区发展史》正在编纂中，全书记载南雄从1925年至2017年的革命斗争史和发展史，计8章38万字，预计2019年出版发行。与澜河镇共建锅坑红色文化村，镇政府负责新农村建设，整理村容村貌；市老促会负责“东江纵队粤北留守部队隐蔽处”旧址修复布展，收集挖掘整理红色历史文化。整个项目投入资金300多万元，已建成市爱国主义教育基地。在三影塔广场建立“南雄中央苏区县宣传栏”，让老区人民及时了解党和政府对老区发展的有关政策和南雄老区工作动态。表彰奖励一批老区宣传工作先进个人，其中一等奖1人，二等奖3人，三等奖5人。经统计，2018年在全国各类报刊、杂志、网站发表老区工作方面稿件410篇，其中《中国老区建设》杂志4篇；《中国老区网》33篇；《中国红色旅游网》72篇；《南方日报》3篇；《羊城晚报》4篇；《广州日报》11篇；《源流》杂志25篇；《广东老区网》73篇；《韶关日报》67篇；其他媒体118篇。</w:t>
      </w:r>
    </w:p>
    <w:p w14:paraId="22AAA56B">
      <w:pPr>
        <w:pStyle w:val="4"/>
        <w:bidi w:val="0"/>
        <w:rPr>
          <w:rFonts w:hint="eastAsia"/>
          <w:lang w:val="zh-CN"/>
        </w:rPr>
      </w:pPr>
      <w:r>
        <w:rPr>
          <w:rFonts w:hint="eastAsia"/>
          <w:lang w:val="zh-CN"/>
        </w:rPr>
        <w:t>【“健康扶贫”项目引进实施】</w:t>
      </w:r>
    </w:p>
    <w:p w14:paraId="12E3139A">
      <w:pPr>
        <w:bidi w:val="0"/>
        <w:rPr>
          <w:rFonts w:hint="eastAsia"/>
          <w:lang w:val="zh-CN"/>
        </w:rPr>
      </w:pPr>
      <w:r>
        <w:rPr>
          <w:rFonts w:hint="eastAsia"/>
          <w:lang w:val="zh-CN"/>
        </w:rPr>
        <w:t>市老促会携手广东省医学教育协会在全市开展“健康扶贫”活动，无偿培训老区医疗技术人员，获得赠送价值500万元医疗培训费。全市24家不同级别的医疗卫生单位（含县级医疗卫生单位）的1698名卫生技术人员参与在线培训。</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E8FB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1D6310D">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79820" cy="3749040"/>
                  <wp:effectExtent l="0" t="0" r="11430" b="3810"/>
                  <wp:docPr id="117" name="图片 117" descr="南雄年鉴2019_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南雄年鉴2019_0092"/>
                          <pic:cNvPicPr>
                            <a:picLocks noChangeAspect="1"/>
                          </pic:cNvPicPr>
                        </pic:nvPicPr>
                        <pic:blipFill>
                          <a:blip r:embed="rId104"/>
                          <a:stretch>
                            <a:fillRect/>
                          </a:stretch>
                        </pic:blipFill>
                        <pic:spPr>
                          <a:xfrm>
                            <a:off x="0" y="0"/>
                            <a:ext cx="6179820" cy="3749040"/>
                          </a:xfrm>
                          <a:prstGeom prst="rect">
                            <a:avLst/>
                          </a:prstGeom>
                        </pic:spPr>
                      </pic:pic>
                    </a:graphicData>
                  </a:graphic>
                </wp:inline>
              </w:drawing>
            </w:r>
          </w:p>
        </w:tc>
      </w:tr>
      <w:tr w14:paraId="103B8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5C31975">
            <w:pPr>
              <w:bidi w:val="0"/>
              <w:rPr>
                <w:rFonts w:hint="eastAsia"/>
                <w:vertAlign w:val="baseline"/>
                <w:lang w:val="zh-CN"/>
              </w:rPr>
            </w:pPr>
            <w:r>
              <w:rPr>
                <w:rFonts w:hint="eastAsia" w:ascii="FZKTK--GBK1-0" w:hAnsi="FZKTK--GBK1-0" w:eastAsia="FZKTK--GBK1-0"/>
                <w:sz w:val="20"/>
              </w:rPr>
              <w:t>8月28日，南雄市举行革命烈士后裔助学金发放仪式（江珍华</w:t>
            </w:r>
            <w:r>
              <w:rPr>
                <w:rFonts w:hint="eastAsia" w:ascii="FZKTK--GBK1-0" w:hAnsi="FZKTK--GBK1-0" w:eastAsia="FZKTK--GBK1-0"/>
                <w:sz w:val="20"/>
                <w:lang w:val="en-US" w:eastAsia="zh-CN"/>
              </w:rPr>
              <w:t xml:space="preserve">  </w:t>
            </w:r>
            <w:r>
              <w:rPr>
                <w:rFonts w:hint="eastAsia" w:ascii="FZKTK--GBK1-0" w:hAnsi="FZKTK--GBK1-0" w:eastAsia="FZKTK--GBK1-0"/>
                <w:sz w:val="20"/>
              </w:rPr>
              <w:t>摄）</w:t>
            </w:r>
          </w:p>
        </w:tc>
      </w:tr>
    </w:tbl>
    <w:p w14:paraId="1D4B9D49">
      <w:pPr>
        <w:pStyle w:val="4"/>
        <w:bidi w:val="0"/>
        <w:rPr>
          <w:rFonts w:hint="eastAsia"/>
          <w:lang w:val="zh-CN"/>
        </w:rPr>
      </w:pPr>
      <w:r>
        <w:rPr>
          <w:rFonts w:hint="eastAsia"/>
          <w:lang w:val="zh-CN"/>
        </w:rPr>
        <w:t>【革命先辈后代联络、联谊】</w:t>
      </w:r>
    </w:p>
    <w:p w14:paraId="7A501C2C">
      <w:pPr>
        <w:bidi w:val="0"/>
        <w:rPr>
          <w:rFonts w:hint="eastAsia"/>
          <w:b/>
          <w:bCs/>
          <w:lang w:val="zh-CN"/>
        </w:rPr>
      </w:pPr>
      <w:r>
        <w:rPr>
          <w:rFonts w:hint="eastAsia"/>
          <w:lang w:val="zh-CN"/>
        </w:rPr>
        <w:t>南雄市成立“南雄市革命先辈后代工委”，为做好广大革命先辈后代工作提供组织保障。市老促会拜访革命后代，后代们建议在成立革命先辈后代工委的基础上，继续搭建平台，注册登记成立社团组织“南雄市革命先辈后代苏区振兴促进会”，2018年正在按国务院社团组织登记条例办理注册登记手续。12月22日，东纵边纵后代160多人在原东江纵队司令员曾生之子曾德平、政委尹林平之女尹小平的带领下，到南雄革命老区寻访，赠送一批革命书籍和字画，对南雄革命老区的发展提出许多好的意见建议。</w:t>
      </w:r>
      <w:r>
        <w:rPr>
          <w:rFonts w:hint="eastAsia"/>
          <w:b/>
          <w:bCs/>
          <w:lang w:val="zh-CN"/>
        </w:rPr>
        <w:t>（彭明伟）</w:t>
      </w:r>
    </w:p>
    <w:p w14:paraId="72107F8F">
      <w:pPr>
        <w:pStyle w:val="11"/>
        <w:bidi w:val="0"/>
        <w:rPr>
          <w:rFonts w:hint="eastAsia"/>
          <w:b/>
          <w:bCs/>
          <w:lang w:val="zh-CN"/>
        </w:rPr>
      </w:pPr>
      <w:r>
        <w:rPr>
          <w:rFonts w:hint="eastAsia"/>
          <w:b/>
          <w:bCs/>
          <w:lang w:val="zh-CN"/>
        </w:rPr>
        <w:t>附：2018年市老促会领导班子成员名单</w:t>
      </w:r>
    </w:p>
    <w:p w14:paraId="1A946829">
      <w:pPr>
        <w:pStyle w:val="11"/>
        <w:bidi w:val="0"/>
        <w:rPr>
          <w:rFonts w:hint="eastAsia"/>
          <w:lang w:val="zh-CN"/>
        </w:rPr>
      </w:pPr>
      <w:r>
        <w:rPr>
          <w:rFonts w:hint="eastAsia"/>
          <w:b/>
          <w:bCs/>
          <w:lang w:val="zh-CN"/>
        </w:rPr>
        <w:t>会</w:t>
      </w:r>
      <w:r>
        <w:rPr>
          <w:rFonts w:hint="eastAsia"/>
          <w:b/>
          <w:bCs/>
          <w:lang w:val="en-US" w:eastAsia="zh-CN"/>
        </w:rPr>
        <w:t xml:space="preserve">  </w:t>
      </w:r>
      <w:r>
        <w:rPr>
          <w:rFonts w:hint="eastAsia"/>
          <w:b/>
          <w:bCs/>
          <w:lang w:val="zh-CN"/>
        </w:rPr>
        <w:t>长：</w:t>
      </w:r>
      <w:r>
        <w:rPr>
          <w:rFonts w:hint="eastAsia"/>
          <w:lang w:val="zh-CN"/>
        </w:rPr>
        <w:t>涂运发</w:t>
      </w:r>
    </w:p>
    <w:p w14:paraId="742AFC48">
      <w:pPr>
        <w:pStyle w:val="11"/>
        <w:bidi w:val="0"/>
        <w:rPr>
          <w:rFonts w:hint="eastAsia"/>
          <w:lang w:val="zh-CN"/>
        </w:rPr>
      </w:pPr>
      <w:r>
        <w:rPr>
          <w:rFonts w:hint="eastAsia"/>
          <w:b/>
          <w:bCs/>
          <w:lang w:val="zh-CN"/>
        </w:rPr>
        <w:t>副会长：</w:t>
      </w:r>
      <w:r>
        <w:rPr>
          <w:rFonts w:hint="eastAsia"/>
          <w:lang w:val="zh-CN"/>
        </w:rPr>
        <w:t>李泉洲</w:t>
      </w:r>
      <w:r>
        <w:rPr>
          <w:rFonts w:hint="eastAsia"/>
          <w:lang w:val="en-US" w:eastAsia="zh-CN"/>
        </w:rPr>
        <w:t xml:space="preserve">   </w:t>
      </w:r>
      <w:r>
        <w:rPr>
          <w:rFonts w:hint="eastAsia"/>
          <w:lang w:val="zh-CN"/>
        </w:rPr>
        <w:t>董书海</w:t>
      </w:r>
    </w:p>
    <w:p w14:paraId="7993A169">
      <w:pPr>
        <w:pStyle w:val="3"/>
        <w:bidi w:val="0"/>
        <w:rPr>
          <w:rFonts w:hint="eastAsia"/>
          <w:lang w:val="zh-CN"/>
        </w:rPr>
      </w:pPr>
      <w:r>
        <w:rPr>
          <w:rFonts w:hint="eastAsia"/>
          <w:lang w:val="zh-CN"/>
        </w:rPr>
        <w:t>南雄珠玑书画院</w:t>
      </w:r>
    </w:p>
    <w:p w14:paraId="3ECD2AE1">
      <w:pPr>
        <w:pStyle w:val="4"/>
        <w:bidi w:val="0"/>
        <w:rPr>
          <w:rFonts w:hint="eastAsia"/>
          <w:lang w:val="zh-CN"/>
        </w:rPr>
      </w:pPr>
      <w:r>
        <w:rPr>
          <w:rFonts w:hint="eastAsia"/>
          <w:lang w:val="zh-CN"/>
        </w:rPr>
        <w:t>【概况】</w:t>
      </w:r>
    </w:p>
    <w:p w14:paraId="648C5AB9">
      <w:pPr>
        <w:bidi w:val="0"/>
        <w:rPr>
          <w:rFonts w:hint="eastAsia"/>
          <w:lang w:val="zh-CN"/>
        </w:rPr>
      </w:pPr>
      <w:r>
        <w:rPr>
          <w:rFonts w:hint="eastAsia"/>
          <w:lang w:val="zh-CN"/>
        </w:rPr>
        <w:t>广东南雄珠玑书画院成立于2012年元旦，是经南雄市民政局批准备案的一个群众团体，隶属于南雄市文学艺术联合会。现有会员36人，院长刘烈章。</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A795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F9BF24B">
            <w:pPr>
              <w:bidi w:val="0"/>
              <w:ind w:left="0" w:leftChars="0" w:firstLine="0" w:firstLineChars="0"/>
              <w:rPr>
                <w:rFonts w:hint="eastAsia" w:eastAsia="宋体"/>
                <w:vertAlign w:val="baseline"/>
                <w:lang w:eastAsia="zh-CN"/>
              </w:rPr>
            </w:pPr>
            <w:r>
              <w:rPr>
                <w:rFonts w:hint="eastAsia" w:eastAsia="宋体"/>
                <w:vertAlign w:val="baseline"/>
                <w:lang w:eastAsia="zh-CN"/>
              </w:rPr>
              <w:drawing>
                <wp:inline distT="0" distB="0" distL="114300" distR="114300">
                  <wp:extent cx="6186170" cy="3760470"/>
                  <wp:effectExtent l="0" t="0" r="5080" b="11430"/>
                  <wp:docPr id="118" name="图片 118" descr="南雄年鉴2019_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南雄年鉴2019_0093"/>
                          <pic:cNvPicPr>
                            <a:picLocks noChangeAspect="1"/>
                          </pic:cNvPicPr>
                        </pic:nvPicPr>
                        <pic:blipFill>
                          <a:blip r:embed="rId105"/>
                          <a:stretch>
                            <a:fillRect/>
                          </a:stretch>
                        </pic:blipFill>
                        <pic:spPr>
                          <a:xfrm>
                            <a:off x="0" y="0"/>
                            <a:ext cx="6186170" cy="3760470"/>
                          </a:xfrm>
                          <a:prstGeom prst="rect">
                            <a:avLst/>
                          </a:prstGeom>
                        </pic:spPr>
                      </pic:pic>
                    </a:graphicData>
                  </a:graphic>
                </wp:inline>
              </w:drawing>
            </w:r>
          </w:p>
        </w:tc>
      </w:tr>
      <w:tr w14:paraId="540AD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8135545">
            <w:pPr>
              <w:bidi w:val="0"/>
              <w:rPr>
                <w:vertAlign w:val="baseline"/>
              </w:rPr>
            </w:pPr>
            <w:r>
              <w:rPr>
                <w:rFonts w:hint="eastAsia" w:ascii="FZKTK--GBK1-0" w:hAnsi="FZKTK--GBK1-0" w:eastAsia="FZKTK--GBK1-0"/>
                <w:sz w:val="20"/>
              </w:rPr>
              <w:t>9月29日，出席南雄市首届重阳书画作品展嘉宾合影（珠玑书画院</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12F950FB">
      <w:pPr>
        <w:bidi w:val="0"/>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D6B4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0F59AF6D">
            <w:pPr>
              <w:bidi w:val="0"/>
              <w:ind w:left="0" w:leftChars="0" w:firstLine="0" w:firstLineChars="0"/>
              <w:rPr>
                <w:rFonts w:hint="eastAsia" w:eastAsia="宋体"/>
                <w:vertAlign w:val="baseline"/>
                <w:lang w:eastAsia="zh-CN"/>
              </w:rPr>
            </w:pPr>
            <w:r>
              <w:rPr>
                <w:rFonts w:hint="eastAsia" w:eastAsia="宋体"/>
                <w:vertAlign w:val="baseline"/>
                <w:lang w:eastAsia="zh-CN"/>
              </w:rPr>
              <w:drawing>
                <wp:inline distT="0" distB="0" distL="114300" distR="114300">
                  <wp:extent cx="6185535" cy="3737610"/>
                  <wp:effectExtent l="0" t="0" r="5715" b="15240"/>
                  <wp:docPr id="119" name="图片 119" descr="南雄年鉴2019_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南雄年鉴2019_0094"/>
                          <pic:cNvPicPr>
                            <a:picLocks noChangeAspect="1"/>
                          </pic:cNvPicPr>
                        </pic:nvPicPr>
                        <pic:blipFill>
                          <a:blip r:embed="rId106"/>
                          <a:stretch>
                            <a:fillRect/>
                          </a:stretch>
                        </pic:blipFill>
                        <pic:spPr>
                          <a:xfrm>
                            <a:off x="0" y="0"/>
                            <a:ext cx="6185535" cy="3737610"/>
                          </a:xfrm>
                          <a:prstGeom prst="rect">
                            <a:avLst/>
                          </a:prstGeom>
                        </pic:spPr>
                      </pic:pic>
                    </a:graphicData>
                  </a:graphic>
                </wp:inline>
              </w:drawing>
            </w:r>
          </w:p>
        </w:tc>
      </w:tr>
      <w:tr w14:paraId="6584B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045FCCD">
            <w:pPr>
              <w:bidi w:val="0"/>
              <w:rPr>
                <w:vertAlign w:val="baseline"/>
              </w:rPr>
            </w:pPr>
            <w:r>
              <w:rPr>
                <w:rFonts w:hint="eastAsia"/>
              </w:rPr>
              <w:t>2月3日，珠玑书画院书法家到帽子峰镇参</w:t>
            </w:r>
            <w:r>
              <w:rPr>
                <w:rFonts w:hint="eastAsia"/>
                <w:lang w:val="en-US" w:eastAsia="zh-CN"/>
              </w:rPr>
              <w:t>送</w:t>
            </w:r>
            <w:r>
              <w:rPr>
                <w:rFonts w:hint="eastAsia"/>
              </w:rPr>
              <w:t>春联下乡活动，与群众合影（珠玑书画院</w:t>
            </w:r>
            <w:r>
              <w:rPr>
                <w:rFonts w:hint="eastAsia"/>
                <w:lang w:val="en-US" w:eastAsia="zh-CN"/>
              </w:rPr>
              <w:t xml:space="preserve">  </w:t>
            </w:r>
            <w:r>
              <w:rPr>
                <w:rFonts w:hint="eastAsia"/>
              </w:rPr>
              <w:t>供）</w:t>
            </w:r>
          </w:p>
        </w:tc>
      </w:tr>
    </w:tbl>
    <w:p w14:paraId="2A44CE7D">
      <w:pPr>
        <w:pStyle w:val="4"/>
        <w:bidi w:val="0"/>
        <w:rPr>
          <w:rFonts w:hint="eastAsia"/>
          <w:lang w:val="zh-CN"/>
        </w:rPr>
      </w:pPr>
      <w:r>
        <w:rPr>
          <w:rFonts w:hint="eastAsia"/>
          <w:lang w:val="zh-CN"/>
        </w:rPr>
        <w:t>【指导思想】</w:t>
      </w:r>
    </w:p>
    <w:p w14:paraId="137C4F9E">
      <w:pPr>
        <w:bidi w:val="0"/>
        <w:rPr>
          <w:rFonts w:hint="eastAsia"/>
          <w:lang w:val="zh-CN"/>
        </w:rPr>
      </w:pPr>
      <w:r>
        <w:rPr>
          <w:rFonts w:hint="eastAsia"/>
          <w:lang w:val="zh-CN"/>
        </w:rPr>
        <w:t>坚持在市委、市政府的领导下，围绕市委、市政府的中心工作，学习贯彻习近平总书记关于“文化自信”的重要指示精神。坚持以人民为中心的创作导向，为继承和发扬中华传统文化，弘扬社会正能量，发展当地文化事业，精益求精搞创作，把最好的精神食粮奉献给人民。</w:t>
      </w:r>
    </w:p>
    <w:p w14:paraId="010DCCA6">
      <w:pPr>
        <w:pStyle w:val="4"/>
        <w:bidi w:val="0"/>
        <w:rPr>
          <w:rFonts w:hint="eastAsia"/>
          <w:lang w:val="zh-CN"/>
        </w:rPr>
      </w:pPr>
      <w:r>
        <w:rPr>
          <w:rFonts w:hint="eastAsia"/>
          <w:lang w:val="zh-CN"/>
        </w:rPr>
        <w:t>【主要活动】</w:t>
      </w:r>
    </w:p>
    <w:p w14:paraId="373FDBC0">
      <w:pPr>
        <w:bidi w:val="0"/>
        <w:rPr>
          <w:rFonts w:hint="eastAsia"/>
          <w:lang w:val="zh-CN"/>
        </w:rPr>
      </w:pPr>
      <w:r>
        <w:rPr>
          <w:rFonts w:hint="eastAsia"/>
          <w:lang w:val="zh-CN"/>
        </w:rPr>
        <w:t>6月28日，江苏太湖美术馆名家采风走进广东南雄书画院进行书画交流。6月30日，《书画报》社专家到珠玑书画院进行书画讲课和作品点评，提高南雄的书画水平。</w:t>
      </w:r>
    </w:p>
    <w:p w14:paraId="08F4C591">
      <w:pPr>
        <w:bidi w:val="0"/>
        <w:rPr>
          <w:rFonts w:hint="eastAsia"/>
          <w:lang w:val="zh-CN"/>
        </w:rPr>
      </w:pPr>
      <w:r>
        <w:rPr>
          <w:rFonts w:hint="eastAsia"/>
          <w:lang w:val="zh-CN"/>
        </w:rPr>
        <w:t>9月29日，举办南雄市首届重阳书画作品展。广东省老干部书画家协会主席余定军、副主席孟大东专程从广州到南雄珠玑书画院参加这项活动。对8位80岁以上的老书画爱好者发放慰问金。</w:t>
      </w:r>
    </w:p>
    <w:p w14:paraId="192495B8">
      <w:pPr>
        <w:bidi w:val="0"/>
        <w:rPr>
          <w:rFonts w:hint="eastAsia"/>
          <w:lang w:val="zh-CN"/>
        </w:rPr>
      </w:pPr>
      <w:r>
        <w:rPr>
          <w:rFonts w:hint="eastAsia"/>
          <w:lang w:val="zh-CN"/>
        </w:rPr>
        <w:t>2018年春节前夕，广东南雄珠玑书画院组织部分书法家到农村乡镇开展送春联活动。</w:t>
      </w:r>
    </w:p>
    <w:p w14:paraId="40D21A29">
      <w:pPr>
        <w:bidi w:val="0"/>
        <w:rPr>
          <w:rFonts w:hint="eastAsia"/>
          <w:lang w:val="zh-CN"/>
        </w:rPr>
      </w:pPr>
      <w:r>
        <w:rPr>
          <w:rFonts w:hint="eastAsia"/>
          <w:lang w:val="zh-CN"/>
        </w:rPr>
        <w:t>12月31日，广东南雄珠玑书画院举办了迎新春会员书画作品展。</w:t>
      </w:r>
    </w:p>
    <w:p w14:paraId="2090B909">
      <w:pPr>
        <w:bidi w:val="0"/>
        <w:rPr>
          <w:rFonts w:hint="eastAsia"/>
          <w:lang w:val="zh-CN"/>
        </w:rPr>
      </w:pPr>
      <w:r>
        <w:rPr>
          <w:rFonts w:hint="eastAsia"/>
          <w:lang w:val="zh-CN"/>
        </w:rPr>
        <w:t>组织全体会员学习习近平总书记的系列重要讲话精神，积极传承和弘扬中华优秀传统文化，将社会主义核心价值观体现在实际工作中，培养有高尚道德的书画爱好者，把德贯穿到书画活动工作中去，不忘初心，着眼未来，薪火相传，发扬光大。</w:t>
      </w:r>
    </w:p>
    <w:p w14:paraId="4037DA0B">
      <w:pPr>
        <w:bidi w:val="0"/>
        <w:jc w:val="right"/>
        <w:rPr>
          <w:rFonts w:hint="eastAsia"/>
          <w:b/>
          <w:bCs/>
          <w:lang w:val="zh-CN"/>
        </w:rPr>
      </w:pPr>
      <w:r>
        <w:rPr>
          <w:rFonts w:hint="eastAsia"/>
          <w:b/>
          <w:bCs/>
          <w:lang w:val="zh-CN"/>
        </w:rPr>
        <w:t>（刘烈章</w:t>
      </w:r>
      <w:r>
        <w:rPr>
          <w:rFonts w:hint="eastAsia"/>
          <w:b/>
          <w:bCs/>
          <w:lang w:val="en-US" w:eastAsia="zh-CN"/>
        </w:rPr>
        <w:t xml:space="preserve">   </w:t>
      </w:r>
      <w:r>
        <w:rPr>
          <w:rFonts w:hint="eastAsia"/>
          <w:b/>
          <w:bCs/>
          <w:lang w:val="zh-CN"/>
        </w:rPr>
        <w:t>黄祖耀）</w:t>
      </w:r>
    </w:p>
    <w:p w14:paraId="64DBFC3B">
      <w:pPr>
        <w:pStyle w:val="11"/>
        <w:bidi w:val="0"/>
        <w:rPr>
          <w:rFonts w:hint="eastAsia"/>
          <w:b/>
          <w:bCs/>
          <w:lang w:val="zh-CN"/>
        </w:rPr>
      </w:pPr>
      <w:r>
        <w:rPr>
          <w:rFonts w:hint="eastAsia"/>
          <w:b/>
          <w:bCs/>
          <w:lang w:val="zh-CN"/>
        </w:rPr>
        <w:t>附：南雄珠玑书画院领导成员名单</w:t>
      </w:r>
    </w:p>
    <w:p w14:paraId="41727788">
      <w:pPr>
        <w:pStyle w:val="11"/>
        <w:bidi w:val="0"/>
        <w:rPr>
          <w:rFonts w:hint="eastAsia"/>
          <w:lang w:val="zh-CN"/>
        </w:rPr>
      </w:pPr>
      <w:r>
        <w:rPr>
          <w:rFonts w:hint="eastAsia"/>
          <w:b/>
          <w:bCs/>
          <w:lang w:val="zh-CN"/>
        </w:rPr>
        <w:t>院</w:t>
      </w:r>
      <w:r>
        <w:rPr>
          <w:rFonts w:hint="eastAsia"/>
          <w:b/>
          <w:bCs/>
          <w:lang w:val="en-US" w:eastAsia="zh-CN"/>
        </w:rPr>
        <w:t xml:space="preserve">  </w:t>
      </w:r>
      <w:r>
        <w:rPr>
          <w:rFonts w:hint="eastAsia"/>
          <w:b/>
          <w:bCs/>
          <w:lang w:val="zh-CN"/>
        </w:rPr>
        <w:t>长：</w:t>
      </w:r>
      <w:r>
        <w:rPr>
          <w:rFonts w:hint="eastAsia"/>
          <w:lang w:val="zh-CN"/>
        </w:rPr>
        <w:t>刘烈章</w:t>
      </w:r>
    </w:p>
    <w:p w14:paraId="358490DD">
      <w:pPr>
        <w:pStyle w:val="11"/>
        <w:bidi w:val="0"/>
        <w:rPr>
          <w:rFonts w:hint="eastAsia"/>
          <w:lang w:val="zh-CN"/>
        </w:rPr>
      </w:pPr>
      <w:r>
        <w:rPr>
          <w:rFonts w:hint="eastAsia"/>
          <w:b/>
          <w:bCs/>
          <w:lang w:val="zh-CN"/>
        </w:rPr>
        <w:t>副院长：</w:t>
      </w:r>
      <w:r>
        <w:rPr>
          <w:rFonts w:hint="eastAsia"/>
          <w:lang w:val="zh-CN"/>
        </w:rPr>
        <w:t>邓功篪</w:t>
      </w:r>
      <w:r>
        <w:rPr>
          <w:rFonts w:hint="eastAsia"/>
          <w:lang w:val="en-US" w:eastAsia="zh-CN"/>
        </w:rPr>
        <w:t xml:space="preserve">   </w:t>
      </w:r>
      <w:r>
        <w:rPr>
          <w:rFonts w:hint="eastAsia"/>
          <w:lang w:val="zh-CN"/>
        </w:rPr>
        <w:t>张铭星</w:t>
      </w:r>
    </w:p>
    <w:p w14:paraId="60D9236B">
      <w:pPr>
        <w:pStyle w:val="11"/>
        <w:bidi w:val="0"/>
        <w:ind w:leftChars="400"/>
        <w:rPr>
          <w:rFonts w:hint="eastAsia"/>
          <w:lang w:val="zh-CN"/>
        </w:rPr>
      </w:pPr>
      <w:r>
        <w:rPr>
          <w:rFonts w:hint="eastAsia"/>
          <w:lang w:val="zh-CN"/>
        </w:rPr>
        <w:t>黄</w:t>
      </w:r>
      <w:r>
        <w:rPr>
          <w:rFonts w:hint="eastAsia"/>
          <w:lang w:val="en-US" w:eastAsia="zh-CN"/>
        </w:rPr>
        <w:t xml:space="preserve">  </w:t>
      </w:r>
      <w:r>
        <w:rPr>
          <w:rFonts w:hint="eastAsia"/>
          <w:lang w:val="zh-CN"/>
        </w:rPr>
        <w:t>飞</w:t>
      </w:r>
      <w:r>
        <w:rPr>
          <w:rFonts w:hint="eastAsia"/>
          <w:lang w:val="en-US" w:eastAsia="zh-CN"/>
        </w:rPr>
        <w:t xml:space="preserve">   </w:t>
      </w:r>
      <w:r>
        <w:rPr>
          <w:rFonts w:hint="eastAsia"/>
          <w:lang w:val="zh-CN"/>
        </w:rPr>
        <w:t>康俊湘</w:t>
      </w:r>
    </w:p>
    <w:p w14:paraId="1883C2F9">
      <w:pPr>
        <w:pStyle w:val="11"/>
        <w:bidi w:val="0"/>
        <w:ind w:leftChars="400"/>
        <w:rPr>
          <w:rFonts w:hint="eastAsia"/>
          <w:lang w:val="zh-CN"/>
        </w:rPr>
      </w:pPr>
      <w:r>
        <w:rPr>
          <w:rFonts w:hint="eastAsia"/>
          <w:lang w:val="zh-CN"/>
        </w:rPr>
        <w:t>钟俊华</w:t>
      </w:r>
      <w:r>
        <w:rPr>
          <w:rFonts w:hint="eastAsia"/>
          <w:lang w:val="en-US" w:eastAsia="zh-CN"/>
        </w:rPr>
        <w:t xml:space="preserve">   </w:t>
      </w:r>
      <w:r>
        <w:rPr>
          <w:rFonts w:hint="eastAsia"/>
          <w:lang w:val="zh-CN"/>
        </w:rPr>
        <w:t>黄学洪</w:t>
      </w:r>
    </w:p>
    <w:p w14:paraId="78A8BE09">
      <w:pPr>
        <w:pStyle w:val="2"/>
        <w:bidi w:val="0"/>
        <w:rPr>
          <w:rFonts w:hint="eastAsia"/>
        </w:rPr>
      </w:pPr>
      <w:r>
        <w:rPr>
          <w:rFonts w:hint="eastAsia"/>
        </w:rPr>
        <w:t>军事</w:t>
      </w:r>
    </w:p>
    <w:p w14:paraId="042A3AE7">
      <w:pPr>
        <w:pStyle w:val="3"/>
        <w:bidi w:val="0"/>
        <w:rPr>
          <w:rFonts w:hint="eastAsia"/>
          <w:lang w:val="zh-CN"/>
        </w:rPr>
      </w:pPr>
      <w:r>
        <w:rPr>
          <w:rFonts w:hint="eastAsia"/>
          <w:lang w:val="zh-CN"/>
        </w:rPr>
        <w:t>人民武装部</w:t>
      </w:r>
    </w:p>
    <w:p w14:paraId="467C4BB8">
      <w:pPr>
        <w:pStyle w:val="4"/>
        <w:bidi w:val="0"/>
        <w:rPr>
          <w:rFonts w:hint="eastAsia"/>
          <w:lang w:val="zh-CN"/>
        </w:rPr>
      </w:pPr>
      <w:r>
        <w:rPr>
          <w:rFonts w:hint="eastAsia"/>
          <w:lang w:val="zh-CN"/>
        </w:rPr>
        <w:t>【概况】</w:t>
      </w:r>
    </w:p>
    <w:p w14:paraId="02FFA2C1">
      <w:pPr>
        <w:bidi w:val="0"/>
        <w:rPr>
          <w:rFonts w:hint="eastAsia"/>
          <w:lang w:val="zh-CN"/>
        </w:rPr>
      </w:pPr>
      <w:r>
        <w:rPr>
          <w:rFonts w:hint="eastAsia"/>
          <w:lang w:val="zh-CN"/>
        </w:rPr>
        <w:t>南雄市人民武装部（以下简称市人武部）为正团级军事机关，设部长、政治委员各1名，机关设军事科、政治工作科、保障科、市民兵武器装备仓库和国防教育训练基地。</w:t>
      </w:r>
    </w:p>
    <w:p w14:paraId="742D4F19">
      <w:pPr>
        <w:pStyle w:val="4"/>
        <w:bidi w:val="0"/>
        <w:rPr>
          <w:rFonts w:hint="eastAsia"/>
          <w:lang w:val="zh-CN"/>
        </w:rPr>
      </w:pPr>
      <w:r>
        <w:rPr>
          <w:rFonts w:hint="eastAsia"/>
          <w:lang w:val="zh-CN"/>
        </w:rPr>
        <w:t>【战备训练】</w:t>
      </w:r>
    </w:p>
    <w:p w14:paraId="3D78B750">
      <w:pPr>
        <w:bidi w:val="0"/>
        <w:rPr>
          <w:rFonts w:hint="eastAsia"/>
          <w:lang w:val="zh-CN"/>
        </w:rPr>
      </w:pPr>
      <w:r>
        <w:rPr>
          <w:rFonts w:hint="eastAsia"/>
          <w:lang w:val="zh-CN"/>
        </w:rPr>
        <w:t>1月，组织全市民兵营长集训，集训内容包括法规理论学习、队列训练、轻武器实弹射击、应急消防训练观摩、参观梅岭红色教育基地等内容。2月，人武部机关组织民兵应急连紧急出动演练、开展基干民兵精简整编和民兵应急连力量建设。5月，参加韶关市轻舟分队集训。下半年，参加省军区组织的军分区、人武部带民兵应急分队紧急出动演练。6月，组织一期民兵应急分队集训，全市民兵队伍能力素质显著增强。6月和12月，分别参加省军区组织的半年、年终军事训练考核。第四季度，参加省、市组织的“粤动－2018”国防动员演练。</w:t>
      </w:r>
    </w:p>
    <w:p w14:paraId="6B055006">
      <w:pPr>
        <w:pStyle w:val="4"/>
        <w:bidi w:val="0"/>
        <w:rPr>
          <w:rFonts w:hint="eastAsia"/>
          <w:lang w:val="zh-CN"/>
        </w:rPr>
      </w:pPr>
      <w:r>
        <w:rPr>
          <w:rFonts w:hint="eastAsia"/>
          <w:lang w:val="zh-CN"/>
        </w:rPr>
        <w:t>【国防动员】</w:t>
      </w:r>
    </w:p>
    <w:p w14:paraId="691DF390">
      <w:pPr>
        <w:bidi w:val="0"/>
        <w:rPr>
          <w:rFonts w:hint="eastAsia"/>
          <w:lang w:val="zh-CN"/>
        </w:rPr>
      </w:pPr>
      <w:r>
        <w:rPr>
          <w:rFonts w:hint="eastAsia"/>
          <w:lang w:val="zh-CN"/>
        </w:rPr>
        <w:t>1至4月，开展全市民兵整组工作，民兵队伍建设更加合理、可用。3至5月，组织国防动员潜力统计调查工作，精准掌握辖区国防动员潜力。全年常态做好国防设施保护、国防教育、学生军训等工作。</w:t>
      </w:r>
    </w:p>
    <w:p w14:paraId="4DF2E2E0">
      <w:pPr>
        <w:pStyle w:val="4"/>
        <w:bidi w:val="0"/>
        <w:rPr>
          <w:rFonts w:hint="eastAsia"/>
          <w:lang w:val="zh-CN"/>
        </w:rPr>
      </w:pPr>
      <w:r>
        <w:rPr>
          <w:rFonts w:hint="eastAsia"/>
          <w:lang w:val="zh-CN"/>
        </w:rPr>
        <w:t>【征兵工作】</w:t>
      </w:r>
    </w:p>
    <w:p w14:paraId="759E2DA7">
      <w:pPr>
        <w:bidi w:val="0"/>
        <w:rPr>
          <w:rFonts w:hint="eastAsia"/>
          <w:lang w:val="zh-CN"/>
        </w:rPr>
      </w:pPr>
      <w:r>
        <w:rPr>
          <w:rFonts w:hint="eastAsia"/>
          <w:lang w:val="zh-CN"/>
        </w:rPr>
        <w:t>1至6月，组织开展网上兵役登记、征兵宣传发动和应征报名活动。3月初，召开专武干部会议，部署兵役登记大学生征兵和征兵工作。5月初，调整征兵工作领导小组和征兵办公室，组织征兵集中办公。7月1日，林小龙市长发表征兵电视讲话，鼓励全市适龄青年积极应征入伍。7月中旬，组织征兵体检业务培训，提升体检人员素质。7月下旬，召开全市征兵工作会议，总结2018年工作，部署2019年工作。8月初，全面展开征兵体检、政治考核、役前训练、审批定兵工作。9月初，组织新兵运输。9月下旬至10月中旬，组织新兵跟踪教育，全面完成年度征兵工作任务。</w:t>
      </w:r>
    </w:p>
    <w:p w14:paraId="41861E6A">
      <w:pPr>
        <w:pStyle w:val="4"/>
        <w:bidi w:val="0"/>
        <w:rPr>
          <w:rFonts w:hint="eastAsia"/>
          <w:lang w:val="zh-CN"/>
        </w:rPr>
      </w:pPr>
      <w:r>
        <w:rPr>
          <w:rFonts w:hint="eastAsia"/>
          <w:lang w:val="zh-CN"/>
        </w:rPr>
        <w:t>【双拥共建】</w:t>
      </w:r>
    </w:p>
    <w:p w14:paraId="5404AC88">
      <w:pPr>
        <w:bidi w:val="0"/>
        <w:rPr>
          <w:rFonts w:hint="eastAsia"/>
          <w:lang w:val="zh-CN"/>
        </w:rPr>
      </w:pPr>
      <w:r>
        <w:rPr>
          <w:rFonts w:hint="eastAsia"/>
          <w:lang w:val="zh-CN"/>
        </w:rPr>
        <w:t>解决2名随军未就业家属生活补贴发放事宜，安置3名转业士官。对口帮扶澜河镇洞底村，完成精准帮扶10户贫困户的脱贫攻坚任务。6月，开展“广东省扶贫济困日”捐款活动、慰问帮扶贫困老人等活动。参加抢险救灾行动，全年常态组织民兵预备役人员进行森林防火灭火、抢险救灾等行动。参加地方创文创卫、植树造林等活动，树立军事机关良好形象。</w:t>
      </w:r>
    </w:p>
    <w:p w14:paraId="7F89C203">
      <w:pPr>
        <w:pStyle w:val="11"/>
        <w:bidi w:val="0"/>
        <w:rPr>
          <w:rFonts w:hint="eastAsia"/>
          <w:b/>
          <w:bCs/>
          <w:lang w:val="zh-CN"/>
        </w:rPr>
      </w:pPr>
      <w:r>
        <w:rPr>
          <w:rFonts w:hint="eastAsia"/>
          <w:b/>
          <w:bCs/>
          <w:lang w:val="zh-CN"/>
        </w:rPr>
        <w:t>附：2018年市武装部领导班子成员名单</w:t>
      </w:r>
    </w:p>
    <w:p w14:paraId="55B47AF0">
      <w:pPr>
        <w:pStyle w:val="11"/>
        <w:bidi w:val="0"/>
        <w:rPr>
          <w:rFonts w:hint="eastAsia"/>
          <w:lang w:val="zh-CN"/>
        </w:rPr>
      </w:pPr>
      <w:r>
        <w:rPr>
          <w:rFonts w:hint="eastAsia"/>
          <w:b/>
          <w:bCs/>
          <w:lang w:val="zh-CN"/>
        </w:rPr>
        <w:t>部</w:t>
      </w:r>
      <w:r>
        <w:rPr>
          <w:rFonts w:hint="eastAsia"/>
          <w:b/>
          <w:bCs/>
          <w:lang w:val="en-US" w:eastAsia="zh-CN"/>
        </w:rPr>
        <w:t xml:space="preserve">    </w:t>
      </w:r>
      <w:r>
        <w:rPr>
          <w:rFonts w:hint="eastAsia"/>
          <w:b/>
          <w:bCs/>
          <w:lang w:val="zh-CN"/>
        </w:rPr>
        <w:t>长：</w:t>
      </w:r>
      <w:r>
        <w:rPr>
          <w:rFonts w:hint="eastAsia"/>
          <w:lang w:val="zh-CN"/>
        </w:rPr>
        <w:t>朱春华（任至7月）</w:t>
      </w:r>
    </w:p>
    <w:p w14:paraId="0CC1FF97">
      <w:pPr>
        <w:pStyle w:val="11"/>
        <w:bidi w:val="0"/>
        <w:ind w:leftChars="500"/>
        <w:rPr>
          <w:rFonts w:hint="eastAsia"/>
          <w:lang w:val="zh-CN"/>
        </w:rPr>
      </w:pPr>
      <w:r>
        <w:rPr>
          <w:rFonts w:hint="eastAsia"/>
          <w:lang w:val="zh-CN"/>
        </w:rPr>
        <w:t>张小兵（8月任职）</w:t>
      </w:r>
    </w:p>
    <w:p w14:paraId="71C243B3">
      <w:pPr>
        <w:pStyle w:val="11"/>
        <w:bidi w:val="0"/>
        <w:rPr>
          <w:rFonts w:hint="eastAsia"/>
          <w:lang w:val="zh-CN"/>
        </w:rPr>
      </w:pPr>
      <w:r>
        <w:rPr>
          <w:rFonts w:hint="eastAsia"/>
          <w:b/>
          <w:bCs/>
          <w:lang w:val="zh-CN"/>
        </w:rPr>
        <w:t>政治委员：</w:t>
      </w:r>
      <w:r>
        <w:rPr>
          <w:rFonts w:hint="eastAsia"/>
          <w:lang w:val="zh-CN"/>
        </w:rPr>
        <w:t>夏小辉</w:t>
      </w:r>
    </w:p>
    <w:p w14:paraId="315248DF">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部</w:t>
      </w:r>
      <w:r>
        <w:rPr>
          <w:rFonts w:hint="eastAsia"/>
          <w:b/>
          <w:bCs/>
          <w:lang w:val="en-US" w:eastAsia="zh-CN"/>
        </w:rPr>
        <w:t xml:space="preserve"> </w:t>
      </w:r>
      <w:r>
        <w:rPr>
          <w:rFonts w:hint="eastAsia"/>
          <w:b/>
          <w:bCs/>
          <w:lang w:val="zh-CN"/>
        </w:rPr>
        <w:t>长：</w:t>
      </w:r>
      <w:r>
        <w:rPr>
          <w:rFonts w:hint="eastAsia"/>
          <w:lang w:val="zh-CN"/>
        </w:rPr>
        <w:t>黄志敦（任至2月）</w:t>
      </w:r>
    </w:p>
    <w:p w14:paraId="69475118">
      <w:pPr>
        <w:pStyle w:val="11"/>
        <w:bidi w:val="0"/>
        <w:rPr>
          <w:rFonts w:hint="eastAsia"/>
          <w:lang w:val="zh-CN"/>
        </w:rPr>
      </w:pPr>
      <w:r>
        <w:rPr>
          <w:rFonts w:hint="eastAsia"/>
          <w:b/>
          <w:bCs/>
          <w:lang w:val="zh-CN"/>
        </w:rPr>
        <w:t>军事科长：</w:t>
      </w:r>
      <w:r>
        <w:rPr>
          <w:rFonts w:hint="eastAsia"/>
          <w:lang w:val="zh-CN"/>
        </w:rPr>
        <w:t>柳丹芃</w:t>
      </w:r>
    </w:p>
    <w:p w14:paraId="2D1F4964">
      <w:pPr>
        <w:pStyle w:val="3"/>
        <w:bidi w:val="0"/>
        <w:rPr>
          <w:rFonts w:hint="eastAsia"/>
          <w:lang w:val="zh-CN"/>
        </w:rPr>
      </w:pPr>
      <w:r>
        <w:rPr>
          <w:rFonts w:hint="eastAsia"/>
          <w:lang w:val="zh-CN"/>
        </w:rPr>
        <w:t>武警</w:t>
      </w:r>
    </w:p>
    <w:p w14:paraId="04E695DF">
      <w:pPr>
        <w:pStyle w:val="4"/>
        <w:bidi w:val="0"/>
        <w:rPr>
          <w:rFonts w:hint="eastAsia"/>
          <w:lang w:val="zh-CN"/>
        </w:rPr>
      </w:pPr>
      <w:r>
        <w:rPr>
          <w:rFonts w:hint="eastAsia"/>
          <w:lang w:val="zh-CN"/>
        </w:rPr>
        <w:t>【概况】</w:t>
      </w:r>
    </w:p>
    <w:p w14:paraId="35358657">
      <w:pPr>
        <w:bidi w:val="0"/>
        <w:rPr>
          <w:rFonts w:hint="eastAsia"/>
          <w:lang w:val="zh-CN"/>
        </w:rPr>
      </w:pPr>
      <w:r>
        <w:rPr>
          <w:rFonts w:hint="eastAsia"/>
          <w:lang w:val="zh-CN"/>
        </w:rPr>
        <w:t>中国人民武装警察部队韶关支队南雄中队设置于南雄市雄州镇陵园路1号，组建于1949年10月，1982年4月正式成立为“中国人民武装警察部队南雄中队”，隶属武警韶关市支队。主要担负南雄市看守所的武装看守、南雄地区的“处突”“反恐”、城市武装巡逻、重大临时勤务等维稳任务。</w:t>
      </w:r>
    </w:p>
    <w:p w14:paraId="61F5CF4C">
      <w:pPr>
        <w:pStyle w:val="4"/>
        <w:bidi w:val="0"/>
        <w:rPr>
          <w:rFonts w:hint="eastAsia"/>
          <w:lang w:val="zh-CN"/>
        </w:rPr>
      </w:pPr>
      <w:r>
        <w:rPr>
          <w:rFonts w:hint="eastAsia"/>
          <w:lang w:val="zh-CN"/>
        </w:rPr>
        <w:t>【行政管理】</w:t>
      </w:r>
    </w:p>
    <w:p w14:paraId="59EA96A1">
      <w:pPr>
        <w:bidi w:val="0"/>
        <w:rPr>
          <w:rFonts w:hint="eastAsia"/>
          <w:lang w:val="zh-CN"/>
        </w:rPr>
      </w:pPr>
      <w:r>
        <w:rPr>
          <w:rFonts w:hint="eastAsia"/>
          <w:lang w:val="zh-CN"/>
        </w:rPr>
        <w:t>中队认真贯彻落实条令条例和各项规章制度，建立和维护良好的内外关系，督促履行职责，建立和保持正规秩序，严格组织纪律，培养良好作风。培养锻炼官兵。成为具有高度自觉组织纪律、优良作风和良好习惯的高品质军人，使部队始终保持高度稳定和统一，巩固和提高部队战斗力，保证执勤和处置突发事件等各项任务的完成。</w:t>
      </w:r>
    </w:p>
    <w:p w14:paraId="0C5FF843">
      <w:pPr>
        <w:pStyle w:val="4"/>
        <w:bidi w:val="0"/>
        <w:rPr>
          <w:rFonts w:hint="eastAsia"/>
          <w:lang w:val="zh-CN"/>
        </w:rPr>
      </w:pPr>
      <w:r>
        <w:rPr>
          <w:rFonts w:hint="eastAsia"/>
          <w:lang w:val="zh-CN"/>
        </w:rPr>
        <w:t>【军事训练】</w:t>
      </w:r>
    </w:p>
    <w:p w14:paraId="07C9B402">
      <w:pPr>
        <w:bidi w:val="0"/>
        <w:rPr>
          <w:rFonts w:hint="eastAsia"/>
          <w:lang w:val="zh-CN"/>
        </w:rPr>
      </w:pPr>
      <w:r>
        <w:rPr>
          <w:rFonts w:hint="eastAsia"/>
          <w:lang w:val="zh-CN"/>
        </w:rPr>
        <w:t>中队坚持以强军目标为号召，坚决贯彻落实习近平主席对于加强武警部队建设的一系列重要指示，按照“抓经常、打基础、求规范、创一流”的工作思路，紧紧扭住“支部班子”这个核心，抓住“三支队伍”这个关键，扎实抓好经常性、基础性工作末端落实，高标准实现了“两个确保”。在训练中实施分类指导，开展科学练兵，严格按纲施训、从严治训，搞好训练保障，狠抓人员、时间、内容、效果的落实情况，健全和完善良好的训练奖励机制，2018年中队反恐应急能力、官兵综合素质显著提高。</w:t>
      </w:r>
    </w:p>
    <w:p w14:paraId="428E0E55">
      <w:pPr>
        <w:pStyle w:val="4"/>
        <w:bidi w:val="0"/>
        <w:rPr>
          <w:rFonts w:hint="eastAsia"/>
          <w:lang w:val="zh-CN"/>
        </w:rPr>
      </w:pPr>
      <w:r>
        <w:rPr>
          <w:rFonts w:hint="eastAsia"/>
          <w:lang w:val="zh-CN"/>
        </w:rPr>
        <w:t>【执勤战备】</w:t>
      </w:r>
    </w:p>
    <w:p w14:paraId="711FEEE9">
      <w:pPr>
        <w:bidi w:val="0"/>
        <w:rPr>
          <w:rFonts w:hint="eastAsia"/>
          <w:lang w:val="zh-CN"/>
        </w:rPr>
      </w:pPr>
      <w:r>
        <w:rPr>
          <w:rFonts w:hint="eastAsia"/>
          <w:lang w:val="zh-CN"/>
        </w:rPr>
        <w:t>全体官兵牢固树立居安思危意识，始终保持高度警惕，提高目标安全指数，确保南雄市看守所的绝对安全。</w:t>
      </w:r>
    </w:p>
    <w:p w14:paraId="200B749D">
      <w:pPr>
        <w:bidi w:val="0"/>
        <w:rPr>
          <w:rFonts w:hint="eastAsia"/>
          <w:lang w:val="zh-CN"/>
        </w:rPr>
      </w:pPr>
      <w:r>
        <w:rPr>
          <w:rFonts w:hint="eastAsia"/>
          <w:lang w:val="zh-CN"/>
        </w:rPr>
        <w:t>协助目标单位，对押犯进行押送，全年圆满完成押解任务。</w:t>
      </w:r>
    </w:p>
    <w:p w14:paraId="7971D229">
      <w:pPr>
        <w:pStyle w:val="4"/>
        <w:bidi w:val="0"/>
        <w:rPr>
          <w:rFonts w:hint="eastAsia"/>
          <w:lang w:val="zh-CN"/>
        </w:rPr>
      </w:pPr>
      <w:r>
        <w:rPr>
          <w:rFonts w:hint="eastAsia"/>
          <w:lang w:val="zh-CN"/>
        </w:rPr>
        <w:t>【拥政爱民】</w:t>
      </w:r>
    </w:p>
    <w:p w14:paraId="5F0E8A84">
      <w:pPr>
        <w:bidi w:val="0"/>
        <w:rPr>
          <w:rFonts w:hint="eastAsia"/>
          <w:lang w:val="zh-CN"/>
        </w:rPr>
      </w:pPr>
      <w:r>
        <w:rPr>
          <w:rFonts w:hint="eastAsia"/>
          <w:lang w:val="zh-CN"/>
        </w:rPr>
        <w:t>贯彻军地双重领导机制、加强军政军民关系，发扬热爱人民的优良传统，坚持全心全意为人民服务，积极与驻地人民开展各项活动。每年3、4月份开展学习雷锋月活动，组织官兵到南雄市福利院，看望、慰问孤寡老人。每月配合公安机关，打扫卫生，清洁路面。每年新兵下队、老兵退伍、全国献血日，组织中队官兵义务献血。经常深入驻地学校和社区开展国防教育，树立武警部队在党委政府和人民群众心目中的良好形象。邀请驻地学校参观中队营区，用切身的行动向全体学生进行爱国主义思想教育。</w:t>
      </w:r>
    </w:p>
    <w:p w14:paraId="54E411E5">
      <w:pPr>
        <w:pStyle w:val="4"/>
        <w:bidi w:val="0"/>
        <w:rPr>
          <w:rFonts w:hint="eastAsia"/>
          <w:lang w:val="zh-CN"/>
        </w:rPr>
      </w:pPr>
      <w:r>
        <w:rPr>
          <w:rFonts w:hint="eastAsia"/>
          <w:lang w:val="zh-CN"/>
        </w:rPr>
        <w:t>【后勤管理】</w:t>
      </w:r>
    </w:p>
    <w:p w14:paraId="791C6270">
      <w:pPr>
        <w:bidi w:val="0"/>
        <w:rPr>
          <w:rFonts w:hint="eastAsia"/>
          <w:lang w:val="zh-CN"/>
        </w:rPr>
      </w:pPr>
      <w:r>
        <w:rPr>
          <w:rFonts w:hint="eastAsia"/>
          <w:lang w:val="zh-CN"/>
        </w:rPr>
        <w:t>中队严格落实伙食精细管理要求，实行分餐制度，保障“1126”“6211”坚决落实。特别注重炊事员的培养和传承，坚持以“保障有力”为目标，狠抓后勤建设和管理，不断提高后勤规范化建设管理水平，在上级领导和地方领导的关心支持下，通过官兵的不懈努力，后勤综合保障能力不断增强。加强反恐器材的经费投入，使装备更加全面、更加现代化，为“执勤”“处突”等各项任务的圆满完成提供坚实保障。投入资金完成中队部分营区改造，中队自卫哨正在改建。发展农副业生产优势，对菜地土壤进行改良，全年养猪8头、种瓜菜6000公斤，不断提高中队伙食标准，加强伙食管理要求，让战士们“吃得好、吃得饱”。</w:t>
      </w:r>
    </w:p>
    <w:p w14:paraId="4CFD3BB1">
      <w:pPr>
        <w:pStyle w:val="4"/>
        <w:bidi w:val="0"/>
        <w:rPr>
          <w:rFonts w:hint="eastAsia"/>
          <w:lang w:val="zh-CN"/>
        </w:rPr>
      </w:pPr>
      <w:r>
        <w:rPr>
          <w:rFonts w:hint="eastAsia"/>
          <w:lang w:val="zh-CN"/>
        </w:rPr>
        <w:t>【荣誉】</w:t>
      </w:r>
    </w:p>
    <w:p w14:paraId="0D3A5E5C">
      <w:pPr>
        <w:bidi w:val="0"/>
        <w:rPr>
          <w:rFonts w:hint="eastAsia"/>
          <w:lang w:val="zh-CN"/>
        </w:rPr>
      </w:pPr>
      <w:r>
        <w:rPr>
          <w:rFonts w:hint="eastAsia"/>
          <w:lang w:val="zh-CN"/>
        </w:rPr>
        <w:t>2018年被总队评为按纲建队先进中队、正规化执勤先进单位、执勤标兵中队，先后多次被评为“三无”基层单位和执勤先进中队，被评为“先进基层党组织”。</w:t>
      </w:r>
    </w:p>
    <w:p w14:paraId="7E802BBD">
      <w:pPr>
        <w:bidi w:val="0"/>
        <w:jc w:val="right"/>
        <w:rPr>
          <w:rFonts w:hint="eastAsia"/>
          <w:b/>
          <w:bCs/>
          <w:lang w:val="zh-CN"/>
        </w:rPr>
      </w:pPr>
      <w:r>
        <w:rPr>
          <w:rFonts w:hint="eastAsia"/>
          <w:b/>
          <w:bCs/>
          <w:lang w:val="zh-CN"/>
        </w:rPr>
        <w:t>（陈</w:t>
      </w:r>
      <w:r>
        <w:rPr>
          <w:rFonts w:hint="eastAsia"/>
          <w:b/>
          <w:bCs/>
          <w:lang w:val="en-US" w:eastAsia="zh-CN"/>
        </w:rPr>
        <w:t xml:space="preserve">  </w:t>
      </w:r>
      <w:r>
        <w:rPr>
          <w:rFonts w:hint="eastAsia"/>
          <w:b/>
          <w:bCs/>
          <w:lang w:val="zh-CN"/>
        </w:rPr>
        <w:t>勰）</w:t>
      </w:r>
    </w:p>
    <w:p w14:paraId="70B2C0DF">
      <w:pPr>
        <w:pStyle w:val="11"/>
        <w:bidi w:val="0"/>
        <w:rPr>
          <w:rFonts w:hint="eastAsia"/>
          <w:b/>
          <w:bCs/>
          <w:lang w:val="zh-CN"/>
        </w:rPr>
      </w:pPr>
      <w:r>
        <w:rPr>
          <w:rFonts w:hint="eastAsia"/>
          <w:b/>
          <w:bCs/>
          <w:lang w:val="zh-CN"/>
        </w:rPr>
        <w:t>附：2018年武警中队领导班子成员名单</w:t>
      </w:r>
    </w:p>
    <w:p w14:paraId="2CD02AB9">
      <w:pPr>
        <w:pStyle w:val="11"/>
        <w:bidi w:val="0"/>
        <w:rPr>
          <w:rFonts w:hint="eastAsia"/>
          <w:lang w:val="zh-CN"/>
        </w:rPr>
      </w:pPr>
      <w:r>
        <w:rPr>
          <w:rFonts w:hint="eastAsia"/>
          <w:b/>
          <w:bCs/>
          <w:lang w:val="zh-CN"/>
        </w:rPr>
        <w:t>中队长：</w:t>
      </w:r>
      <w:r>
        <w:rPr>
          <w:rFonts w:hint="eastAsia"/>
          <w:lang w:val="zh-CN"/>
        </w:rPr>
        <w:t>刘晶晶</w:t>
      </w:r>
    </w:p>
    <w:p w14:paraId="0A15D205">
      <w:pPr>
        <w:pStyle w:val="11"/>
        <w:bidi w:val="0"/>
        <w:rPr>
          <w:rFonts w:hint="eastAsia"/>
          <w:lang w:val="zh-CN"/>
        </w:rPr>
      </w:pPr>
      <w:r>
        <w:rPr>
          <w:rFonts w:hint="eastAsia"/>
          <w:b/>
          <w:bCs/>
          <w:lang w:val="zh-CN"/>
        </w:rPr>
        <w:t>指导员：</w:t>
      </w:r>
      <w:r>
        <w:rPr>
          <w:rFonts w:hint="eastAsia"/>
          <w:lang w:val="zh-CN"/>
        </w:rPr>
        <w:t>陈</w:t>
      </w:r>
      <w:r>
        <w:rPr>
          <w:rFonts w:hint="eastAsia"/>
          <w:lang w:val="en-US" w:eastAsia="zh-CN"/>
        </w:rPr>
        <w:t xml:space="preserve">  </w:t>
      </w:r>
      <w:r>
        <w:rPr>
          <w:rFonts w:hint="eastAsia"/>
          <w:lang w:val="zh-CN"/>
        </w:rPr>
        <w:t>勰</w:t>
      </w:r>
    </w:p>
    <w:p w14:paraId="7AC1CC6C">
      <w:pPr>
        <w:pStyle w:val="3"/>
        <w:bidi w:val="0"/>
        <w:rPr>
          <w:rFonts w:hint="eastAsia"/>
          <w:lang w:val="zh-CN"/>
        </w:rPr>
      </w:pPr>
      <w:r>
        <w:rPr>
          <w:rFonts w:hint="eastAsia"/>
          <w:lang w:val="zh-CN"/>
        </w:rPr>
        <w:t>消防</w:t>
      </w:r>
    </w:p>
    <w:p w14:paraId="4B222444">
      <w:pPr>
        <w:pStyle w:val="4"/>
        <w:bidi w:val="0"/>
        <w:rPr>
          <w:rFonts w:hint="eastAsia"/>
          <w:lang w:val="zh-CN"/>
        </w:rPr>
      </w:pPr>
      <w:r>
        <w:rPr>
          <w:rFonts w:hint="eastAsia"/>
          <w:lang w:val="zh-CN"/>
        </w:rPr>
        <w:t>【概况】</w:t>
      </w:r>
    </w:p>
    <w:p w14:paraId="75E0D39A">
      <w:pPr>
        <w:bidi w:val="0"/>
        <w:rPr>
          <w:rFonts w:hint="eastAsia"/>
          <w:lang w:val="zh-CN"/>
        </w:rPr>
      </w:pPr>
      <w:r>
        <w:rPr>
          <w:rFonts w:hint="eastAsia"/>
          <w:lang w:val="zh-CN"/>
        </w:rPr>
        <w:t>南雄市公安消防大队组建于1974年，隶属于韶关市公安消防支队。</w:t>
      </w:r>
    </w:p>
    <w:p w14:paraId="6C03A952">
      <w:pPr>
        <w:bidi w:val="0"/>
        <w:rPr>
          <w:rFonts w:hint="eastAsia"/>
          <w:lang w:val="zh-CN"/>
        </w:rPr>
      </w:pPr>
      <w:r>
        <w:rPr>
          <w:rFonts w:hint="eastAsia"/>
          <w:lang w:val="zh-CN"/>
        </w:rPr>
        <w:t>2018年未发生安全事故，辖区未发生较大以上火灾事故，圆满完成年度各项重点工作。</w:t>
      </w:r>
    </w:p>
    <w:p w14:paraId="742ACEAA">
      <w:pPr>
        <w:pStyle w:val="4"/>
        <w:bidi w:val="0"/>
        <w:rPr>
          <w:rFonts w:hint="eastAsia"/>
          <w:lang w:val="zh-CN"/>
        </w:rPr>
      </w:pPr>
      <w:r>
        <w:rPr>
          <w:rFonts w:hint="eastAsia"/>
          <w:lang w:val="zh-CN"/>
        </w:rPr>
        <w:t>【队伍建设】</w:t>
      </w:r>
    </w:p>
    <w:p w14:paraId="4609949D">
      <w:pPr>
        <w:bidi w:val="0"/>
        <w:rPr>
          <w:rFonts w:hint="eastAsia"/>
          <w:lang w:val="zh-CN"/>
        </w:rPr>
      </w:pPr>
      <w:r>
        <w:rPr>
          <w:rFonts w:hint="eastAsia"/>
          <w:lang w:val="zh-CN"/>
        </w:rPr>
        <w:t>2018年10月9日，公安消防部队集体移交应急管理部，标志着消防官兵集体退出现役。但是大队坚持改革不停顿、改隶不止步、作风不放松的原则，以文武兼备的训练要求，要求队员们文要能研究技战术、熟知车辆装备性能和开展实战化，武要能攻坚克难，不断在体能和技能寻求突破。紧抓管理，促进队伍新发展。组织全体官兵开展“学习践悟十九大、投身“改革谱新篇”“条令条例学习”“警示教育”“教育整训”“治酒驾、严纪律、正风气”纪律作风整顿和“牢记总书记训词、建设过硬队伍”等专题活动，在支队举办十九大知识竞赛中获得团体第五名。强化正规化十一类活动组织实施，紧盯影响安全稳定突出问题，围绕队伍管理工作重点环节，强化消防员的责任意识和安全意识，严格落实安全管理制度和防范措施，深入排查整治各类安全隐患，健全预防长效机制，全年实现“五无”目标。抓执勤岗位练兵工作，大队领导带头亲自抓训练、促落实，亲自把关，每月组织一次对中队的体能考核，形成自上而下、大队全员参训的良好训练氛围。2018年中队在全市公安消防部队第一季度体能会操中荣获第一名。2018年接处警238起，出动消防车397辆次、消防指战员2378人次，抢救被困人员30人，疏散人员87人。同比上年，接警起数下降14.18%。成功处置“10·20”金叶花苑小区住宅火灾，“4·18”沃太化工泄漏事故等一系列急难险重任务。大力开展青年志愿服务，牢固树立省级“青年文明号”旗帜。大队党委结合工作实际，将业务窗口大力打造成青年文明服务形象窗口，2018年受理各类业务180余宗，受理各类咨询200余起，并组织加入青年志愿者服务，深入社区、学校、企业等开展各类消防宣传20余次。大力培树宣传先进典型，搭建和拓宽身边典型培树平台，不断强化全体指战员的荣誉感和使命感。王斌斌同志在十九大安保中荣立三等功，赵鹏鹏同志被评为总队教育整训标兵，推选蔡玉胜同志参加第四季度“南雄好人”评选活动。</w:t>
      </w:r>
    </w:p>
    <w:p w14:paraId="77E02638">
      <w:pPr>
        <w:pStyle w:val="4"/>
        <w:bidi w:val="0"/>
        <w:rPr>
          <w:rFonts w:hint="eastAsia"/>
          <w:lang w:val="zh-CN"/>
        </w:rPr>
      </w:pPr>
      <w:r>
        <w:rPr>
          <w:rFonts w:hint="eastAsia"/>
          <w:lang w:val="zh-CN"/>
        </w:rPr>
        <w:t>【后勤保障】</w:t>
      </w:r>
    </w:p>
    <w:p w14:paraId="4BBC57EB">
      <w:pPr>
        <w:bidi w:val="0"/>
        <w:rPr>
          <w:rFonts w:hint="eastAsia"/>
          <w:lang w:val="zh-CN"/>
        </w:rPr>
      </w:pPr>
      <w:r>
        <w:rPr>
          <w:rFonts w:hint="eastAsia"/>
          <w:lang w:val="zh-CN"/>
        </w:rPr>
        <w:t>2018年，大队预算经费453.24万元，同比增长77%。装备器材建设有保障。按照消防装备建设需求，专项争取通讯器材保障经费47.48万元和防化装备购置经费10万元。提请市政府解决政府专职消防队工作经费12万元。先后投入2150万元的工业园专职消防队主体基本建设完成，部分功能设施已投入使用。7月30日，市委书记王碧安主持召开市委第57次常委会会议（市委常委议军会议），会议要求申请专项经费解决防化洗消车及相关洗消器材购置的问题；针对登高平台消防车的配备问题，由消防大队与市财政局协商，作出具体方案提交市委审批；由市财政局先行解决个人防化设备购置费用和园区专职消防队工作经费缺口10多万元；南雄市人民政府第十五届22次常务会议同意参照执行韶关市稳定消防救援队伍若干政策措施（五项措施），落实每日100元执勤补贴，将大队全体指战员、专职队员、消防文员纳入绩效奖考核。大队先后投入60余万元对营区路面基础设施、篮球场等进行维修改造，投入30余万元购买装备和制作夏季训练器材，更新办公用品等，营造良好的工作、生活环境。</w:t>
      </w:r>
    </w:p>
    <w:p w14:paraId="1F27858D">
      <w:pPr>
        <w:pStyle w:val="4"/>
        <w:bidi w:val="0"/>
        <w:rPr>
          <w:rFonts w:hint="eastAsia"/>
          <w:lang w:val="zh-CN"/>
        </w:rPr>
      </w:pPr>
      <w:r>
        <w:rPr>
          <w:rFonts w:hint="eastAsia"/>
          <w:lang w:val="zh-CN"/>
        </w:rPr>
        <w:t>【火灾防控】</w:t>
      </w:r>
    </w:p>
    <w:p w14:paraId="2AC08944">
      <w:pPr>
        <w:bidi w:val="0"/>
        <w:rPr>
          <w:rFonts w:hint="eastAsia"/>
          <w:lang w:val="zh-CN"/>
        </w:rPr>
      </w:pPr>
      <w:r>
        <w:rPr>
          <w:rFonts w:hint="eastAsia"/>
          <w:lang w:val="zh-CN"/>
        </w:rPr>
        <w:t>2018年，全市发生火灾153起，同比上年，火灾起数下降18.03%，无亡人及较大影响火灾发生，火灾形势持续稳定。行业配合，推动消防工作落地见效。联合市安监、文化、教育、旅游、住建、民政、卫计等行业部门，对易燃易爆企业、文物古建筑、寄宿制学校、幼儿园、重点旅游景区、在建工地、养老福利机构、医院等单位逐一开展消防安全检查，排查场所消防安全隐患，提升场所防范火灾能力。5月，与市民政局签订《南雄市民政服务机构消防安全共建战略合作协议》，大幅提高辖区社会福利机构安全保障。重拳出击，紧盯重点环节整治。在充分研判全市消防安全形势基础上，结合火灾形势，有针对性开展消防安全治理活动。2018年大队检查社会单位2521家次，督促整改火灾隐患或违法行为1856处，下发行政处罚决定书23份，下发临时查封决定书14份，责令“三停”单位14家，累计罚款72.21万元，拘留11人。印发《南雄市市政消火栓管理办法》，于5月14日起施行。严肃查处火灾刑事案件。10月24日，南雄市人民法院依法对2017年“8·11五金大厦火灾”李某标涉嫌失火案进行判决，判处李某标有期徒刑一年七个月。该案历时1年多，韶关市支队和大队克服重重困难，依法依规开展侦查，先后6次提审犯罪嫌疑人，对30余名证人进行询问，对12家商户、25家住户、5家相关单位多次调查走访，完成韶关市首宗消防刑事案件调查工作。</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A175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62A2E37">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1090" cy="4000500"/>
                  <wp:effectExtent l="0" t="0" r="10160" b="0"/>
                  <wp:docPr id="120" name="图片 120" descr="南雄年鉴2019_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南雄年鉴2019_0095"/>
                          <pic:cNvPicPr>
                            <a:picLocks noChangeAspect="1"/>
                          </pic:cNvPicPr>
                        </pic:nvPicPr>
                        <pic:blipFill>
                          <a:blip r:embed="rId107"/>
                          <a:stretch>
                            <a:fillRect/>
                          </a:stretch>
                        </pic:blipFill>
                        <pic:spPr>
                          <a:xfrm>
                            <a:off x="0" y="0"/>
                            <a:ext cx="6181090" cy="4000500"/>
                          </a:xfrm>
                          <a:prstGeom prst="rect">
                            <a:avLst/>
                          </a:prstGeom>
                        </pic:spPr>
                      </pic:pic>
                    </a:graphicData>
                  </a:graphic>
                </wp:inline>
              </w:drawing>
            </w:r>
          </w:p>
        </w:tc>
      </w:tr>
      <w:tr w14:paraId="0BA21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5238EA2">
            <w:pPr>
              <w:bidi w:val="0"/>
              <w:rPr>
                <w:rFonts w:hint="eastAsia"/>
                <w:vertAlign w:val="baseline"/>
                <w:lang w:val="zh-CN"/>
              </w:rPr>
            </w:pPr>
            <w:r>
              <w:rPr>
                <w:rFonts w:hint="eastAsia" w:ascii="FZKTK--GBK1-0" w:hAnsi="FZKTK--GBK1-0" w:eastAsia="FZKTK--GBK1-0"/>
                <w:color w:val="000000"/>
                <w:sz w:val="20"/>
              </w:rPr>
              <w:t>到幼儿园开展消防训练</w:t>
            </w:r>
            <w:r>
              <w:rPr>
                <w:rFonts w:hint="eastAsia" w:ascii="FZKTK--GBK1-0" w:hAnsi="FZKTK--GBK1-0" w:eastAsia="FZKTK--GBK1-0"/>
                <w:sz w:val="20"/>
              </w:rPr>
              <w:t>（市消防大队</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75DB3B0F">
      <w:pPr>
        <w:bidi w:val="0"/>
        <w:rPr>
          <w:rFonts w:hint="eastAsia"/>
          <w:lang w:val="zh-CN"/>
        </w:rPr>
      </w:pPr>
      <w:r>
        <w:rPr>
          <w:rFonts w:hint="eastAsia"/>
          <w:lang w:val="zh-CN"/>
        </w:rPr>
        <w:t>开展冬春火灾防控、夏季消防检查、“打通生命通道”消防安全专项行动、电动车“正源清违”专项治理、“三合一”场所消防安全专项整治行动、城市综合体消防安全专项整治以及博物馆和文物建筑消防安全大检查等专项行动，排除一大批火灾隐患，提升辖区消防安全形势。全市排查各类三小场所8000余家次，其中“三合一”场所744家，针对各场所问题，各镇、部门细致分工、责任到人，督促“三合一”逐一整改，确保场所消防安全。</w:t>
      </w:r>
      <w:r>
        <w:rPr>
          <w:rFonts w:hint="eastAsia"/>
          <w:b/>
          <w:bCs/>
          <w:lang w:val="zh-CN"/>
        </w:rPr>
        <w:t>（赵鹏鹏）</w:t>
      </w:r>
    </w:p>
    <w:p w14:paraId="307933B0">
      <w:pPr>
        <w:pStyle w:val="11"/>
        <w:bidi w:val="0"/>
        <w:rPr>
          <w:rFonts w:hint="eastAsia"/>
          <w:b/>
          <w:bCs/>
          <w:lang w:val="zh-CN"/>
        </w:rPr>
      </w:pPr>
      <w:r>
        <w:rPr>
          <w:rFonts w:hint="eastAsia"/>
          <w:b/>
          <w:bCs/>
          <w:lang w:val="zh-CN"/>
        </w:rPr>
        <w:t>附：2018年市消防救援大队领导班子成员名单</w:t>
      </w:r>
    </w:p>
    <w:p w14:paraId="6BD2F0BF">
      <w:pPr>
        <w:pStyle w:val="11"/>
        <w:bidi w:val="0"/>
        <w:rPr>
          <w:rFonts w:hint="eastAsia"/>
          <w:lang w:val="zh-CN"/>
        </w:rPr>
      </w:pPr>
      <w:r>
        <w:rPr>
          <w:rFonts w:hint="eastAsia"/>
          <w:b/>
          <w:bCs/>
          <w:lang w:val="zh-CN"/>
        </w:rPr>
        <w:t>大队政治教导员：</w:t>
      </w:r>
      <w:r>
        <w:rPr>
          <w:rFonts w:hint="eastAsia"/>
          <w:lang w:val="zh-CN"/>
        </w:rPr>
        <w:t>谭小雄</w:t>
      </w:r>
    </w:p>
    <w:p w14:paraId="6136FEAC">
      <w:pPr>
        <w:pStyle w:val="11"/>
        <w:bidi w:val="0"/>
        <w:rPr>
          <w:rFonts w:hint="eastAsia"/>
          <w:lang w:val="zh-CN"/>
        </w:rPr>
      </w:pPr>
      <w:r>
        <w:rPr>
          <w:rFonts w:hint="eastAsia"/>
          <w:b/>
          <w:bCs/>
          <w:lang w:val="zh-CN"/>
        </w:rPr>
        <w:t>大</w:t>
      </w:r>
      <w:r>
        <w:rPr>
          <w:rFonts w:hint="eastAsia"/>
          <w:b/>
          <w:bCs/>
          <w:lang w:val="en-US" w:eastAsia="zh-CN"/>
        </w:rPr>
        <w:t xml:space="preserve">    </w:t>
      </w:r>
      <w:r>
        <w:rPr>
          <w:rFonts w:hint="eastAsia"/>
          <w:b/>
          <w:bCs/>
          <w:lang w:val="zh-CN"/>
        </w:rPr>
        <w:t>队</w:t>
      </w:r>
      <w:r>
        <w:rPr>
          <w:rFonts w:hint="eastAsia"/>
          <w:b/>
          <w:bCs/>
          <w:lang w:val="en-US" w:eastAsia="zh-CN"/>
        </w:rPr>
        <w:t xml:space="preserve">    </w:t>
      </w:r>
      <w:r>
        <w:rPr>
          <w:rFonts w:hint="eastAsia"/>
          <w:b/>
          <w:bCs/>
          <w:lang w:val="zh-CN"/>
        </w:rPr>
        <w:t>长：</w:t>
      </w:r>
      <w:r>
        <w:rPr>
          <w:rFonts w:hint="eastAsia"/>
          <w:lang w:val="zh-CN"/>
        </w:rPr>
        <w:t>陈文波</w:t>
      </w:r>
    </w:p>
    <w:p w14:paraId="5F7EE5A2">
      <w:pPr>
        <w:pStyle w:val="2"/>
        <w:bidi w:val="0"/>
        <w:rPr>
          <w:rFonts w:hint="eastAsia"/>
        </w:rPr>
      </w:pPr>
      <w:r>
        <w:rPr>
          <w:rFonts w:hint="eastAsia"/>
        </w:rPr>
        <w:t>法治</w:t>
      </w:r>
    </w:p>
    <w:p w14:paraId="25A6E87A">
      <w:pPr>
        <w:pStyle w:val="3"/>
        <w:bidi w:val="0"/>
        <w:rPr>
          <w:rFonts w:hint="eastAsia"/>
          <w:lang w:val="zh-CN"/>
        </w:rPr>
      </w:pPr>
      <w:r>
        <w:rPr>
          <w:rFonts w:hint="eastAsia"/>
          <w:lang w:val="zh-CN"/>
        </w:rPr>
        <w:t>政法委及综治</w:t>
      </w:r>
    </w:p>
    <w:p w14:paraId="388C7E77">
      <w:pPr>
        <w:pStyle w:val="4"/>
        <w:bidi w:val="0"/>
        <w:rPr>
          <w:rFonts w:hint="eastAsia"/>
          <w:lang w:val="zh-CN"/>
        </w:rPr>
      </w:pPr>
      <w:r>
        <w:rPr>
          <w:rFonts w:hint="eastAsia"/>
          <w:lang w:val="zh-CN"/>
        </w:rPr>
        <w:t>【概况】</w:t>
      </w:r>
    </w:p>
    <w:p w14:paraId="0EFE5B21">
      <w:pPr>
        <w:bidi w:val="0"/>
        <w:rPr>
          <w:rFonts w:hint="eastAsia"/>
          <w:lang w:val="zh-CN"/>
        </w:rPr>
      </w:pPr>
      <w:r>
        <w:rPr>
          <w:rFonts w:hint="eastAsia"/>
          <w:lang w:val="zh-CN"/>
        </w:rPr>
        <w:t>中共南雄市委政法委员会是市委领导和管理政法工作的职能部门。代管南雄市法学会。行政编制19名，内设8个工作室，分别是政工室、综治工作室、维稳工作室、依法治市工作室、社工室、创平安工作室、防范工作室、法治监督工作室。</w:t>
      </w:r>
    </w:p>
    <w:p w14:paraId="761E5233">
      <w:pPr>
        <w:pStyle w:val="4"/>
        <w:bidi w:val="0"/>
        <w:rPr>
          <w:rFonts w:hint="eastAsia"/>
          <w:lang w:val="zh-CN"/>
        </w:rPr>
      </w:pPr>
      <w:r>
        <w:rPr>
          <w:rFonts w:hint="eastAsia"/>
          <w:lang w:val="zh-CN"/>
        </w:rPr>
        <w:t>【社会综合治理】</w:t>
      </w:r>
    </w:p>
    <w:p w14:paraId="56E2F9C4">
      <w:pPr>
        <w:bidi w:val="0"/>
        <w:rPr>
          <w:rFonts w:hint="eastAsia"/>
          <w:lang w:val="zh-CN"/>
        </w:rPr>
      </w:pPr>
      <w:r>
        <w:rPr>
          <w:rFonts w:hint="eastAsia"/>
          <w:lang w:val="zh-CN"/>
        </w:rPr>
        <w:t>2018年，全市处置涉黑涉恶线索200余条，打掉涉恶团伙10个，查封冻结扣押涉案资产11万元。在韶关市2018年扫黑除恶工作奖励中，市公安局荣获专案集体三等功，2名办案民警荣获个人三等功。重点开展“飓风2018专项行动”，严厉打击电信网络诈骗、网络金融犯罪、两抢一盗、黑恶势力等各类违法犯罪行为，保障人民群众的生命财产安全。上半年省委政法委聘请第三方调查机构公布结果显示，南雄市群众安全感排在韶关第二名。在韶关市率先开展“雪亮工程”。建好68个村居，累计新增710多个高清视频监控探头，覆盖各村居主要进出路口、重点场所等。综治E通手机、综治信息平台完成纵向到镇到村、横向到成员单位的全覆盖，初步建成“中心+网格化+信息化”工作模式。</w:t>
      </w:r>
    </w:p>
    <w:p w14:paraId="71B08109">
      <w:pPr>
        <w:pStyle w:val="4"/>
        <w:bidi w:val="0"/>
        <w:rPr>
          <w:rFonts w:hint="eastAsia"/>
          <w:lang w:val="zh-CN"/>
        </w:rPr>
      </w:pPr>
      <w:r>
        <w:rPr>
          <w:rFonts w:hint="eastAsia"/>
          <w:lang w:val="zh-CN"/>
        </w:rPr>
        <w:t>【特殊人群管理】</w:t>
      </w:r>
    </w:p>
    <w:p w14:paraId="4EA1D59F">
      <w:pPr>
        <w:bidi w:val="0"/>
        <w:rPr>
          <w:rFonts w:hint="eastAsia"/>
          <w:lang w:val="zh-CN"/>
        </w:rPr>
      </w:pPr>
      <w:r>
        <w:rPr>
          <w:rFonts w:hint="eastAsia"/>
          <w:lang w:val="zh-CN"/>
        </w:rPr>
        <w:t>2018年，全市累计登记建档严重精神障碍患者2831人，在册患者2500人，规范管理率91.92%。自7月17日开始，对在管严重精神障碍患者门诊检查治疗实行全免费。完成严重精神障碍有奖监护补助发放141.96万元。完成监护人责任保险投保2210人，投保金额44.2万元。</w:t>
      </w:r>
    </w:p>
    <w:p w14:paraId="17B0EFF3">
      <w:pPr>
        <w:pStyle w:val="4"/>
        <w:bidi w:val="0"/>
        <w:rPr>
          <w:rFonts w:hint="eastAsia"/>
          <w:lang w:val="zh-CN"/>
        </w:rPr>
      </w:pPr>
      <w:r>
        <w:rPr>
          <w:rFonts w:hint="eastAsia"/>
          <w:lang w:val="zh-CN"/>
        </w:rPr>
        <w:t>【创建平安工作】</w:t>
      </w:r>
    </w:p>
    <w:p w14:paraId="00A820D7">
      <w:pPr>
        <w:bidi w:val="0"/>
        <w:rPr>
          <w:rFonts w:hint="eastAsia"/>
          <w:lang w:val="zh-CN"/>
        </w:rPr>
      </w:pPr>
      <w:r>
        <w:rPr>
          <w:rFonts w:hint="eastAsia"/>
          <w:lang w:val="zh-CN"/>
        </w:rPr>
        <w:t>2018年，持续开展“平安宣传月”活动，融合传统媒体和新媒体宣传手段，不断提高广大群众知晓率和参与度，创新“自选动作”，打造平安南雄品牌。在雄州街道7个社区中的7小区实施“幸福家园”工程试点。7个小区均成立业主委员会，完成门禁系统建设、小区绿化、亮化、宣传栏等公益设施建设，各项基础设施工程基本完工。以创建“宜商宜业，宜居宜游”的平安和谐大珠玑为目标，制定《珠玑镇打造平安示范区三年行动方案》。整合教育、交通、卫计资源，并争取上级资金20万元，在全镇开展创建平安村小组、平安村居、平安景区、平安医院、平安校园等为支点，以创建平安交通（新旧323线）为线，通过各示范点的建成，并以平安交通为线将各示范点串联，将珠玑镇打造成“点—线—面”相结合的平安示范区域。2018年珠玑镇完成“综治联勤指挥室”建设、平安文化上墙建设、群防群治队伍建设、省定贫困村“雪亮工程”建设，并实现视频联网，村居视联网正在建设中，各类平安细胞建设有序推进并取得初步成效。打造“新时代枫桥经验”，开展“平安祥和新黄坑”创建活动。</w:t>
      </w:r>
    </w:p>
    <w:p w14:paraId="0337B7AA">
      <w:pPr>
        <w:pStyle w:val="4"/>
        <w:bidi w:val="0"/>
        <w:rPr>
          <w:rFonts w:hint="eastAsia"/>
          <w:lang w:val="zh-CN"/>
        </w:rPr>
      </w:pPr>
      <w:r>
        <w:rPr>
          <w:rFonts w:hint="eastAsia"/>
          <w:lang w:val="zh-CN"/>
        </w:rPr>
        <w:t>【信访维稳工作】</w:t>
      </w:r>
    </w:p>
    <w:p w14:paraId="0D1ED299">
      <w:pPr>
        <w:bidi w:val="0"/>
        <w:rPr>
          <w:rFonts w:hint="eastAsia"/>
          <w:lang w:val="zh-CN"/>
        </w:rPr>
      </w:pPr>
      <w:r>
        <w:rPr>
          <w:rFonts w:hint="eastAsia"/>
          <w:lang w:val="zh-CN"/>
        </w:rPr>
        <w:t>2018年，坚持每月定期召开矛盾纠纷排查例会，坚持领导开门接访，落实《给领导一封信》任务清单交办机制，常态化督查督办机制。有效地减少到省进京上访，维护社会大局持续稳定。2018年，排查矛盾纠纷1262件，化解1247件，化解率98.8%；排查纠纷2421次，预防纠纷1414件；防止“民转刑”4件涉及8人；防止群体性上访12件涉及91人；防止群体性械斗1件涉及3人。牵头处置华电劳资纠纷，茗豪花园、江玥名门、中泰华府等房地产项目纠纷，云联会、e租宝、P2P等涉众型金融问题。</w:t>
      </w:r>
    </w:p>
    <w:p w14:paraId="1E687E20">
      <w:pPr>
        <w:pStyle w:val="4"/>
        <w:bidi w:val="0"/>
        <w:rPr>
          <w:rFonts w:hint="eastAsia"/>
          <w:lang w:val="zh-CN"/>
        </w:rPr>
      </w:pPr>
      <w:r>
        <w:rPr>
          <w:rFonts w:hint="eastAsia"/>
          <w:lang w:val="zh-CN"/>
        </w:rPr>
        <w:t>【南雄市法学会】</w:t>
      </w:r>
    </w:p>
    <w:p w14:paraId="6A9CC769">
      <w:pPr>
        <w:bidi w:val="0"/>
        <w:rPr>
          <w:rFonts w:hint="eastAsia"/>
          <w:lang w:val="zh-CN"/>
        </w:rPr>
      </w:pPr>
      <w:r>
        <w:rPr>
          <w:rFonts w:hint="eastAsia"/>
          <w:lang w:val="zh-CN"/>
        </w:rPr>
        <w:t>2018年，以宪法宣传为重点，落实“谁执法谁普法”要求，大力推行行政执法公示、执法全过程记录、重大执法决定法制审核“三项制度”，提高行政执法程序意识，推进依法行政，加快法治政府建设。12月，组织法律专家评议团对市国土局、税务局、妇联和水务局4个单位法制宣传工作进行评议；邀请韶关学院法学院院长韩登池在南雄市大会堂作《生态文明建设的法治保障》专题辅导报告，增强领导干部坚持走生态发展道路理念；在电视台开办法制宣传专栏《法治在线》。</w:t>
      </w:r>
    </w:p>
    <w:p w14:paraId="1BB1F3DF">
      <w:pPr>
        <w:pStyle w:val="4"/>
        <w:bidi w:val="0"/>
        <w:rPr>
          <w:rFonts w:hint="eastAsia"/>
          <w:lang w:val="zh-CN"/>
        </w:rPr>
      </w:pPr>
      <w:r>
        <w:rPr>
          <w:rFonts w:hint="eastAsia"/>
          <w:lang w:val="zh-CN"/>
        </w:rPr>
        <w:t>【全面依法治市】</w:t>
      </w:r>
    </w:p>
    <w:p w14:paraId="5B2A41D0">
      <w:pPr>
        <w:bidi w:val="0"/>
        <w:rPr>
          <w:rFonts w:hint="eastAsia"/>
          <w:lang w:val="zh-CN"/>
        </w:rPr>
      </w:pPr>
      <w:r>
        <w:rPr>
          <w:rFonts w:hint="eastAsia"/>
          <w:lang w:val="zh-CN"/>
        </w:rPr>
        <w:t>2018年，积极推进依法行政，加快法治政府建设。开展法治镇（街）创建“回头看”活动，进一步巩固“四级同创”创建成果，完善政务公开工作机制，提升政府信息透明度和政府公信力；加强政府法律顾问制度建设，2018年，印发《南雄市政府法律顾问管理办法》《关于进一步发挥法律顾问作用的通知》等文件；加大行政复议工作力度，收到行政复议案件申请11宗，6宗按期审结，5宗正在审理；印发《关于进一步贯彻落实国家机关“谁执法谁普法”普法责任制的实施意见》，共同推动法治南雄建设。</w:t>
      </w:r>
    </w:p>
    <w:p w14:paraId="628D1F8C">
      <w:pPr>
        <w:pStyle w:val="4"/>
        <w:bidi w:val="0"/>
        <w:rPr>
          <w:rFonts w:hint="eastAsia"/>
          <w:lang w:val="zh-CN"/>
        </w:rPr>
      </w:pPr>
      <w:r>
        <w:rPr>
          <w:rFonts w:hint="eastAsia"/>
          <w:lang w:val="zh-CN"/>
        </w:rPr>
        <w:t>【防范邪教工作】</w:t>
      </w:r>
    </w:p>
    <w:p w14:paraId="763DB63C">
      <w:pPr>
        <w:bidi w:val="0"/>
        <w:rPr>
          <w:rFonts w:hint="eastAsia"/>
          <w:lang w:val="zh-CN"/>
        </w:rPr>
      </w:pPr>
      <w:r>
        <w:rPr>
          <w:rFonts w:hint="eastAsia"/>
          <w:lang w:val="zh-CN"/>
        </w:rPr>
        <w:t>加大对“法轮功”“全能神”“主神教”等邪教打击力度，开展“无邪教镇、村”创建活动，开展“敲门行动”，对56名重点人员逐一进行敲打教育，2018年未发生邪教人员到省进京聚集、规模性公开聚集滋事的极端事件。</w:t>
      </w:r>
    </w:p>
    <w:p w14:paraId="4D795F4F">
      <w:pPr>
        <w:pStyle w:val="4"/>
        <w:bidi w:val="0"/>
        <w:rPr>
          <w:rFonts w:hint="eastAsia"/>
          <w:lang w:val="zh-CN"/>
        </w:rPr>
      </w:pPr>
      <w:r>
        <w:rPr>
          <w:rFonts w:hint="eastAsia"/>
          <w:lang w:val="zh-CN"/>
        </w:rPr>
        <w:t>【铁路护路工作】</w:t>
      </w:r>
    </w:p>
    <w:p w14:paraId="074D184E">
      <w:pPr>
        <w:bidi w:val="0"/>
        <w:rPr>
          <w:rFonts w:hint="eastAsia"/>
          <w:lang w:val="zh-CN"/>
        </w:rPr>
      </w:pPr>
      <w:r>
        <w:rPr>
          <w:rFonts w:hint="eastAsia"/>
          <w:lang w:val="zh-CN"/>
        </w:rPr>
        <w:t>2018年未发生影响铁路运行安全重大责任事故。开创省际联防联动机制，签订《广东南雄—江西大余铁路护路边际联防协议书》，以粤赣两地领导为首创的“路地联勤联动工作站”揭牌，举办粤赣边际大型交流活动，对护路队员进行护路知识培训，开展铁路护路安全演练，为跨省域协作护路打下坚实基础。</w:t>
      </w:r>
    </w:p>
    <w:p w14:paraId="6DE1AD01">
      <w:pPr>
        <w:pStyle w:val="11"/>
        <w:bidi w:val="0"/>
        <w:rPr>
          <w:rFonts w:hint="eastAsia"/>
          <w:b/>
          <w:bCs/>
          <w:lang w:val="zh-CN"/>
        </w:rPr>
      </w:pPr>
      <w:r>
        <w:rPr>
          <w:rFonts w:hint="eastAsia"/>
          <w:b/>
          <w:bCs/>
          <w:lang w:val="zh-CN"/>
        </w:rPr>
        <w:t>附：2018年市委政法委领导班子成员名单</w:t>
      </w:r>
    </w:p>
    <w:p w14:paraId="31BEC9B6">
      <w:pPr>
        <w:pStyle w:val="11"/>
        <w:bidi w:val="0"/>
        <w:rPr>
          <w:rFonts w:hint="eastAsia"/>
          <w:lang w:val="zh-CN"/>
        </w:rPr>
      </w:pPr>
      <w:r>
        <w:rPr>
          <w:rFonts w:hint="eastAsia"/>
          <w:b/>
          <w:bCs/>
          <w:lang w:val="zh-CN"/>
        </w:rPr>
        <w:t>书</w:t>
      </w:r>
      <w:r>
        <w:rPr>
          <w:rFonts w:hint="eastAsia"/>
          <w:b/>
          <w:bCs/>
          <w:lang w:val="en-US" w:eastAsia="zh-CN"/>
        </w:rPr>
        <w:t xml:space="preserve">      </w:t>
      </w:r>
      <w:r>
        <w:rPr>
          <w:rFonts w:hint="eastAsia"/>
          <w:b/>
          <w:bCs/>
          <w:lang w:val="zh-CN"/>
        </w:rPr>
        <w:t>记：</w:t>
      </w:r>
      <w:r>
        <w:rPr>
          <w:rFonts w:hint="eastAsia"/>
          <w:lang w:val="zh-CN"/>
        </w:rPr>
        <w:t>张英宏（兼）</w:t>
      </w:r>
    </w:p>
    <w:p w14:paraId="15C9B174">
      <w:pPr>
        <w:pStyle w:val="11"/>
        <w:bidi w:val="0"/>
        <w:rPr>
          <w:rFonts w:hint="eastAsia"/>
          <w:lang w:val="zh-CN"/>
        </w:rPr>
      </w:pPr>
      <w:r>
        <w:rPr>
          <w:rFonts w:hint="eastAsia"/>
          <w:b/>
          <w:bCs/>
          <w:lang w:val="zh-CN"/>
        </w:rPr>
        <w:t>第一副书记：</w:t>
      </w:r>
      <w:r>
        <w:rPr>
          <w:rFonts w:hint="eastAsia"/>
          <w:lang w:val="zh-CN"/>
        </w:rPr>
        <w:t>曾东野（兼）</w:t>
      </w:r>
    </w:p>
    <w:p w14:paraId="63BFDC2A">
      <w:pPr>
        <w:pStyle w:val="11"/>
        <w:bidi w:val="0"/>
        <w:rPr>
          <w:rFonts w:hint="eastAsia"/>
          <w:lang w:val="zh-CN"/>
        </w:rPr>
      </w:pPr>
      <w:r>
        <w:rPr>
          <w:rFonts w:hint="eastAsia"/>
          <w:b/>
          <w:bCs/>
          <w:lang w:val="zh-CN"/>
        </w:rPr>
        <w:t>常务副书记：</w:t>
      </w:r>
      <w:r>
        <w:rPr>
          <w:rFonts w:hint="eastAsia"/>
          <w:lang w:val="zh-CN"/>
        </w:rPr>
        <w:t>苏德椿</w:t>
      </w:r>
    </w:p>
    <w:p w14:paraId="307829E0">
      <w:pPr>
        <w:pStyle w:val="11"/>
        <w:bidi w:val="0"/>
        <w:rPr>
          <w:rFonts w:hint="eastAsia"/>
          <w:lang w:val="zh-CN"/>
        </w:rPr>
      </w:pPr>
      <w:r>
        <w:rPr>
          <w:rFonts w:hint="eastAsia"/>
          <w:b/>
          <w:bCs/>
          <w:lang w:val="zh-CN"/>
        </w:rPr>
        <w:t>专职副书记：</w:t>
      </w:r>
      <w:r>
        <w:rPr>
          <w:rFonts w:hint="eastAsia"/>
          <w:lang w:val="zh-CN"/>
        </w:rPr>
        <w:t>张堂耀</w:t>
      </w:r>
      <w:r>
        <w:rPr>
          <w:rFonts w:hint="eastAsia"/>
          <w:lang w:val="en-US" w:eastAsia="zh-CN"/>
        </w:rPr>
        <w:t xml:space="preserve">   </w:t>
      </w:r>
      <w:r>
        <w:rPr>
          <w:rFonts w:hint="eastAsia"/>
          <w:lang w:val="zh-CN"/>
        </w:rPr>
        <w:t>陈志刚</w:t>
      </w:r>
    </w:p>
    <w:p w14:paraId="6B26EC12">
      <w:pPr>
        <w:pStyle w:val="11"/>
        <w:bidi w:val="0"/>
        <w:ind w:left="1260" w:leftChars="600"/>
        <w:rPr>
          <w:rFonts w:hint="eastAsia"/>
          <w:lang w:val="zh-CN"/>
        </w:rPr>
      </w:pPr>
      <w:r>
        <w:rPr>
          <w:rFonts w:hint="eastAsia"/>
          <w:lang w:val="zh-CN"/>
        </w:rPr>
        <w:t>何荣生</w:t>
      </w:r>
    </w:p>
    <w:p w14:paraId="559A6F85">
      <w:pPr>
        <w:pStyle w:val="11"/>
        <w:bidi w:val="0"/>
        <w:rPr>
          <w:rFonts w:hint="eastAsia"/>
          <w:lang w:val="zh-CN"/>
        </w:rPr>
      </w:pPr>
      <w:r>
        <w:rPr>
          <w:rFonts w:hint="eastAsia"/>
          <w:b/>
          <w:bCs/>
          <w:lang w:val="zh-CN"/>
        </w:rPr>
        <w:t>专</w:t>
      </w:r>
      <w:r>
        <w:rPr>
          <w:rFonts w:hint="eastAsia"/>
          <w:b/>
          <w:bCs/>
          <w:lang w:val="en-US" w:eastAsia="zh-CN"/>
        </w:rPr>
        <w:t xml:space="preserve"> </w:t>
      </w:r>
      <w:r>
        <w:rPr>
          <w:rFonts w:hint="eastAsia"/>
          <w:b/>
          <w:bCs/>
          <w:lang w:val="zh-CN"/>
        </w:rPr>
        <w:t>职</w:t>
      </w:r>
      <w:r>
        <w:rPr>
          <w:rFonts w:hint="eastAsia"/>
          <w:b/>
          <w:bCs/>
          <w:lang w:val="en-US" w:eastAsia="zh-CN"/>
        </w:rPr>
        <w:t xml:space="preserve"> </w:t>
      </w:r>
      <w:r>
        <w:rPr>
          <w:rFonts w:hint="eastAsia"/>
          <w:b/>
          <w:bCs/>
          <w:lang w:val="zh-CN"/>
        </w:rPr>
        <w:t>委员：</w:t>
      </w:r>
      <w:r>
        <w:rPr>
          <w:rFonts w:hint="eastAsia"/>
          <w:lang w:val="zh-CN"/>
        </w:rPr>
        <w:t>刘</w:t>
      </w:r>
      <w:r>
        <w:rPr>
          <w:rFonts w:hint="eastAsia"/>
          <w:lang w:val="en-US" w:eastAsia="zh-CN"/>
        </w:rPr>
        <w:t xml:space="preserve">  </w:t>
      </w:r>
      <w:r>
        <w:rPr>
          <w:rFonts w:hint="eastAsia"/>
          <w:lang w:val="zh-CN"/>
        </w:rPr>
        <w:t>坚</w:t>
      </w:r>
      <w:r>
        <w:rPr>
          <w:rFonts w:hint="eastAsia"/>
          <w:lang w:val="en-US" w:eastAsia="zh-CN"/>
        </w:rPr>
        <w:t xml:space="preserve">   </w:t>
      </w:r>
      <w:r>
        <w:rPr>
          <w:rFonts w:hint="eastAsia"/>
          <w:lang w:val="zh-CN"/>
        </w:rPr>
        <w:t>熊丽娜</w:t>
      </w:r>
    </w:p>
    <w:p w14:paraId="704E0BAF">
      <w:pPr>
        <w:pStyle w:val="11"/>
        <w:bidi w:val="0"/>
        <w:ind w:left="1260" w:leftChars="600"/>
        <w:rPr>
          <w:rFonts w:hint="eastAsia"/>
          <w:lang w:val="zh-CN"/>
        </w:rPr>
      </w:pPr>
      <w:r>
        <w:rPr>
          <w:rFonts w:hint="eastAsia"/>
          <w:lang w:val="zh-CN"/>
        </w:rPr>
        <w:t>肖清龙</w:t>
      </w:r>
      <w:r>
        <w:rPr>
          <w:rFonts w:hint="eastAsia"/>
          <w:lang w:val="en-US" w:eastAsia="zh-CN"/>
        </w:rPr>
        <w:t xml:space="preserve">   </w:t>
      </w:r>
      <w:r>
        <w:rPr>
          <w:rFonts w:hint="eastAsia"/>
          <w:lang w:val="zh-CN"/>
        </w:rPr>
        <w:t>邱万锋</w:t>
      </w:r>
    </w:p>
    <w:p w14:paraId="0F52B926">
      <w:pPr>
        <w:pStyle w:val="3"/>
        <w:bidi w:val="0"/>
        <w:rPr>
          <w:rFonts w:hint="eastAsia"/>
          <w:lang w:val="zh-CN"/>
        </w:rPr>
      </w:pPr>
      <w:r>
        <w:rPr>
          <w:rFonts w:hint="eastAsia"/>
          <w:lang w:val="zh-CN"/>
        </w:rPr>
        <w:t>司法行政</w:t>
      </w:r>
    </w:p>
    <w:p w14:paraId="7A4EC34E">
      <w:pPr>
        <w:pStyle w:val="4"/>
        <w:bidi w:val="0"/>
        <w:rPr>
          <w:rFonts w:hint="eastAsia"/>
          <w:lang w:val="zh-CN"/>
        </w:rPr>
      </w:pPr>
      <w:r>
        <w:rPr>
          <w:rFonts w:hint="eastAsia"/>
          <w:lang w:val="zh-CN"/>
        </w:rPr>
        <w:t>【概况】</w:t>
      </w:r>
    </w:p>
    <w:p w14:paraId="188FDE6C">
      <w:pPr>
        <w:bidi w:val="0"/>
        <w:rPr>
          <w:rFonts w:hint="eastAsia"/>
          <w:lang w:val="zh-CN"/>
        </w:rPr>
      </w:pPr>
      <w:r>
        <w:rPr>
          <w:rFonts w:hint="eastAsia"/>
          <w:lang w:val="zh-CN"/>
        </w:rPr>
        <w:t>南雄市司法局1982年恢复建制，局机关内设政工科（副科级）、办公室、宣教股、基层股、社区矫正股、公律股6个业务股室。局直属事业单位有：南雄市公证处（公益一类事业单位）、南雄市法律援助处（参公管理事业单位）、公职律师事务所（参公管理事业单位）。全市18个乡镇（街道）设基层司法所，为市司法局派出机构。</w:t>
      </w:r>
    </w:p>
    <w:p w14:paraId="7D0A4314">
      <w:pPr>
        <w:bidi w:val="0"/>
        <w:rPr>
          <w:rFonts w:hint="eastAsia"/>
          <w:lang w:val="zh-CN"/>
        </w:rPr>
      </w:pPr>
      <w:r>
        <w:rPr>
          <w:rFonts w:hint="eastAsia"/>
          <w:lang w:val="zh-CN"/>
        </w:rPr>
        <w:t>2018年局机关人员编制18名，在编人员17人；市公职律师事务所人员编制5名，在编人员3人；市公证处人员编制3名，在编人员0人；市法律援助处人员编制5名，在编人员5人。乡镇（街道）司法所人员编制38名，在编人员32人。</w:t>
      </w:r>
    </w:p>
    <w:p w14:paraId="5B19641C">
      <w:pPr>
        <w:pStyle w:val="4"/>
        <w:bidi w:val="0"/>
        <w:rPr>
          <w:rFonts w:hint="eastAsia"/>
          <w:lang w:val="zh-CN"/>
        </w:rPr>
      </w:pPr>
      <w:r>
        <w:rPr>
          <w:rFonts w:hint="eastAsia"/>
          <w:lang w:val="zh-CN"/>
        </w:rPr>
        <w:t>【法制宣传教育】</w:t>
      </w:r>
    </w:p>
    <w:p w14:paraId="27740908">
      <w:pPr>
        <w:bidi w:val="0"/>
        <w:rPr>
          <w:rFonts w:hint="eastAsia"/>
          <w:lang w:val="zh-CN"/>
        </w:rPr>
      </w:pPr>
      <w:r>
        <w:rPr>
          <w:rFonts w:hint="eastAsia"/>
          <w:lang w:val="zh-CN"/>
        </w:rPr>
        <w:t>2018年先后在市二小、市检察院挂牌成立“青少年法治教育实践基地”，并以南雄市第二中学校园为依托，创建南雄市青少年法治教育实践基地，2018年投入12万元设置完成模拟法庭、法律咨询室、禁毒图片展览室、法律阅览室4个基本功能区。依托雄州公园，投入18万多元，制作宪法基石碑、宣传栏、宣传标语等，以通俗易懂、群众喜闻乐见的形式，将宪法、党的十九大精神等新的法治文化元素植入园区景观，建设法治文化主题公园；投入12万元设置南雄市法治文化长廊，通过图文并茂的形式、广泛宣传“七五”普法知识、禁毒知识、消防安全知识等法律知识。2018年有94个村、11个居委会按照省“六有”“六无”“七个一”的标准申报创建省级民主法治村（社区），创建达标率由2017年的40%上升到85%，超额完成省级下达80%的创建目标。2018年南雄供电局申报省级“法治文化建设示范企业”，通过韶关审核。组织全市公职人员和青少年通过“韶关市普法考试微平台”进行学法考试，突出宪法教育，深入宣传中国特色社会主义法律体系，推进全市青少年学法用法；为全市中小学配备法治副校长，联合市教育局开展法治副校长培训，组织学生参加韶关市中小学生法治书画比赛、青少年儿童法治文艺比赛及法治童话故事征文比赛等活动。</w:t>
      </w:r>
    </w:p>
    <w:p w14:paraId="286023AE">
      <w:pPr>
        <w:bidi w:val="0"/>
        <w:rPr>
          <w:rFonts w:hint="eastAsia"/>
          <w:lang w:val="zh-CN"/>
        </w:rPr>
      </w:pPr>
      <w:r>
        <w:rPr>
          <w:rFonts w:hint="eastAsia"/>
          <w:lang w:val="zh-CN"/>
        </w:rPr>
        <w:t>在“七五”普法中期检查和验收工作方面，通过定期召开全市法制宣传教育工作联席会议，成立南雄市“七五”普法中期检查督导组，由市领导带队开展“七五”普法中期督导检查。8月15日，韶关市“七五”普法中期检查组实地检查南雄“七五”普法工作并给予肯定，完成韶关市对南雄“七五”普法中期检查验收。</w:t>
      </w:r>
    </w:p>
    <w:p w14:paraId="77FB4B7A">
      <w:pPr>
        <w:bidi w:val="0"/>
        <w:rPr>
          <w:rFonts w:hint="eastAsia"/>
          <w:lang w:val="zh-CN"/>
        </w:rPr>
      </w:pPr>
      <w:r>
        <w:rPr>
          <w:rFonts w:hint="eastAsia"/>
          <w:lang w:val="zh-CN"/>
        </w:rPr>
        <w:t>2018年打造普法宣传阵地，对河南桥广场内55.4米长的普法长廊进行统一更换，用老百姓喜闻乐见的法律问答、法治案例、法治漫画等形式向群众宣传法律知识，使群众能更直观地了解、学习法律法规，营造良好的“法治育人”环境。在市政府橱窗布展“七五”普法规划宣传栏和司法宣传栏，用以开展普法工作、一村（社区）一法律顾问工作、法律援助工作以及人民调解工作。</w:t>
      </w:r>
    </w:p>
    <w:p w14:paraId="05419728">
      <w:pPr>
        <w:bidi w:val="0"/>
        <w:rPr>
          <w:rFonts w:hint="eastAsia"/>
          <w:lang w:val="zh-CN"/>
        </w:rPr>
      </w:pPr>
      <w:r>
        <w:rPr>
          <w:rFonts w:hint="eastAsia"/>
          <w:lang w:val="zh-CN"/>
        </w:rPr>
        <w:t>在扫黑除恶专项斗争印发5万份宣传小册子，并发放扫黑除恶通告到每家每户，印发1060份宣传挂图，在各乡镇、各村委会张贴，并公布举报电话；在高速公路南雄出入口和国道323线制作T型广告2幅，并在5个建筑围栏（高速路口、仁和地产、珠玑牌坊、时代广场、黎口医院、河南岭）张贴宣传围挡和条幅，通过局LED屏幕、“南雄普法”微信公众号等阵地广泛宣传扫黑除恶专项斗争活动，营造浓厚的扫黑除恶工作氛围，使扫黑除恶工作深入人心。</w:t>
      </w:r>
    </w:p>
    <w:p w14:paraId="1F44270F">
      <w:pPr>
        <w:bidi w:val="0"/>
        <w:rPr>
          <w:rFonts w:hint="eastAsia"/>
          <w:lang w:val="zh-CN"/>
        </w:rPr>
      </w:pPr>
      <w:r>
        <w:rPr>
          <w:rFonts w:hint="eastAsia"/>
          <w:lang w:val="zh-CN"/>
        </w:rPr>
        <w:t>创新方式，将微博、微信等新兴媒体的运用与法治宣传紧密结合，开创“互联网＋法治宣传”的法治宣传新模式，构建以“南雄普法”微信公众号、“南雄普法”微博等为核心的新媒体法治宣传矩阵，安排专人负责微信、微博运行。市普法办充分利用这些微信公众号、微博等载体发布各类社会热点解读与典型案例，推动手机媒体普遍开设常设性的法治宣传专栏，通过“普法微信群”平台发送给市民，供市民学习讨论，既解决市民学法难题，又方便解决市民遇到的问题。</w:t>
      </w:r>
    </w:p>
    <w:p w14:paraId="42E05C81">
      <w:pPr>
        <w:pStyle w:val="4"/>
        <w:bidi w:val="0"/>
        <w:rPr>
          <w:rFonts w:hint="eastAsia"/>
          <w:lang w:val="zh-CN"/>
        </w:rPr>
      </w:pPr>
      <w:r>
        <w:rPr>
          <w:rFonts w:hint="eastAsia"/>
          <w:lang w:val="zh-CN"/>
        </w:rPr>
        <w:t>【一村（社区）一法律顾问工作】</w:t>
      </w:r>
    </w:p>
    <w:p w14:paraId="46CA84C0">
      <w:pPr>
        <w:bidi w:val="0"/>
        <w:rPr>
          <w:rFonts w:hint="eastAsia"/>
          <w:lang w:val="zh-CN"/>
        </w:rPr>
      </w:pPr>
      <w:r>
        <w:rPr>
          <w:rFonts w:hint="eastAsia"/>
          <w:lang w:val="zh-CN"/>
        </w:rPr>
        <w:t>发挥律师专业特长，在全市范围内开展一村（社区）一法律顾问工作，引导律师参与基层依法治理创新，切实维护广大人民群众的合法利益。同时，通过开展普法宣讲和矛盾纠纷调解工作，引导群众按照法律规定途径反映利益诉求，依法依规、理性解决各种矛盾纠纷。同时，开展村（社区）法律顾问业务培训、村（社区）法律顾问律师述职工作，对村（社区）法律顾问律师履职情况进行检查评估，深化村（社区）法律顾问律师工作。推进“法援惠民助力脱贫攻坚”活动。9月-12月，接收到南雄公共法律服务实体平台实训的广州实习律师16名，缓解南雄公共法律服务实体平台人手不足问题，增强法律服务实体平台专业人员力量。来自韶关市19家律师事务所（其中3家为南雄市律所）55名律师与南雄市232个村（社区）签订法律服务合同。2018年，南雄市村（社区）法律顾问累计接访咨询2718件次，出具法律意见38件次，法律援助4宗，调解纠纷54宗，开展法治讲座、法律培训994场，提供其他法律服务155件。</w:t>
      </w:r>
    </w:p>
    <w:p w14:paraId="1FADCEE5">
      <w:pPr>
        <w:bidi w:val="0"/>
        <w:rPr>
          <w:rFonts w:hint="eastAsia"/>
          <w:lang w:val="zh-CN"/>
        </w:rPr>
      </w:pPr>
      <w:r>
        <w:rPr>
          <w:rFonts w:hint="eastAsia"/>
          <w:lang w:val="zh-CN"/>
        </w:rPr>
        <w:t>2018年，强化对律师和律所执业行为监管。10月15日至16日进行全市律所检查，经查，南雄市4家律师事务所的律师在执业过程中均能按照《律师法》的有关规定，统一收案、统一收取费用，不存在违法行为。2018年新增律师12名，全市律师增至27名，且有3人申请实习律师，新成立律师事务所一家。</w:t>
      </w:r>
    </w:p>
    <w:p w14:paraId="20F33361">
      <w:pPr>
        <w:pStyle w:val="4"/>
        <w:bidi w:val="0"/>
        <w:rPr>
          <w:rFonts w:hint="eastAsia"/>
          <w:lang w:val="zh-CN"/>
        </w:rPr>
      </w:pPr>
      <w:r>
        <w:rPr>
          <w:rFonts w:hint="eastAsia"/>
          <w:lang w:val="zh-CN"/>
        </w:rPr>
        <w:t>【公证工作】</w:t>
      </w:r>
    </w:p>
    <w:p w14:paraId="46FEEE08">
      <w:pPr>
        <w:bidi w:val="0"/>
        <w:rPr>
          <w:rFonts w:hint="eastAsia"/>
          <w:lang w:val="zh-CN"/>
        </w:rPr>
      </w:pPr>
      <w:r>
        <w:rPr>
          <w:rFonts w:hint="eastAsia"/>
          <w:lang w:val="zh-CN"/>
        </w:rPr>
        <w:t>2018年，南雄市公证处办结各类公证199件，公证收费上缴3.47万元，为机关和个人、企事业单位提供优质公证服务。</w:t>
      </w:r>
    </w:p>
    <w:p w14:paraId="60678F99">
      <w:pPr>
        <w:pStyle w:val="4"/>
        <w:bidi w:val="0"/>
        <w:rPr>
          <w:rFonts w:hint="eastAsia"/>
          <w:lang w:val="zh-CN"/>
        </w:rPr>
      </w:pPr>
      <w:r>
        <w:rPr>
          <w:rFonts w:hint="eastAsia"/>
          <w:lang w:val="zh-CN"/>
        </w:rPr>
        <w:t>【法律援助】</w:t>
      </w:r>
    </w:p>
    <w:p w14:paraId="137506BC">
      <w:pPr>
        <w:bidi w:val="0"/>
        <w:rPr>
          <w:rFonts w:hint="eastAsia"/>
          <w:lang w:val="zh-CN"/>
        </w:rPr>
      </w:pPr>
      <w:r>
        <w:rPr>
          <w:rFonts w:hint="eastAsia"/>
          <w:lang w:val="zh-CN"/>
        </w:rPr>
        <w:t>开展法律援助进驻看守所、法院值班，维护困难群众合法权益。市法律援助处分别在市看守所和市法院设置工作站，2018年前三季度，向驻法院工作站派驻律师24人次，接受咨询48次；向驻看守所工作站派驻律师24人次，接受咨询36次。推进刑事辩护全覆盖，提高刑事法援工作质量。与市法院开展刑事案件律师辩护全覆盖试点工作，强化值班律师、委托辩护转达、通知辩护等方面的工作，确保刑事案件法律援助全覆盖试点工作顺利开展；与公、检、法办案部门加强沟通协调，进一步完善规范法援值班律师工作运行机制和质量保障措施。主动参与到涉黑涉恶案件的办理与辩护。律师在为涉黑涉恶案件犯罪嫌疑人、被告人辩护时，依照法律程序履行诉讼职责，行使诉讼权利，恪守律师执业纪律和职业道德。律师在代理涉黑涉恶案件时，要保守办案秘密（包括国家秘密、商业秘密和当事人的隐私），不要在媒体上大肆炒作案情，更不要迎合犯罪嫌疑人、被告人及其亲属的不合理要求去妨害作证、违法取证。助力农民工讨薪，维护农民工合法权益。市法律援助处建立内部与外部沟通机制，合力开展农民工维权工作，制定下发农民工工资支付专项活动通知，加强与当地法院的沟通协调，缩短农民工法律援助案件的办结案周期，与劳动仲裁部门建立劳动争议案件法律援助联动协作机制，使法律援助律师及时参与仲裁，提升劳动争议纠纷仲裁成功率和办案质量。同时，组织村居法律顾问律师依托“一村居一法律顾问”活动开展“以案释法”工作，结合全市开展的“疏解整治促提升”活动，深入村居、辖区企业、工地、集贸市场开展巡回服务，面向企业经营者和农民工举办劳动保障法律和法律援助知识讲座，开展以案释法，充分运用农民工欠薪典型案例进行释法宣传，引导企业和农民工尊法学法守法用法，依法理性反映诉求。在农民工工资支付专项维权活动期间，市法律援助处累计办理农民工法律援助案件12件，为39名农民工实际追讨金额34.03万元。各镇街法律援助工作站累计开展农民工法律援助宣传25场，涉及农民工约400人，扩大法律援助社会知晓率。强化措施，提升法律援办案范围和质量。将农民工、老年人、未成年人、残疾人、妇女等五类弱势群体全纳入到法律援助范围，做到“能援则援”“应援尽援”，切实解决困难群众的“打官司难”和“打不起官司”问题。简化受理程序，提供便捷服务，简化和规范了法律援助申请、受理、审查和指派程序，做到便利群众、方便诉讼，切实提高人民群众对法律援助的满意度。严格执行办案程序、提高办案质量，组织全体法援工作人员对个别案件进行旁听、评估、跟踪等活动，通过公开投诉电话、回访受援人意见等形式了解承办案件情况和服务质量，对一些社会影响大的案件，进行全程监督、指导，确保办案质量。2018年，市法律援助处受理法援案件376宗（民事129宗，刑事249宗），办结304宗（民事125宗，刑事179宗），前三季度受理刑事案件律师全覆盖辩护案件156件。累计办理农民工法律援助12件，为39名农民工实际追讨金额36.39万元；开展农民工法律援助宣传25场，涉及教育农民工约400人次，接待来访来电咨询1200人次，为当事人挽回经济损失36.11万元。向驻法院工作站派驻律师24人次，接受咨询48次；向驻南雄市看守所工作站派驻律师24人次，接受咨询36次。</w:t>
      </w:r>
    </w:p>
    <w:p w14:paraId="60CCE7B8">
      <w:pPr>
        <w:pStyle w:val="4"/>
        <w:bidi w:val="0"/>
        <w:rPr>
          <w:rFonts w:hint="eastAsia"/>
          <w:lang w:val="zh-CN"/>
        </w:rPr>
      </w:pPr>
      <w:r>
        <w:rPr>
          <w:rFonts w:hint="eastAsia"/>
          <w:lang w:val="zh-CN"/>
        </w:rPr>
        <w:t>【基层法律服务】</w:t>
      </w:r>
    </w:p>
    <w:p w14:paraId="3002DA48">
      <w:pPr>
        <w:bidi w:val="0"/>
        <w:rPr>
          <w:rFonts w:hint="eastAsia"/>
          <w:lang w:val="zh-CN"/>
        </w:rPr>
      </w:pPr>
      <w:r>
        <w:rPr>
          <w:rFonts w:hint="eastAsia"/>
          <w:lang w:val="zh-CN"/>
        </w:rPr>
        <w:t>组织全市6家基层法律服务所11名基层法律服务工作者，学习讨论新修订的《基层法律服务所管理办法》《基层法律服务工作者管理办法》，并针对存在的问题共同商讨整改办法和意见。按要求组织6个基层法律服务所和11个基层法律服务工作者年审注册，抓好基层法律服务所和法律服务工作者年审工作，加强对基层法律服务工作的业务指导，规范基层法律服务的秩序，确保为基层群众提供优质高效的法律服务。同时，动员基层法律服务工作者积极参与矛盾纠纷调解工作，引导群众理性合法表达诉求，切实维护社会秩序稳定。</w:t>
      </w:r>
    </w:p>
    <w:p w14:paraId="25750D51">
      <w:pPr>
        <w:pStyle w:val="4"/>
        <w:bidi w:val="0"/>
        <w:rPr>
          <w:rFonts w:hint="eastAsia"/>
          <w:lang w:val="zh-CN"/>
        </w:rPr>
      </w:pPr>
      <w:r>
        <w:rPr>
          <w:rFonts w:hint="eastAsia"/>
          <w:lang w:val="zh-CN"/>
        </w:rPr>
        <w:t>【人民调解】</w:t>
      </w:r>
    </w:p>
    <w:p w14:paraId="24E8CF5F">
      <w:pPr>
        <w:bidi w:val="0"/>
        <w:rPr>
          <w:rFonts w:hint="eastAsia"/>
          <w:lang w:val="zh-CN"/>
        </w:rPr>
      </w:pPr>
      <w:r>
        <w:rPr>
          <w:rFonts w:hint="eastAsia"/>
          <w:lang w:val="zh-CN"/>
        </w:rPr>
        <w:t>推进专职调解员队伍建设。4月招聘18名专职人民调解员，组织专职人民调解员岗前培训，切实提升整体素质和业务水平。2018年，省级财政下拨聘请专职调解员经费26.13万元，累计支出23.04万元，完成省级财政聘请经费的88.19%，落实专职调解员年薪。落实人民调解以案定补，根据人民调解案件涉案金额、涉案人数及调处难易程度进行分类，不同的类别给予不同的奖励金额。同时，制定人民调解“以案定补”案件审核制度。2018年，对各镇（街）上报的人民调解案件进行审核，审核通过的案件将按时发放“以案定补”奖励。接收到近1000宗案件案卷，累计调解案件1137件，成功1127件，累计使用财政补贴案件数968件，完成省财政案件分配数的78.7%。省级财政下拨本市以案定补经费13.81万元，支付12.5万元，完成省级财政以案定补经费90.55%。加强专业性行业性人民调解组织规范化建设。制定医调委、交调委及企业调解组织工作制度、受理流程，规范工作程序。加强对行业性、专业性人民调解组织的业务指导，规范调解档案制作。2018年，全市各级人民调解组织受理矛盾纠纷1137件，调处成功1123件；排查纠纷2320次，预防纠纷1380件；防止“民转刑”3件涉及6人；防止群体性上访12件涉及91人；防止群体性械斗1件涉及3人。</w:t>
      </w:r>
    </w:p>
    <w:p w14:paraId="7986EC53">
      <w:pPr>
        <w:pStyle w:val="4"/>
        <w:bidi w:val="0"/>
        <w:rPr>
          <w:rFonts w:hint="eastAsia"/>
          <w:lang w:val="zh-CN"/>
        </w:rPr>
      </w:pPr>
      <w:r>
        <w:rPr>
          <w:rFonts w:hint="eastAsia"/>
          <w:lang w:val="zh-CN"/>
        </w:rPr>
        <w:t>【安置帮教工作】</w:t>
      </w:r>
    </w:p>
    <w:p w14:paraId="17E307BD">
      <w:pPr>
        <w:bidi w:val="0"/>
        <w:rPr>
          <w:rFonts w:hint="eastAsia"/>
          <w:lang w:val="zh-CN"/>
        </w:rPr>
      </w:pPr>
      <w:r>
        <w:rPr>
          <w:rFonts w:hint="eastAsia"/>
          <w:lang w:val="zh-CN"/>
        </w:rPr>
        <w:t>2018年，新接收刑释人员439人，解除社区矫正人员267人，全市安置帮教对象706人。</w:t>
      </w:r>
    </w:p>
    <w:p w14:paraId="7E6974FE">
      <w:pPr>
        <w:pStyle w:val="4"/>
        <w:bidi w:val="0"/>
        <w:rPr>
          <w:rFonts w:hint="eastAsia"/>
          <w:lang w:val="zh-CN"/>
        </w:rPr>
      </w:pPr>
      <w:r>
        <w:rPr>
          <w:rFonts w:hint="eastAsia"/>
          <w:lang w:val="zh-CN"/>
        </w:rPr>
        <w:t>【社区矫正工作】</w:t>
      </w:r>
    </w:p>
    <w:p w14:paraId="755B0568">
      <w:pPr>
        <w:bidi w:val="0"/>
        <w:rPr>
          <w:rFonts w:hint="eastAsia"/>
          <w:lang w:val="zh-CN"/>
        </w:rPr>
      </w:pPr>
      <w:r>
        <w:rPr>
          <w:rFonts w:hint="eastAsia"/>
          <w:lang w:val="zh-CN"/>
        </w:rPr>
        <w:t>2018年，累计接收社区矫正人员626人，累计解除484人，在册142人，其中男121人，女21人，未成年人2人；缓刑121人，假释18人，管制1人，暂予监外执行2人。没有出现脱管、漏管、再犯罪人员。先后对违反监管规定的人员给予警告20人次，对违反监管规定、符合提请撤销缓刑、假释及收监建议的有1人。同时，联合检察院对社区矫正工作进行检查和专项整治活动，强化工作督导，落实日常管控和敏感时期排查稳控制度。2018年，全市未发生因特殊人群服务管理不到位导致的重特大刑事案件。</w:t>
      </w:r>
    </w:p>
    <w:p w14:paraId="5C345E18">
      <w:pPr>
        <w:pStyle w:val="4"/>
        <w:bidi w:val="0"/>
        <w:rPr>
          <w:rFonts w:hint="eastAsia"/>
          <w:lang w:val="zh-CN"/>
        </w:rPr>
      </w:pPr>
      <w:r>
        <w:rPr>
          <w:rFonts w:hint="eastAsia"/>
          <w:lang w:val="zh-CN"/>
        </w:rPr>
        <w:t>【公共法律服务】</w:t>
      </w:r>
    </w:p>
    <w:p w14:paraId="5BD2D565">
      <w:pPr>
        <w:bidi w:val="0"/>
        <w:rPr>
          <w:rFonts w:hint="eastAsia"/>
          <w:lang w:val="zh-CN"/>
        </w:rPr>
      </w:pPr>
      <w:r>
        <w:rPr>
          <w:rFonts w:hint="eastAsia"/>
          <w:lang w:val="zh-CN"/>
        </w:rPr>
        <w:t>市法援处设立市公共法律服务中心，面积约54平方米，设立接访区、等候区、洽谈（保密）室、服务区等，完成改造并投入使用。开展镇（街）、村（社区）公共法律服务站和工作室改造。推进司法行政机关外观标识内务规范。2018年完成市司法局、珠玑等8个司法所外观标识内务规范及全安等10个司法所、232个村（居）委会的简易标识建设。</w:t>
      </w:r>
      <w:r>
        <w:rPr>
          <w:rFonts w:hint="eastAsia"/>
          <w:b/>
          <w:bCs/>
          <w:lang w:val="zh-CN"/>
        </w:rPr>
        <w:t>（吴小林）</w:t>
      </w:r>
    </w:p>
    <w:p w14:paraId="226F2EF6">
      <w:pPr>
        <w:pStyle w:val="11"/>
        <w:bidi w:val="0"/>
        <w:rPr>
          <w:rFonts w:hint="eastAsia"/>
          <w:b/>
          <w:bCs/>
          <w:lang w:val="zh-CN"/>
        </w:rPr>
      </w:pPr>
      <w:r>
        <w:rPr>
          <w:rFonts w:hint="eastAsia"/>
          <w:b/>
          <w:bCs/>
          <w:lang w:val="zh-CN"/>
        </w:rPr>
        <w:t>附：2018年市司法局领导班子成员名单</w:t>
      </w:r>
    </w:p>
    <w:p w14:paraId="21E43310">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尹本善（任至7月）</w:t>
      </w:r>
    </w:p>
    <w:p w14:paraId="063EE1F8">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刘熙萍（10月主持局工作）</w:t>
      </w:r>
    </w:p>
    <w:p w14:paraId="2118A750">
      <w:pPr>
        <w:pStyle w:val="11"/>
        <w:bidi w:val="0"/>
        <w:ind w:leftChars="600"/>
        <w:rPr>
          <w:rFonts w:hint="eastAsia"/>
          <w:lang w:val="zh-CN"/>
        </w:rPr>
      </w:pPr>
      <w:r>
        <w:rPr>
          <w:rFonts w:hint="eastAsia"/>
          <w:lang w:val="zh-CN"/>
        </w:rPr>
        <w:t>成</w:t>
      </w:r>
      <w:r>
        <w:rPr>
          <w:rFonts w:hint="eastAsia"/>
          <w:lang w:val="en-US" w:eastAsia="zh-CN"/>
        </w:rPr>
        <w:t xml:space="preserve">  </w:t>
      </w:r>
      <w:r>
        <w:rPr>
          <w:rFonts w:hint="eastAsia"/>
          <w:lang w:val="zh-CN"/>
        </w:rPr>
        <w:t>铭</w:t>
      </w:r>
    </w:p>
    <w:p w14:paraId="09F95CED">
      <w:pPr>
        <w:bidi w:val="0"/>
        <w:ind w:left="0" w:leftChars="0" w:firstLine="0" w:firstLineChars="0"/>
        <w:rPr>
          <w:rFonts w:hint="eastAsia"/>
          <w:lang w:val="zh-CN"/>
        </w:rPr>
      </w:pPr>
      <w:r>
        <w:rPr>
          <w:rFonts w:hint="eastAsia"/>
          <w:b/>
          <w:bCs/>
          <w:lang w:val="zh-CN"/>
        </w:rPr>
        <w:t>政工科科长：</w:t>
      </w:r>
      <w:r>
        <w:rPr>
          <w:rFonts w:hint="eastAsia"/>
          <w:lang w:val="zh-CN"/>
        </w:rPr>
        <w:t>何秋荣</w:t>
      </w:r>
    </w:p>
    <w:p w14:paraId="3644CA3E">
      <w:pPr>
        <w:pStyle w:val="3"/>
        <w:bidi w:val="0"/>
        <w:rPr>
          <w:rFonts w:hint="eastAsia"/>
          <w:lang w:val="zh-CN"/>
        </w:rPr>
      </w:pPr>
      <w:r>
        <w:rPr>
          <w:rFonts w:hint="eastAsia"/>
          <w:lang w:val="zh-CN"/>
        </w:rPr>
        <w:t>公安</w:t>
      </w:r>
    </w:p>
    <w:p w14:paraId="03AC5DFB">
      <w:pPr>
        <w:pStyle w:val="4"/>
        <w:bidi w:val="0"/>
        <w:rPr>
          <w:rFonts w:hint="eastAsia"/>
          <w:lang w:val="zh-CN"/>
        </w:rPr>
      </w:pPr>
      <w:r>
        <w:rPr>
          <w:rFonts w:hint="eastAsia"/>
          <w:lang w:val="zh-CN"/>
        </w:rPr>
        <w:t>【概况】</w:t>
      </w:r>
    </w:p>
    <w:p w14:paraId="227EE42D">
      <w:pPr>
        <w:bidi w:val="0"/>
        <w:rPr>
          <w:rFonts w:hint="eastAsia"/>
          <w:lang w:val="zh-CN"/>
        </w:rPr>
      </w:pPr>
      <w:r>
        <w:rPr>
          <w:rFonts w:hint="eastAsia"/>
          <w:lang w:val="zh-CN"/>
        </w:rPr>
        <w:t>南雄市公安局位于南雄市雄州街道雄中路338号，正科级建制，是市人民政府主管全市公安工作的职能部门。内设机构14个（副科级建制12个、正股级建制2个），其中执法勤务机构10个、综合管理机构4个。副科级建制派出所23个，副科级建制看守所、拘留所各1个。在职人员380人，其中民警376人、职工4人。</w:t>
      </w:r>
    </w:p>
    <w:p w14:paraId="1A1F4877">
      <w:pPr>
        <w:pStyle w:val="4"/>
        <w:bidi w:val="0"/>
        <w:rPr>
          <w:rFonts w:hint="eastAsia"/>
          <w:lang w:val="zh-CN"/>
        </w:rPr>
      </w:pPr>
      <w:r>
        <w:rPr>
          <w:rFonts w:hint="eastAsia"/>
          <w:lang w:val="zh-CN"/>
        </w:rPr>
        <w:t>【党委（支部）建设】</w:t>
      </w:r>
    </w:p>
    <w:p w14:paraId="3DDB7358">
      <w:pPr>
        <w:bidi w:val="0"/>
        <w:rPr>
          <w:rFonts w:hint="eastAsia"/>
          <w:lang w:val="zh-CN"/>
        </w:rPr>
      </w:pPr>
      <w:r>
        <w:rPr>
          <w:rFonts w:hint="eastAsia"/>
          <w:lang w:val="zh-CN"/>
        </w:rPr>
        <w:t>继续打造特警、国保、交警3个大队党支部党建示范点，发挥优秀党支部的辐射带动作用。2018年发展预备党员5名，预备党员转正4名，上缴党费12万多元。全局有党委1个、党总支1个、党支部16个、党员341名。</w:t>
      </w:r>
    </w:p>
    <w:p w14:paraId="5BE43DFD">
      <w:pPr>
        <w:pStyle w:val="4"/>
        <w:bidi w:val="0"/>
        <w:rPr>
          <w:rFonts w:hint="eastAsia"/>
          <w:lang w:val="zh-CN"/>
        </w:rPr>
      </w:pPr>
      <w:r>
        <w:rPr>
          <w:rFonts w:hint="eastAsia"/>
          <w:lang w:val="zh-CN"/>
        </w:rPr>
        <w:t>【党风廉政建设】</w:t>
      </w:r>
    </w:p>
    <w:p w14:paraId="6E972636">
      <w:pPr>
        <w:bidi w:val="0"/>
        <w:rPr>
          <w:rFonts w:hint="eastAsia"/>
          <w:lang w:val="zh-CN"/>
        </w:rPr>
      </w:pPr>
      <w:r>
        <w:rPr>
          <w:rFonts w:hint="eastAsia"/>
          <w:lang w:val="zh-CN"/>
        </w:rPr>
        <w:t>扎实开展执法财物专项审计和基层所队领导离任审计工作。3至5月，审计特警大队、治安大队等18个部门，出具审计意见书18份，对审计发现的问题及时整改。2018年开展各项监督查检活动43次，检查部门236个次，发出督察通报2份、督察通知书7份，提出督察建议18条，通报批评民警6人次，提醒谈话10人次，停止执行职务1人次，诫勉谈话5人。协助上级纪检监察机关办理案件5宗，处分5人；自行办理案件1宗，处分1人。</w:t>
      </w:r>
    </w:p>
    <w:p w14:paraId="1AD043A4">
      <w:pPr>
        <w:pStyle w:val="4"/>
        <w:bidi w:val="0"/>
        <w:rPr>
          <w:rFonts w:hint="eastAsia"/>
          <w:lang w:val="zh-CN"/>
        </w:rPr>
      </w:pPr>
      <w:r>
        <w:rPr>
          <w:rFonts w:hint="eastAsia"/>
          <w:lang w:val="zh-CN"/>
        </w:rPr>
        <w:t>【队伍建设】</w:t>
      </w:r>
    </w:p>
    <w:p w14:paraId="50D6C2AF">
      <w:pPr>
        <w:bidi w:val="0"/>
        <w:rPr>
          <w:rFonts w:hint="eastAsia"/>
          <w:lang w:val="zh-CN"/>
        </w:rPr>
      </w:pPr>
      <w:r>
        <w:rPr>
          <w:rFonts w:hint="eastAsia"/>
          <w:lang w:val="zh-CN"/>
        </w:rPr>
        <w:t>完善民警交流轮岗机制，全年调整交流提拔副科级及以上领导干部33人、股级干部9人、科员20人。强化队伍训练管理，开展各类业务培训班30余期，参训民警达600余人次；组织23名民警参加省公安厅和韶关市公安局组织的实战轮训班11期，提升民警实战技能。争取到400万元及30亩土地，建设完成在粤东西北县级领先的“警察训练”“战训合一”基地，并于12月27日正式投入使用。活跃警营文化，开展篮球、射击比赛，组织民警积极参加各项文体赛事，并取得优异成绩。</w:t>
      </w:r>
    </w:p>
    <w:p w14:paraId="1FDD41F7">
      <w:pPr>
        <w:pStyle w:val="4"/>
        <w:bidi w:val="0"/>
        <w:rPr>
          <w:rFonts w:hint="eastAsia"/>
          <w:lang w:val="zh-CN"/>
        </w:rPr>
      </w:pPr>
      <w:r>
        <w:rPr>
          <w:rFonts w:hint="eastAsia"/>
          <w:lang w:val="zh-CN"/>
        </w:rPr>
        <w:t>【关爱民警】</w:t>
      </w:r>
    </w:p>
    <w:p w14:paraId="28336534">
      <w:pPr>
        <w:bidi w:val="0"/>
        <w:rPr>
          <w:rFonts w:hint="eastAsia"/>
          <w:lang w:val="zh-CN"/>
        </w:rPr>
      </w:pPr>
      <w:r>
        <w:rPr>
          <w:rFonts w:hint="eastAsia"/>
          <w:lang w:val="zh-CN"/>
        </w:rPr>
        <w:t>继续坚持从优待警，落实休假、优抚、慰问和心理健康服务措施。组织全体民警、职工和退休老干部500多人参加健康体检。积极推进“解警困、暖警心”工作，落实帮扶机制，走访慰问困难民警、伤病民警、因公牺牲民警家属及离退休民警130多人，发放慰问金50多万元。争取政府支持，补发民警警衔津贴300万余元，增加辅警执勤津贴、加班津贴、工龄工资和夜餐补助，提高辅警工作待遇，并为辅警购买与民警同等额度的养老、工伤、失业等社会保险，解决辅警后顾之忧，稳定辅警队伍。工会先后开展春节、生日慰问和夏日送清凉活动。</w:t>
      </w:r>
    </w:p>
    <w:p w14:paraId="6870B3DA">
      <w:pPr>
        <w:pStyle w:val="4"/>
        <w:bidi w:val="0"/>
        <w:rPr>
          <w:rFonts w:hint="eastAsia"/>
          <w:lang w:val="zh-CN"/>
        </w:rPr>
      </w:pPr>
      <w:r>
        <w:rPr>
          <w:rFonts w:hint="eastAsia"/>
          <w:lang w:val="zh-CN"/>
        </w:rPr>
        <w:t>【指挥调度】</w:t>
      </w:r>
    </w:p>
    <w:p w14:paraId="7FD9FCED">
      <w:pPr>
        <w:bidi w:val="0"/>
        <w:rPr>
          <w:rFonts w:hint="eastAsia"/>
          <w:lang w:val="zh-CN"/>
        </w:rPr>
      </w:pPr>
      <w:r>
        <w:rPr>
          <w:rFonts w:hint="eastAsia"/>
          <w:lang w:val="zh-CN"/>
        </w:rPr>
        <w:t>以平安建设为中心，加强情报信息掌握和研判，在特别防护管控期和敏感节点期间，对辖区重点人员实时关注动态信息，确保将涉访人员稳控在当地。积极为领导决策提供参谋，全年上报《警情快报》142期，编制《公安要情通报》23期、《每周维稳研判》51期。规范110报警服务工作，开展接处警业务培训，顺利推进韶关全市110统一接警工作。全年接受各类报警求助3.86万起，其中有效报警2.79万起、无效报警1.07万起，刑事警情591起、治安警情709起，各类求助8588起。</w:t>
      </w:r>
    </w:p>
    <w:p w14:paraId="6E12FDCA">
      <w:pPr>
        <w:pStyle w:val="4"/>
        <w:bidi w:val="0"/>
        <w:rPr>
          <w:rFonts w:hint="eastAsia"/>
          <w:lang w:val="zh-CN"/>
        </w:rPr>
      </w:pPr>
      <w:r>
        <w:rPr>
          <w:rFonts w:hint="eastAsia"/>
          <w:lang w:val="zh-CN"/>
        </w:rPr>
        <w:t>【信息通信保障】</w:t>
      </w:r>
    </w:p>
    <w:p w14:paraId="0A21A9AE">
      <w:pPr>
        <w:bidi w:val="0"/>
        <w:rPr>
          <w:rFonts w:hint="eastAsia"/>
          <w:lang w:val="zh-CN"/>
        </w:rPr>
      </w:pPr>
      <w:r>
        <w:rPr>
          <w:rFonts w:hint="eastAsia"/>
          <w:lang w:val="zh-CN"/>
        </w:rPr>
        <w:t>围绕中心工作，全力做好各类专项行动和视频会议的通信保障。全面完成520台公安网电脑IP扩容，新增340台新一代移动警务终端运维。维护保障全局现有网络通信设备安全，确保“一机两用”监控软件注册和杀毒软件覆盖率100%，杜绝“一机两用”违规行为。</w:t>
      </w:r>
    </w:p>
    <w:p w14:paraId="70E7D35E">
      <w:pPr>
        <w:pStyle w:val="4"/>
        <w:bidi w:val="0"/>
        <w:rPr>
          <w:rFonts w:hint="eastAsia"/>
          <w:lang w:val="zh-CN"/>
        </w:rPr>
      </w:pPr>
      <w:r>
        <w:rPr>
          <w:rFonts w:hint="eastAsia"/>
          <w:lang w:val="zh-CN"/>
        </w:rPr>
        <w:t>【公安宣传】</w:t>
      </w:r>
    </w:p>
    <w:p w14:paraId="0F87B587">
      <w:pPr>
        <w:bidi w:val="0"/>
        <w:rPr>
          <w:rFonts w:hint="eastAsia"/>
          <w:lang w:val="zh-CN"/>
        </w:rPr>
      </w:pPr>
      <w:r>
        <w:rPr>
          <w:rFonts w:hint="eastAsia"/>
          <w:lang w:val="zh-CN"/>
        </w:rPr>
        <w:t>针对各项专项行动开展宣传活动。对外宣传媒体采用稿件249篇，制作专题节目28条、宣传微视频21条，播放《南雄警务报道》52期124个节目，微信公众号推送内容200余条，拥有粉丝5604人。5月18日，市委宣传部、市委政法委、市公安局在雄州公园联合举办“心系南雄，服务人民——警民同心共筑中国梦”文艺晚会。营造警民携手共建共治共享平安美丽南雄良好氛围。</w:t>
      </w:r>
    </w:p>
    <w:p w14:paraId="43980722">
      <w:pPr>
        <w:pStyle w:val="4"/>
        <w:bidi w:val="0"/>
        <w:rPr>
          <w:rFonts w:hint="eastAsia"/>
          <w:lang w:val="zh-CN"/>
        </w:rPr>
      </w:pPr>
      <w:r>
        <w:rPr>
          <w:rFonts w:hint="eastAsia"/>
          <w:lang w:val="zh-CN"/>
        </w:rPr>
        <w:t>【维稳处突】</w:t>
      </w:r>
    </w:p>
    <w:p w14:paraId="0EC1AB3A">
      <w:pPr>
        <w:bidi w:val="0"/>
        <w:rPr>
          <w:rFonts w:hint="eastAsia"/>
          <w:lang w:val="zh-CN"/>
        </w:rPr>
      </w:pPr>
      <w:r>
        <w:rPr>
          <w:rFonts w:hint="eastAsia"/>
          <w:lang w:val="zh-CN"/>
        </w:rPr>
        <w:t>2018年接待来信来访67件，受理7件，办结率86%，60件涉法涉诉信访件均按法定程序办理完结。局领导接访9件12人次。</w:t>
      </w:r>
    </w:p>
    <w:p w14:paraId="2488408F">
      <w:pPr>
        <w:pStyle w:val="4"/>
        <w:bidi w:val="0"/>
        <w:rPr>
          <w:rFonts w:hint="eastAsia"/>
          <w:lang w:val="zh-CN"/>
        </w:rPr>
      </w:pPr>
      <w:r>
        <w:rPr>
          <w:rFonts w:hint="eastAsia"/>
          <w:lang w:val="zh-CN"/>
        </w:rPr>
        <w:t>【打击违法犯罪】</w:t>
      </w:r>
    </w:p>
    <w:p w14:paraId="239F88B4">
      <w:pPr>
        <w:bidi w:val="0"/>
        <w:rPr>
          <w:rFonts w:hint="eastAsia"/>
          <w:lang w:val="zh-CN"/>
        </w:rPr>
      </w:pPr>
      <w:r>
        <w:rPr>
          <w:rFonts w:hint="eastAsia"/>
          <w:lang w:val="zh-CN"/>
        </w:rPr>
        <w:t>相继开展扫黑除恶专项斗争、“飓风2018”、护航金融“利剑行动”、打击整治“两抢一盗”及涉食药环违法犯罪、打击金融领域犯罪等一系列专项行动，深入推进全民禁毒工程。先后打掉一批犯罪团伙，破获一批大要案件，实现命案零发案。深化破案追逃机制，积极开展“网上追逃”“跨区域追逃”“协作追逃”工作。2018年破获刑事案件465宗，抓获刑事犯罪嫌疑人389人，刑事拘留376人，批准逮捕166人，移送起诉238人。受理查处治安案件974宗，查结331宗，查处违法人员495人。抓获网上逃犯57名。成功侦破赵某军等人网络贩枪团伙案和“（广东省）-2018-160”目标案件。</w:t>
      </w:r>
    </w:p>
    <w:p w14:paraId="587DD608">
      <w:pPr>
        <w:pStyle w:val="4"/>
        <w:bidi w:val="0"/>
        <w:rPr>
          <w:rFonts w:hint="eastAsia"/>
          <w:lang w:val="zh-CN"/>
        </w:rPr>
      </w:pPr>
      <w:r>
        <w:rPr>
          <w:rFonts w:hint="eastAsia"/>
          <w:lang w:val="zh-CN"/>
        </w:rPr>
        <w:t>【刑事科学技术】</w:t>
      </w:r>
    </w:p>
    <w:p w14:paraId="7ADFFA17">
      <w:pPr>
        <w:bidi w:val="0"/>
        <w:rPr>
          <w:rFonts w:hint="eastAsia"/>
          <w:lang w:val="zh-CN"/>
        </w:rPr>
      </w:pPr>
      <w:r>
        <w:rPr>
          <w:rFonts w:hint="eastAsia"/>
          <w:lang w:val="zh-CN"/>
        </w:rPr>
        <w:t>围绕“三大会战”和“一长四必”工作要求，全力为各项专项行动提供技术支撑，加强技术培训，狠抓现场勘查质量，努力提高检验鉴定水平。投入700万元建设的南雄公安司法鉴定中心于12月9日顺利通过资质认定现场评审，取得省质监局颁发的检验检测机构资质认定书，提升公安司法鉴定的社会公信力和法律效率。全年勘查十类案件现场163场，勘查率100%，提取痕迹物证152宗，提取率80.3%，建档率100%，制作现场勘验记录301宗，出具检查意见或鉴定结论102宗。检验尸体115具、活体330人次，出具法医检验报告书400多份。</w:t>
      </w:r>
    </w:p>
    <w:p w14:paraId="110870A8">
      <w:pPr>
        <w:pStyle w:val="4"/>
        <w:bidi w:val="0"/>
        <w:rPr>
          <w:rFonts w:hint="eastAsia"/>
          <w:lang w:val="zh-CN"/>
        </w:rPr>
      </w:pPr>
      <w:r>
        <w:rPr>
          <w:rFonts w:hint="eastAsia"/>
          <w:lang w:val="zh-CN"/>
        </w:rPr>
        <w:t>【扫黑除恶专项斗争】</w:t>
      </w:r>
    </w:p>
    <w:p w14:paraId="2FDB3A96">
      <w:pPr>
        <w:bidi w:val="0"/>
        <w:rPr>
          <w:rFonts w:hint="eastAsia"/>
          <w:lang w:val="zh-CN"/>
        </w:rPr>
      </w:pPr>
      <w:r>
        <w:rPr>
          <w:rFonts w:hint="eastAsia"/>
          <w:lang w:val="zh-CN"/>
        </w:rPr>
        <w:t>围绕重点地区、重点领域，坚持依法严惩、打早打小，着重打击村霸、行霸、操纵基层组织等10类黑恶势力，全力推进扫黑除恶专项斗争。摸排线索105条，办结76条，其中核查办结中央督导组交办线索7条。破获案件26宗，打掉恶势力犯罪集团2个、涉恶团伙8个，刑事拘留101人，逮捕79人，移送起诉83人，查处“保护伞”2人，查封、冻结、扣押涉案金额近144.75万元。成功摧毁谭某顺等人恶势力犯罪集团，3名重要成员谭某某、黄某某、罗某某分别被判处有期徒刑17年、14年、8年。</w:t>
      </w:r>
    </w:p>
    <w:p w14:paraId="6AD2074F">
      <w:pPr>
        <w:pStyle w:val="4"/>
        <w:bidi w:val="0"/>
        <w:rPr>
          <w:rFonts w:hint="eastAsia"/>
          <w:lang w:val="zh-CN"/>
        </w:rPr>
      </w:pPr>
      <w:r>
        <w:rPr>
          <w:rFonts w:hint="eastAsia"/>
          <w:lang w:val="zh-CN"/>
        </w:rPr>
        <w:t>【“飓风2018”专项行动】</w:t>
      </w:r>
    </w:p>
    <w:p w14:paraId="28CB1D5D">
      <w:pPr>
        <w:bidi w:val="0"/>
        <w:rPr>
          <w:rFonts w:hint="eastAsia"/>
          <w:lang w:val="zh-CN"/>
        </w:rPr>
      </w:pPr>
      <w:r>
        <w:rPr>
          <w:rFonts w:hint="eastAsia"/>
          <w:lang w:val="zh-CN"/>
        </w:rPr>
        <w:t>组织全市公安机关强力开展以打击整治涉枪爆、电信网络诈骗、盗抢骗等多发性侵财犯罪以及涉黄赌和食药环犯罪等为主要内容的“飓风2018”专项整治行动，效果显著，成绩优异，在韶关各县市区排名第二，顺利实现“刑事立案继续下降、刑事打击效能不断提升”工作目标。专项行动开展以来，破获涉枪犯罪案件3宗，打掉犯罪团伙1个，逮捕1人，起诉7人，判决1人，治安拘留5人，收缴各类枪支35支，弹药、雷管一批。破获涉电信网络诈骗案件15宗，打掉团伙1个，抓获犯罪嫌疑人10人，逮捕5人，公诉涉电诈案件23宗，资金原路返还事主3人。破获“两抢一盗”案件282宗，打掉团伙4个，抓获犯罪嫌疑人49人，刑事拘留48人，逮捕43人。破获涉黄赌刑事案件13宗，查处涉黄赌行政案件21宗，捣毁4个容留卖淫和8个赌博窝点，抓获犯罪嫌疑人238人，逮捕44人，行政拘留98人。破获涉食药环案件4宗，刑事拘留12人，逮捕9人，取保候审3人。</w:t>
      </w:r>
    </w:p>
    <w:p w14:paraId="15B44C3E">
      <w:pPr>
        <w:pStyle w:val="4"/>
        <w:bidi w:val="0"/>
        <w:rPr>
          <w:rFonts w:hint="eastAsia"/>
          <w:lang w:val="zh-CN"/>
        </w:rPr>
      </w:pPr>
      <w:r>
        <w:rPr>
          <w:rFonts w:hint="eastAsia"/>
          <w:lang w:val="zh-CN"/>
        </w:rPr>
        <w:t>【全民禁毒工程】</w:t>
      </w:r>
    </w:p>
    <w:p w14:paraId="431AA053">
      <w:pPr>
        <w:bidi w:val="0"/>
        <w:rPr>
          <w:rFonts w:hint="eastAsia"/>
          <w:lang w:val="zh-CN"/>
        </w:rPr>
      </w:pPr>
      <w:r>
        <w:rPr>
          <w:rFonts w:hint="eastAsia"/>
          <w:lang w:val="zh-CN"/>
        </w:rPr>
        <w:t>以全国“禁毒2018两打两控”、广东“粤剑扫毒”专项行动为抓手，完善“5·14”堵源截流工作体系，全力遏制毒品在本市中转集散。推进“6·27”工程，做好重要节点禁毒宣传工作，抓好青少年毒品预防教育，扶持创建示范学校。破获涉毒品案件8宗，刑事拘留10人，逮捕10人。抓获吸食毒品违法人员134人，强制戒毒26人，缴获毒品100余克。5月16日，成功侦破陈某网络贩毒团伙案件。全民禁毒工程重点工作总体评价排韶关全市第一名。</w:t>
      </w:r>
    </w:p>
    <w:p w14:paraId="26D678B9">
      <w:pPr>
        <w:pStyle w:val="4"/>
        <w:bidi w:val="0"/>
        <w:rPr>
          <w:rFonts w:hint="eastAsia"/>
          <w:lang w:val="zh-CN"/>
        </w:rPr>
      </w:pPr>
      <w:r>
        <w:rPr>
          <w:rFonts w:hint="eastAsia"/>
          <w:lang w:val="zh-CN"/>
        </w:rPr>
        <w:t>【护航金融“利剑行动”】</w:t>
      </w:r>
    </w:p>
    <w:p w14:paraId="5DF18CD0">
      <w:pPr>
        <w:bidi w:val="0"/>
        <w:rPr>
          <w:rFonts w:hint="eastAsia"/>
          <w:lang w:val="zh-CN"/>
        </w:rPr>
      </w:pPr>
      <w:r>
        <w:rPr>
          <w:rFonts w:hint="eastAsia"/>
          <w:lang w:val="zh-CN"/>
        </w:rPr>
        <w:t>组织开展打击非法集资、网络传销、银行卡、虚开骗税等突出金融犯罪和“云端2018”专项行动。加强对涉众型受损利益人的稳控，严防经济风险向社会安全、政治安全领域传导。破获涉经济领域犯罪案件8宗，抓获犯罪嫌疑人10人，起诉15人，涉案金额1000多万元，挽回经济损失35.6万元，网上追逃2人，协助办理P2P网络“爆雷”等涉众型案件80多宗，调查涉南雄籍受损投资人1700多人。</w:t>
      </w:r>
    </w:p>
    <w:p w14:paraId="7BB32BB0">
      <w:pPr>
        <w:pStyle w:val="4"/>
        <w:bidi w:val="0"/>
        <w:rPr>
          <w:rFonts w:hint="eastAsia"/>
          <w:lang w:val="zh-CN"/>
        </w:rPr>
      </w:pPr>
      <w:r>
        <w:rPr>
          <w:rFonts w:hint="eastAsia"/>
          <w:lang w:val="zh-CN"/>
        </w:rPr>
        <w:t>【社会治安防控体系建设】</w:t>
      </w:r>
    </w:p>
    <w:p w14:paraId="10EE92BD">
      <w:pPr>
        <w:bidi w:val="0"/>
        <w:rPr>
          <w:rFonts w:hint="eastAsia"/>
          <w:lang w:val="zh-CN"/>
        </w:rPr>
      </w:pPr>
      <w:r>
        <w:rPr>
          <w:rFonts w:hint="eastAsia"/>
          <w:lang w:val="zh-CN"/>
        </w:rPr>
        <w:t>加强治安基础建设，强化社会面整体防控体系，加强人员密集场所、部位和重要民生设施安全，提高重点时段、重点区域、重点路段的见警率、管事率。推广社会治安防控统一信息平台，授权使用22个派出所，使用率达100%。全面推进旅馆业前台系统升级改造和娱乐场所应用系统安装改造，安装旅馆业治安管理应用系统14家、娱乐场所应用系统2家。积极开展派出所帮扶工作，被确定为困难帮扶的澜河派出所、江头派出所于9月底完成帮扶项目建设，顺利通过省公安厅验收。继续开展严重精神病障碍患者排查管控和落实寄递物流“三个100%”制度。深化与周边县市警务协作。以粤赣湘三市八县（市）边界社会治安联防工作会议为平台，加强与周边县市警务合作，建立信息传递、线索协查、案件移送等协作机制，维护边界稳定。</w:t>
      </w:r>
    </w:p>
    <w:p w14:paraId="612C6603">
      <w:pPr>
        <w:pStyle w:val="4"/>
        <w:bidi w:val="0"/>
        <w:rPr>
          <w:rFonts w:hint="eastAsia"/>
          <w:lang w:val="zh-CN"/>
        </w:rPr>
      </w:pPr>
      <w:r>
        <w:rPr>
          <w:rFonts w:hint="eastAsia"/>
          <w:lang w:val="zh-CN"/>
        </w:rPr>
        <w:t>【公共安全管理】</w:t>
      </w:r>
    </w:p>
    <w:p w14:paraId="53843BDC">
      <w:pPr>
        <w:bidi w:val="0"/>
        <w:rPr>
          <w:rFonts w:hint="eastAsia"/>
          <w:lang w:val="zh-CN"/>
        </w:rPr>
      </w:pPr>
      <w:r>
        <w:rPr>
          <w:rFonts w:hint="eastAsia"/>
          <w:lang w:val="zh-CN"/>
        </w:rPr>
        <w:t>全面打击整治枪爆违法犯罪专项活动，收缴各类枪支9支、火药子弹一批、假冒伪劣烟花爆竹300多件。加强对现有5家涉爆单位的监管。积极开展“护校安园”专项行动，强化“校园内部安全管理、校园安全隐患排查整改、校园周边巡逻防控、涉校园高危人员排查管控、校园安全督导检查机制”五项措施，提升校园及周边治安防控能力，坚决遏制发生影响恶劣校园重大安全案事件。大力维护医疗机构安全，严厉打击“医闹”违法行为。继续深入开展安全大检查大整改，整改安全隐患10处，加强对姓氏文化旅游节等各类大型活动的安全监管，严防发生公共安全事故。</w:t>
      </w:r>
    </w:p>
    <w:p w14:paraId="01A505F6">
      <w:pPr>
        <w:pStyle w:val="4"/>
        <w:bidi w:val="0"/>
        <w:rPr>
          <w:rFonts w:hint="eastAsia"/>
          <w:lang w:val="zh-CN"/>
        </w:rPr>
      </w:pPr>
      <w:r>
        <w:rPr>
          <w:rFonts w:hint="eastAsia"/>
          <w:lang w:val="zh-CN"/>
        </w:rPr>
        <w:t>【网络安全管理】</w:t>
      </w:r>
    </w:p>
    <w:p w14:paraId="5603A5B9">
      <w:pPr>
        <w:bidi w:val="0"/>
        <w:rPr>
          <w:rFonts w:hint="eastAsia"/>
          <w:lang w:val="zh-CN"/>
        </w:rPr>
      </w:pPr>
      <w:r>
        <w:rPr>
          <w:rFonts w:hint="eastAsia"/>
          <w:lang w:val="zh-CN"/>
        </w:rPr>
        <w:t>加强互联网信息巡查，全方位监控舆情信息，做好网上维稳工作。组织开展“安网2018”专项行动，发挥网警主侦优势，2018年配合破获刑事案件63宗，起主导作用48宗，直接抓获犯罪嫌疑人51名。落实网络意识形态工作主体责任，深入推进网络政治谣言和有害信息打击整治，严打网络侵犯公民个人信息、黑客攻击破坏等源头性犯罪。加强网站常态化管理，处置编报涉及本地网上舆情信息89条，落地调查163人，行政处罚2人。加强网吧、Wifi无线上网和非经营性场所管理，落实网络安全技术措施。协同工商、文化部门检查网吧43次，教育未成年人22人次，查处违规经营网吧2间。针对进行建设的原中央苏区农村超高速Wi-Fi无线上网项目251个安装点完成安装安全审计设备。</w:t>
      </w:r>
    </w:p>
    <w:p w14:paraId="5CB392D2">
      <w:pPr>
        <w:pStyle w:val="4"/>
        <w:bidi w:val="0"/>
        <w:rPr>
          <w:rFonts w:hint="eastAsia"/>
          <w:lang w:val="zh-CN"/>
        </w:rPr>
      </w:pPr>
      <w:r>
        <w:rPr>
          <w:rFonts w:hint="eastAsia"/>
          <w:lang w:val="zh-CN"/>
        </w:rPr>
        <w:t>【出入境户政管理】</w:t>
      </w:r>
    </w:p>
    <w:p w14:paraId="599DE509">
      <w:pPr>
        <w:bidi w:val="0"/>
        <w:rPr>
          <w:rFonts w:hint="eastAsia"/>
          <w:lang w:val="zh-CN"/>
        </w:rPr>
      </w:pPr>
      <w:r>
        <w:rPr>
          <w:rFonts w:hint="eastAsia"/>
          <w:lang w:val="zh-CN"/>
        </w:rPr>
        <w:t>强化出入境户政服务意识和服务职能，加强“一标三实”基础信息采集应用，采集标准地址15万余条。扎实开展流动人口服务管理，继续推进实有房屋门禁视频和入所流动人口倒查登记工作，完善“以证管人、以屋管人、以业管人”立体管控体系，优化市际流动人口信息交换共享机制和公安监管场所流动人口登记情况倒查机制。在7个试点小区安装门禁视频监控点1个，覆盖房屋807套（间），采集更新流动人口信息1.1万条，注销6000条。建立实有人口信息动态管理机制，实现全面数字化管理。开展人口信息人像比对核查和16周岁以上无相片人员专项清理工作。受理审批入户材料9976份，办理出生入户7378人、户口迁移9699人次、居民身份证1.29万张、死亡注销1664人，列管刑满释放人员201人，撤管23人。加强外国人管理，认真落实外国人就业许可制度，全程跟踪管理就业许可证的申请、办理和终止。加大对“三非”外国人清理整治力度，定期派遣出入境民警进驻检查站联合开展查控，维护外国人正常出入管理和劳务用工秩序。</w:t>
      </w:r>
    </w:p>
    <w:p w14:paraId="598DCF4F">
      <w:pPr>
        <w:pStyle w:val="4"/>
        <w:bidi w:val="0"/>
        <w:rPr>
          <w:rFonts w:hint="eastAsia"/>
          <w:lang w:val="zh-CN"/>
        </w:rPr>
      </w:pPr>
      <w:r>
        <w:rPr>
          <w:rFonts w:hint="eastAsia"/>
          <w:lang w:val="zh-CN"/>
        </w:rPr>
        <w:t>【交通安全管理】</w:t>
      </w:r>
    </w:p>
    <w:p w14:paraId="5B7578F5">
      <w:pPr>
        <w:bidi w:val="0"/>
        <w:rPr>
          <w:rFonts w:hint="eastAsia"/>
          <w:lang w:val="zh-CN"/>
        </w:rPr>
      </w:pPr>
      <w:r>
        <w:rPr>
          <w:rFonts w:hint="eastAsia"/>
          <w:lang w:val="zh-CN"/>
        </w:rPr>
        <w:t>推进城市智慧交通管理系统建设，加快市区交通拥堵点的改造，提高城市道路通行能力。广辟宣传阵地，积极推动新媒体、自媒体网络直播和“双微”宣传及“五进”宣传活动。持续开展常态化交通秩序违法整治，加强对重点车辆集中整治，继续开展农村“两站两员”和“平安路口”建设。全力预防和减少交通事故的发生。2018年查处各类交通违法行为5.54万起，销毁无牌假牌报废车辆497辆。侦办交通肇事刑事案件80宗，办理涉嫌危险驾驶案件45宗。交通事故立案22宗，死亡8人，受伤17人，经济损失3.75万元。做好车驾管业务，全面落实20项“放管服”便民措施，提升服务“软”环境。2018年受理互联网面签4698人次，机动车注册登记5435辆、转移登记2412辆。驾驶证补发换领3932本、转入2860本、注销49本，降级263人次，恢复149人次。驾驶人审验3115人次，办理校车资格许可39人次，注销最高准驾车型49人次。</w:t>
      </w:r>
    </w:p>
    <w:p w14:paraId="3DDD96D0">
      <w:pPr>
        <w:pStyle w:val="4"/>
        <w:bidi w:val="0"/>
        <w:rPr>
          <w:rFonts w:hint="eastAsia"/>
          <w:lang w:val="zh-CN"/>
        </w:rPr>
      </w:pPr>
      <w:r>
        <w:rPr>
          <w:rFonts w:hint="eastAsia"/>
          <w:lang w:val="zh-CN"/>
        </w:rPr>
        <w:t>【消防安全管理】</w:t>
      </w:r>
    </w:p>
    <w:p w14:paraId="244F6308">
      <w:pPr>
        <w:bidi w:val="0"/>
        <w:rPr>
          <w:rFonts w:hint="eastAsia"/>
          <w:lang w:val="zh-CN"/>
        </w:rPr>
      </w:pPr>
      <w:r>
        <w:rPr>
          <w:rFonts w:hint="eastAsia"/>
          <w:lang w:val="zh-CN"/>
        </w:rPr>
        <w:t>完善农村消防设施建设，推进消防安全“网格化”管理。开展火灾高风险区域整治，积极创建消防安全社区，开展“六类场所、十项必查”消防安全专项行动，严防发生重特大火灾事故。2018年发生火灾事故155宗，无人员伤亡，经济损失120.39万元。</w:t>
      </w:r>
    </w:p>
    <w:p w14:paraId="57BAAD5A">
      <w:pPr>
        <w:pStyle w:val="4"/>
        <w:bidi w:val="0"/>
        <w:rPr>
          <w:rFonts w:hint="eastAsia"/>
          <w:lang w:val="zh-CN"/>
        </w:rPr>
      </w:pPr>
      <w:r>
        <w:rPr>
          <w:rFonts w:hint="eastAsia"/>
          <w:lang w:val="zh-CN"/>
        </w:rPr>
        <w:t>【智慧公安建设】</w:t>
      </w:r>
    </w:p>
    <w:p w14:paraId="3C95D2FF">
      <w:pPr>
        <w:bidi w:val="0"/>
        <w:rPr>
          <w:rFonts w:hint="eastAsia"/>
          <w:lang w:val="zh-CN"/>
        </w:rPr>
      </w:pPr>
      <w:r>
        <w:rPr>
          <w:rFonts w:hint="eastAsia"/>
          <w:lang w:val="zh-CN"/>
        </w:rPr>
        <w:t>深入实施“智慧新警务”战略，推进新一代移动警务建设应用和“雪亮工程”。加强视频监控和卡口规划建设，基本实现全域覆盖、全网共享、全时可用、全程可控。2018年南雄市政府投资100万元建设的人脸识别系统和高清视频监控点20个、微卡口3个，全面投入使用。加强智慧新警备建设，为全局民警配备新一代移动警务终端340台，配备率92%，方便民警办公办案。</w:t>
      </w:r>
    </w:p>
    <w:p w14:paraId="74C525F3">
      <w:pPr>
        <w:pStyle w:val="4"/>
        <w:bidi w:val="0"/>
        <w:rPr>
          <w:rFonts w:hint="eastAsia"/>
          <w:lang w:val="zh-CN"/>
        </w:rPr>
      </w:pPr>
      <w:r>
        <w:rPr>
          <w:rFonts w:hint="eastAsia"/>
          <w:lang w:val="zh-CN"/>
        </w:rPr>
        <w:t>【“放管服”改革】</w:t>
      </w:r>
    </w:p>
    <w:p w14:paraId="58B02E2F">
      <w:pPr>
        <w:bidi w:val="0"/>
        <w:rPr>
          <w:rFonts w:hint="eastAsia"/>
          <w:lang w:val="zh-CN"/>
        </w:rPr>
      </w:pPr>
      <w:r>
        <w:rPr>
          <w:rFonts w:hint="eastAsia"/>
          <w:lang w:val="zh-CN"/>
        </w:rPr>
        <w:t>坚持民意引领，以“互联网+”为抓手，坚决落实公安部“只跑一次”“马上办”等制度，推出一系列惠民便民措施，让数据多跑路市民少跑腿。交警大队全面落实交管20项“放管服”便民措施，出入境户政管理科推进出入境24小时自助便民服务、居民身份证全国异地办理服务、护照和港澳通行证自助发证机发证服务、身份证自助机办理等便民措施。5月以来，实施停收首次申领居民身份证工本费，户籍证件工本费可刷卡缴费和微信支付等便民服务。同时继续推进户籍制度改革，全面放宽重点群体落户限制，加快农业人员市民化。</w:t>
      </w:r>
    </w:p>
    <w:p w14:paraId="24663F5A">
      <w:pPr>
        <w:pStyle w:val="4"/>
        <w:bidi w:val="0"/>
        <w:rPr>
          <w:rFonts w:hint="eastAsia"/>
          <w:lang w:val="zh-CN"/>
        </w:rPr>
      </w:pPr>
      <w:r>
        <w:rPr>
          <w:rFonts w:hint="eastAsia"/>
          <w:lang w:val="zh-CN"/>
        </w:rPr>
        <w:t>【执法规范化建设】</w:t>
      </w:r>
    </w:p>
    <w:p w14:paraId="1B39A4AE">
      <w:pPr>
        <w:bidi w:val="0"/>
        <w:rPr>
          <w:rFonts w:hint="eastAsia"/>
          <w:lang w:val="zh-CN"/>
        </w:rPr>
      </w:pPr>
      <w:r>
        <w:rPr>
          <w:rFonts w:hint="eastAsia"/>
          <w:lang w:val="zh-CN"/>
        </w:rPr>
        <w:t>以推进公安法治“八项建设”为抓手，深化执法规范化建设。严格落实刑事案件“两统一”制度，组织召开公检法联席会议5次，集中解决办理7宗涉恶势力团伙案件23个疑难杂症问题，推动打击效能和办案质量“双提升”。严格规范执法行为，推进办案区和案管中心提档升级，创新执法培训形式，开展法制员比武活动，落实领导干部学法用法制度，全面提升民警的法治理念和法律素养。强化执法监督，完善执法巡查制度，全面落实执法监督责任制，明确执法责任，开展“接处警、受（立）案、侦查措施”等专项巡查3次，下发监督通知书6份，约谈民警4人。积极开展行政复议、行政诉讼和刑事复议工作，落实局领导出庭应诉制度，有效维护公安机关执法公信力和执法权威。2018年，法制部门审核行政案件379宗，行政处理466人次；审核刑事案件226宗，其中刑事拘留376人，呈请批准逮捕166人，移送起诉238人。依法撤销案件5宗。受理行政复议2宗、行政诉讼2宗、刑事复核3宗，参加出庭应诉7次。</w:t>
      </w:r>
    </w:p>
    <w:p w14:paraId="50115A7A">
      <w:pPr>
        <w:pStyle w:val="4"/>
        <w:bidi w:val="0"/>
        <w:rPr>
          <w:rFonts w:hint="eastAsia"/>
          <w:lang w:val="zh-CN"/>
        </w:rPr>
      </w:pPr>
      <w:r>
        <w:rPr>
          <w:rFonts w:hint="eastAsia"/>
          <w:lang w:val="zh-CN"/>
        </w:rPr>
        <w:t>【警务保障】</w:t>
      </w:r>
    </w:p>
    <w:p w14:paraId="50C5EF25">
      <w:pPr>
        <w:bidi w:val="0"/>
        <w:rPr>
          <w:rFonts w:hint="eastAsia"/>
          <w:lang w:val="zh-CN"/>
        </w:rPr>
      </w:pPr>
      <w:r>
        <w:rPr>
          <w:rFonts w:hint="eastAsia"/>
          <w:lang w:val="zh-CN"/>
        </w:rPr>
        <w:t>围绕“保障有力、管理规范、基础扎实、服务到位、廉洁高效”目标，加强警务保障工作。深化公安经费保障体制机制改革，严格财务管理制度，规范使用中央转移支付资金，加大对基层所队和一线实战部门经费保障力度，确保中央和省级转移支付资金落到基层，用于一线，服务实战。加强国有资产管理，开展国有资产清理清查，报废销账106项固定资产，更正重复登记的车辆资产23项。严格政府采购程序，确保采购工作公开、公平、公正。加强装备建设，建立健全应急装备动态数据库，完善应急装备的储备管理。2018年采购一批执法记录仪、采集站、防毒面具、防化服、伸缩警棍等装备发放一线基层单位，为各部门配备一批办公器材及单警装备。加强基础工程建设，全面完成社区戒毒中心和DNA实验室建设，完成交警大队乌迳中队和江头、澜河两困难派出所办公用房修缮，新建南城派出所办公楼落成投入使用。</w:t>
      </w:r>
    </w:p>
    <w:p w14:paraId="7EE4FF38">
      <w:pPr>
        <w:pStyle w:val="4"/>
        <w:bidi w:val="0"/>
        <w:rPr>
          <w:rFonts w:hint="eastAsia"/>
          <w:lang w:val="zh-CN"/>
        </w:rPr>
      </w:pPr>
      <w:r>
        <w:rPr>
          <w:rFonts w:hint="eastAsia"/>
          <w:lang w:val="zh-CN"/>
        </w:rPr>
        <w:t>【监所管理】</w:t>
      </w:r>
    </w:p>
    <w:p w14:paraId="278C5631">
      <w:pPr>
        <w:bidi w:val="0"/>
        <w:rPr>
          <w:rFonts w:hint="eastAsia"/>
          <w:lang w:val="zh-CN"/>
        </w:rPr>
      </w:pPr>
      <w:r>
        <w:rPr>
          <w:rFonts w:hint="eastAsia"/>
          <w:lang w:val="zh-CN"/>
        </w:rPr>
        <w:t>加强监所规范管理，全面推进智慧新监管。落实在押人员安全风险等级评估和分级管理，成立送押中队，实现对口办案单位送押队伍全覆盖。严厉打击牢头狱霸，排查监所安全隐患，确保监所安全。看守所加快律师会见室建设，依托“粤省事”平台，推广律师、家属网上预约会见服务。与驻所武警不定期开展处突防暴应急预案演练，全力配合“飓风2018”专项行动，深挖线索4条，协破案件27宗。2018年，看守所累计羁押被监管人员532人次，月平均关押173人，未发生在押人员非正常死亡、脱逃事件。拘留所积极开展三项重点工作，深化管理教育新模式，强化矛盾纠纷化解。深挖扩线协助破获刑事案件3宗，成功化解矛盾纠纷19起。全年收拘违法人员334人次。</w:t>
      </w:r>
    </w:p>
    <w:p w14:paraId="63FA743D">
      <w:pPr>
        <w:pStyle w:val="4"/>
        <w:bidi w:val="0"/>
        <w:rPr>
          <w:rFonts w:hint="eastAsia"/>
          <w:lang w:val="zh-CN"/>
        </w:rPr>
      </w:pPr>
      <w:r>
        <w:rPr>
          <w:rFonts w:hint="eastAsia"/>
          <w:lang w:val="zh-CN"/>
        </w:rPr>
        <w:t>【珠玑省际公安检查站】</w:t>
      </w:r>
    </w:p>
    <w:p w14:paraId="69FC4290">
      <w:pPr>
        <w:bidi w:val="0"/>
        <w:rPr>
          <w:rFonts w:hint="eastAsia"/>
          <w:lang w:val="zh-CN"/>
        </w:rPr>
      </w:pPr>
      <w:r>
        <w:rPr>
          <w:rFonts w:hint="eastAsia"/>
          <w:lang w:val="zh-CN"/>
        </w:rPr>
        <w:t>建立健全勤务制度、查控体系，完善指挥机制，强化信息化和队伍建设，全面实行24小时常态化运作，全力筑牢环赣入粤陆路通道安全屏障。2018年，出动警力4760人次，检查车辆4.2万辆次、司乘人员7.1万名。查获涉毒人员70人，刑事拘留在逃人员13人、涉枪人员1人、其他各类违法人员8人。拦截非法运输野生动物4批次、非法走私冻肉4批次105吨、易燃易爆危险化学品2批次、伪劣保健品约15万粒，收缴管制刀具21把、枪支1把，其他违禁物品一大批。</w:t>
      </w:r>
    </w:p>
    <w:p w14:paraId="7A3C1395">
      <w:pPr>
        <w:pStyle w:val="4"/>
        <w:bidi w:val="0"/>
        <w:rPr>
          <w:rFonts w:hint="eastAsia"/>
          <w:lang w:val="zh-CN"/>
        </w:rPr>
      </w:pPr>
      <w:r>
        <w:rPr>
          <w:rFonts w:hint="eastAsia"/>
          <w:lang w:val="zh-CN"/>
        </w:rPr>
        <w:t>【年度受奖情况】</w:t>
      </w:r>
    </w:p>
    <w:p w14:paraId="71B108EA">
      <w:pPr>
        <w:bidi w:val="0"/>
        <w:rPr>
          <w:rFonts w:hint="eastAsia"/>
          <w:lang w:val="zh-CN"/>
        </w:rPr>
      </w:pPr>
      <w:r>
        <w:rPr>
          <w:rFonts w:hint="eastAsia"/>
          <w:lang w:val="zh-CN"/>
        </w:rPr>
        <w:t>2018年，交警大队车管所被公安部授予全国优秀县级车管所荣誉称号，珠玑省际公安检查站被省公安厅荣记集体二等功一次，侦破谭远顺恶势力犯罪集团专案组被韶关市公安局荣记集体三等功一次，镇郊派出所、雄州派出所、珠玑派出所分别被韶关市公安局评为优秀公安派出所，雄州派出所民主社区警务室、黎口派出所黎口社区警务室、珠玑派出所梅岭农村警务室被韶关市公安局评为优秀警务室，16名民警被韶关市公安局荣记个人三等功一次，3名民警被韶关市公安局评为优秀派出所民警，4名民警被韶关市公安局评为党的十九大安保先进个人，治安大队中队长朱德平被韶关市公安局授予“韶关最美警察·民警之星”荣誉称号。南雄市团委授予局团委“南雄市五四红旗团委”荣誉称号、交警大队团支部“南雄市五四红旗团支部”荣誉称号，1名民警被评为南雄市十大杰出青年，1名民警被评为南雄市优秀共青团员。</w:t>
      </w:r>
      <w:r>
        <w:rPr>
          <w:rFonts w:hint="eastAsia"/>
          <w:b/>
          <w:bCs/>
          <w:lang w:val="zh-CN"/>
        </w:rPr>
        <w:t>（叶</w:t>
      </w:r>
      <w:r>
        <w:rPr>
          <w:rFonts w:hint="eastAsia"/>
          <w:b/>
          <w:bCs/>
          <w:lang w:val="en-US" w:eastAsia="zh-CN"/>
        </w:rPr>
        <w:t xml:space="preserve">  </w:t>
      </w:r>
      <w:r>
        <w:rPr>
          <w:rFonts w:hint="eastAsia"/>
          <w:b/>
          <w:bCs/>
          <w:lang w:val="zh-CN"/>
        </w:rPr>
        <w:t>青）</w:t>
      </w:r>
    </w:p>
    <w:p w14:paraId="271361BB">
      <w:pPr>
        <w:pStyle w:val="11"/>
        <w:bidi w:val="0"/>
        <w:rPr>
          <w:rFonts w:hint="eastAsia"/>
          <w:b/>
          <w:bCs/>
          <w:lang w:val="zh-CN"/>
        </w:rPr>
      </w:pPr>
      <w:r>
        <w:rPr>
          <w:rFonts w:hint="eastAsia"/>
          <w:b/>
          <w:bCs/>
          <w:lang w:val="zh-CN"/>
        </w:rPr>
        <w:t>附：2018年市公安局领导班子成员名单</w:t>
      </w:r>
    </w:p>
    <w:p w14:paraId="1E9AE19A">
      <w:pPr>
        <w:pStyle w:val="11"/>
        <w:bidi w:val="0"/>
        <w:rPr>
          <w:rFonts w:hint="eastAsia"/>
          <w:lang w:val="zh-CN"/>
        </w:rPr>
      </w:pPr>
      <w:r>
        <w:rPr>
          <w:rFonts w:hint="eastAsia"/>
          <w:b/>
          <w:bCs/>
          <w:lang w:val="zh-CN"/>
        </w:rPr>
        <w:t>党委书记、局长：</w:t>
      </w:r>
      <w:r>
        <w:rPr>
          <w:rFonts w:hint="eastAsia"/>
          <w:lang w:val="zh-CN"/>
        </w:rPr>
        <w:t>曾东野（兼）</w:t>
      </w:r>
    </w:p>
    <w:p w14:paraId="1421783C">
      <w:pPr>
        <w:pStyle w:val="11"/>
        <w:bidi w:val="0"/>
        <w:rPr>
          <w:rFonts w:hint="eastAsia"/>
          <w:lang w:val="zh-CN"/>
        </w:rPr>
      </w:pPr>
      <w:r>
        <w:rPr>
          <w:rFonts w:hint="eastAsia"/>
          <w:b/>
          <w:bCs/>
          <w:lang w:val="zh-CN"/>
        </w:rPr>
        <w:t>党委副书记、政委：</w:t>
      </w:r>
      <w:r>
        <w:rPr>
          <w:rFonts w:hint="eastAsia"/>
          <w:lang w:val="zh-CN"/>
        </w:rPr>
        <w:t>徐学智</w:t>
      </w:r>
    </w:p>
    <w:p w14:paraId="5DE83C4B">
      <w:pPr>
        <w:pStyle w:val="11"/>
        <w:bidi w:val="0"/>
        <w:rPr>
          <w:rFonts w:hint="eastAsia"/>
          <w:lang w:val="zh-CN"/>
        </w:rPr>
      </w:pPr>
      <w:r>
        <w:rPr>
          <w:rFonts w:hint="eastAsia"/>
          <w:b/>
          <w:bCs/>
          <w:lang w:val="zh-CN"/>
        </w:rPr>
        <w:t>党委委员、副局长：</w:t>
      </w:r>
      <w:r>
        <w:rPr>
          <w:rFonts w:hint="eastAsia"/>
          <w:lang w:val="zh-CN"/>
        </w:rPr>
        <w:t>钟</w:t>
      </w:r>
      <w:r>
        <w:rPr>
          <w:rFonts w:hint="eastAsia"/>
          <w:lang w:val="en-US" w:eastAsia="zh-CN"/>
        </w:rPr>
        <w:t xml:space="preserve">  </w:t>
      </w:r>
      <w:r>
        <w:rPr>
          <w:rFonts w:hint="eastAsia"/>
          <w:lang w:val="zh-CN"/>
        </w:rPr>
        <w:t>彬</w:t>
      </w:r>
    </w:p>
    <w:p w14:paraId="4A08C43D">
      <w:pPr>
        <w:pStyle w:val="11"/>
        <w:bidi w:val="0"/>
        <w:ind w:leftChars="900"/>
        <w:rPr>
          <w:rFonts w:hint="eastAsia"/>
          <w:lang w:val="zh-CN"/>
        </w:rPr>
      </w:pPr>
      <w:r>
        <w:rPr>
          <w:rFonts w:hint="eastAsia"/>
          <w:lang w:val="zh-CN"/>
        </w:rPr>
        <w:t>何南京</w:t>
      </w:r>
    </w:p>
    <w:p w14:paraId="7C4F8534">
      <w:pPr>
        <w:pStyle w:val="11"/>
        <w:bidi w:val="0"/>
        <w:ind w:leftChars="900"/>
        <w:rPr>
          <w:rFonts w:hint="eastAsia"/>
          <w:lang w:val="zh-CN"/>
        </w:rPr>
      </w:pPr>
      <w:r>
        <w:rPr>
          <w:rFonts w:hint="eastAsia"/>
          <w:lang w:val="zh-CN"/>
        </w:rPr>
        <w:t>陈本雄</w:t>
      </w:r>
    </w:p>
    <w:p w14:paraId="6E9D2DF0">
      <w:pPr>
        <w:pStyle w:val="11"/>
        <w:bidi w:val="0"/>
        <w:ind w:leftChars="900"/>
        <w:rPr>
          <w:rFonts w:hint="eastAsia"/>
          <w:lang w:val="zh-CN"/>
        </w:rPr>
      </w:pPr>
      <w:r>
        <w:rPr>
          <w:rFonts w:hint="eastAsia"/>
          <w:lang w:val="zh-CN"/>
        </w:rPr>
        <w:t>何慎华</w:t>
      </w:r>
    </w:p>
    <w:p w14:paraId="793CCC43">
      <w:pPr>
        <w:pStyle w:val="11"/>
        <w:bidi w:val="0"/>
        <w:ind w:leftChars="900"/>
        <w:rPr>
          <w:rFonts w:hint="eastAsia"/>
          <w:lang w:val="zh-CN"/>
        </w:rPr>
      </w:pPr>
      <w:r>
        <w:rPr>
          <w:rFonts w:hint="eastAsia"/>
          <w:lang w:val="zh-CN"/>
        </w:rPr>
        <w:t>邓文兴</w:t>
      </w:r>
    </w:p>
    <w:p w14:paraId="22BEEC8D">
      <w:pPr>
        <w:pStyle w:val="11"/>
        <w:bidi w:val="0"/>
        <w:rPr>
          <w:rFonts w:hint="eastAsia"/>
          <w:lang w:val="zh-CN"/>
        </w:rPr>
      </w:pPr>
      <w:r>
        <w:rPr>
          <w:rFonts w:hint="eastAsia"/>
          <w:b/>
          <w:bCs/>
          <w:lang w:val="zh-CN"/>
        </w:rPr>
        <w:t>党委委员、派驻纪检组组长：</w:t>
      </w:r>
      <w:r>
        <w:rPr>
          <w:rFonts w:hint="eastAsia"/>
          <w:lang w:val="zh-CN"/>
        </w:rPr>
        <w:t>王永隆</w:t>
      </w:r>
    </w:p>
    <w:p w14:paraId="27C3BDCB">
      <w:pPr>
        <w:pStyle w:val="11"/>
        <w:bidi w:val="0"/>
        <w:rPr>
          <w:rFonts w:hint="eastAsia"/>
          <w:b/>
          <w:bCs/>
          <w:lang w:val="zh-CN"/>
        </w:rPr>
      </w:pPr>
      <w:r>
        <w:rPr>
          <w:rFonts w:hint="eastAsia"/>
          <w:b/>
          <w:bCs/>
          <w:lang w:val="zh-CN"/>
        </w:rPr>
        <w:t>党委委员、政工室主任：</w:t>
      </w:r>
    </w:p>
    <w:p w14:paraId="4950E512">
      <w:pPr>
        <w:pStyle w:val="11"/>
        <w:bidi w:val="0"/>
        <w:ind w:leftChars="1000"/>
        <w:rPr>
          <w:rFonts w:hint="eastAsia"/>
          <w:lang w:val="zh-CN"/>
        </w:rPr>
      </w:pPr>
      <w:r>
        <w:rPr>
          <w:rFonts w:hint="eastAsia"/>
          <w:lang w:val="zh-CN"/>
        </w:rPr>
        <w:t>刘云晶</w:t>
      </w:r>
    </w:p>
    <w:p w14:paraId="3B2F8EEA">
      <w:pPr>
        <w:pStyle w:val="11"/>
        <w:bidi w:val="0"/>
        <w:rPr>
          <w:rFonts w:hint="eastAsia"/>
          <w:b/>
          <w:bCs/>
          <w:lang w:val="zh-CN"/>
        </w:rPr>
      </w:pPr>
      <w:r>
        <w:rPr>
          <w:rFonts w:hint="eastAsia"/>
          <w:b/>
          <w:bCs/>
          <w:lang w:val="zh-CN"/>
        </w:rPr>
        <w:t>党委委员、指挥中心主任：</w:t>
      </w:r>
    </w:p>
    <w:p w14:paraId="5AA4A58B">
      <w:pPr>
        <w:pStyle w:val="11"/>
        <w:bidi w:val="0"/>
        <w:ind w:leftChars="1000"/>
        <w:rPr>
          <w:rFonts w:hint="eastAsia"/>
          <w:lang w:val="zh-CN"/>
        </w:rPr>
      </w:pPr>
      <w:r>
        <w:rPr>
          <w:rFonts w:hint="eastAsia"/>
          <w:lang w:val="zh-CN"/>
        </w:rPr>
        <w:t>何新洪</w:t>
      </w:r>
    </w:p>
    <w:p w14:paraId="29EC58C6">
      <w:pPr>
        <w:pStyle w:val="11"/>
        <w:bidi w:val="0"/>
        <w:rPr>
          <w:rFonts w:hint="eastAsia"/>
          <w:lang w:val="zh-CN"/>
        </w:rPr>
      </w:pPr>
      <w:r>
        <w:rPr>
          <w:rFonts w:hint="eastAsia"/>
          <w:b/>
          <w:bCs/>
          <w:lang w:val="zh-CN"/>
        </w:rPr>
        <w:t>党委委员、消防大队大队长：</w:t>
      </w:r>
      <w:r>
        <w:rPr>
          <w:rFonts w:hint="eastAsia"/>
          <w:lang w:val="zh-CN"/>
        </w:rPr>
        <w:t>陈文波（1月任职）</w:t>
      </w:r>
    </w:p>
    <w:p w14:paraId="48D378EF">
      <w:pPr>
        <w:pStyle w:val="3"/>
        <w:bidi w:val="0"/>
        <w:rPr>
          <w:rFonts w:hint="eastAsia"/>
          <w:lang w:val="zh-CN"/>
        </w:rPr>
      </w:pPr>
      <w:r>
        <w:rPr>
          <w:rFonts w:hint="eastAsia"/>
          <w:lang w:val="zh-CN"/>
        </w:rPr>
        <w:t>检察</w:t>
      </w:r>
    </w:p>
    <w:p w14:paraId="170B50F8">
      <w:pPr>
        <w:pStyle w:val="4"/>
        <w:bidi w:val="0"/>
        <w:rPr>
          <w:rFonts w:hint="eastAsia"/>
          <w:lang w:val="zh-CN"/>
        </w:rPr>
      </w:pPr>
      <w:r>
        <w:rPr>
          <w:rFonts w:hint="eastAsia"/>
          <w:lang w:val="zh-CN"/>
        </w:rPr>
        <w:t>【概况】</w:t>
      </w:r>
    </w:p>
    <w:p w14:paraId="0A46EF2F">
      <w:pPr>
        <w:bidi w:val="0"/>
        <w:rPr>
          <w:rFonts w:hint="eastAsia"/>
          <w:lang w:val="zh-CN"/>
        </w:rPr>
      </w:pPr>
      <w:r>
        <w:rPr>
          <w:rFonts w:hint="eastAsia"/>
          <w:lang w:val="zh-CN"/>
        </w:rPr>
        <w:t>南雄检察院建立于1955年，1968年3月，因“文化大革命”实行军事管制，1978年6月，恢复南雄县人民检察院，2008年12月，从旧址林荫西路40号搬迁到现址环城东路66号。全院编制数40个，在编干警38人，其中员额检察官13人，行政人员9人，辅助人员16人。合同制干警职工17人。内设办公室、检委办、政工科、纪检监察室、公诉科（未检办）、侦查监督科、刑事执行检察科、民事行政检察科、控告申诉检察科、案件管理中心、司法警察大队、派驻湖口检察室等12个部门。</w:t>
      </w:r>
    </w:p>
    <w:p w14:paraId="5DC34038">
      <w:pPr>
        <w:pStyle w:val="4"/>
        <w:bidi w:val="0"/>
        <w:rPr>
          <w:rFonts w:hint="eastAsia"/>
          <w:lang w:val="zh-CN"/>
        </w:rPr>
      </w:pPr>
      <w:r>
        <w:rPr>
          <w:rFonts w:hint="eastAsia"/>
          <w:lang w:val="zh-CN"/>
        </w:rPr>
        <w:t>【侦查监督】</w:t>
      </w:r>
    </w:p>
    <w:p w14:paraId="00090248">
      <w:pPr>
        <w:bidi w:val="0"/>
        <w:rPr>
          <w:rFonts w:hint="eastAsia"/>
          <w:lang w:val="zh-CN"/>
        </w:rPr>
      </w:pPr>
      <w:r>
        <w:rPr>
          <w:rFonts w:hint="eastAsia"/>
          <w:lang w:val="zh-CN"/>
        </w:rPr>
        <w:t>2018年，受理提请批准逮捕案件142件203人，经审查，批准逮捕120件176人，决定逮捕3件3人，不批准逮捕17件21人，纠正漏捕29人，发出应当逮捕犯罪嫌疑人建议书37份，提前介入引导侦查案件6次。立案监督8件，发出侦查活动监督通知书20份，发出检察建议书1份，发出纠正违法通知书1份。</w:t>
      </w:r>
    </w:p>
    <w:p w14:paraId="5175C634">
      <w:pPr>
        <w:pStyle w:val="4"/>
        <w:bidi w:val="0"/>
        <w:rPr>
          <w:rFonts w:hint="eastAsia"/>
          <w:lang w:val="zh-CN"/>
        </w:rPr>
      </w:pPr>
      <w:r>
        <w:rPr>
          <w:rFonts w:hint="eastAsia"/>
          <w:lang w:val="zh-CN"/>
        </w:rPr>
        <w:t>【扫黑除恶】</w:t>
      </w:r>
    </w:p>
    <w:p w14:paraId="24FD5270">
      <w:pPr>
        <w:bidi w:val="0"/>
        <w:rPr>
          <w:rFonts w:hint="eastAsia"/>
          <w:lang w:val="zh-CN"/>
        </w:rPr>
      </w:pPr>
      <w:r>
        <w:rPr>
          <w:rFonts w:hint="eastAsia"/>
          <w:lang w:val="zh-CN"/>
        </w:rPr>
        <w:t>召开扫黑除恶专项斗争推进会3次，拍摄以涉恶案件为内容的《法治在线》1期，发现排查涉恶线索4条，审查批准逮捕涉恶案件15件21人，提起公诉6件21人。</w:t>
      </w:r>
    </w:p>
    <w:p w14:paraId="30919735">
      <w:pPr>
        <w:pStyle w:val="4"/>
        <w:bidi w:val="0"/>
        <w:rPr>
          <w:rFonts w:hint="eastAsia"/>
          <w:lang w:val="zh-CN"/>
        </w:rPr>
      </w:pPr>
      <w:r>
        <w:rPr>
          <w:rFonts w:hint="eastAsia"/>
          <w:lang w:val="zh-CN"/>
        </w:rPr>
        <w:t>【审查起诉】</w:t>
      </w:r>
    </w:p>
    <w:p w14:paraId="7010E22F">
      <w:pPr>
        <w:bidi w:val="0"/>
        <w:rPr>
          <w:rFonts w:hint="eastAsia"/>
          <w:lang w:val="zh-CN"/>
        </w:rPr>
      </w:pPr>
      <w:r>
        <w:rPr>
          <w:rFonts w:hint="eastAsia"/>
          <w:lang w:val="zh-CN"/>
        </w:rPr>
        <w:t>受理移送审查起诉案件217件297人，提起公诉178件240人，作出不起诉决定11件11人，出庭支持公诉197件次，收到一审判决195件245人，均为有罪判决。发出移送审查起诉通知书追诉漏犯14件38人，移送本院审查起诉9件12人；发出纠正违法通知书4份，发出检察建议书18份；刑事抗诉1件5人，提出量刑建议件数超出提起公诉案件的60%。</w:t>
      </w:r>
    </w:p>
    <w:p w14:paraId="36AE1256">
      <w:pPr>
        <w:pStyle w:val="4"/>
        <w:bidi w:val="0"/>
        <w:rPr>
          <w:rFonts w:hint="eastAsia"/>
          <w:lang w:val="zh-CN"/>
        </w:rPr>
      </w:pPr>
      <w:r>
        <w:rPr>
          <w:rFonts w:hint="eastAsia"/>
          <w:lang w:val="zh-CN"/>
        </w:rPr>
        <w:t>【未成年人检察】</w:t>
      </w:r>
    </w:p>
    <w:p w14:paraId="644B573E">
      <w:pPr>
        <w:bidi w:val="0"/>
        <w:rPr>
          <w:rFonts w:hint="eastAsia"/>
          <w:lang w:val="zh-CN"/>
        </w:rPr>
      </w:pPr>
      <w:r>
        <w:rPr>
          <w:rFonts w:hint="eastAsia"/>
          <w:lang w:val="zh-CN"/>
        </w:rPr>
        <w:t>受理移送审查逮捕的未成年人犯罪案件14件15人，其中批准逮捕11件12人，不批准逮捕2件2人；受理移送审查起诉的未成年人犯罪案件15件18人，其中已提起公诉13件17人，相对不诉1件1人，附条件不起诉1件1人。受理移送审查逮捕被害人为未成年人的案件6件6人，其中批准逮捕4件4人，不捕2件2人；受理移送审查起诉被害人为未成年人的案件9件14人，向法院提起公诉7件12人。强化法律监督，发出纠正违法通知书1份，发出检察建议书6份，开展社会调查12人次。举行“法治进校园”宣讲活动16场，受教人数3775人，摆放宣传展板进行普法宣传6次，发放普法宣传资料5000余册。</w:t>
      </w:r>
    </w:p>
    <w:p w14:paraId="5F08CC94">
      <w:pPr>
        <w:pStyle w:val="4"/>
        <w:bidi w:val="0"/>
        <w:rPr>
          <w:rFonts w:hint="eastAsia"/>
          <w:lang w:val="zh-CN"/>
        </w:rPr>
      </w:pPr>
      <w:r>
        <w:rPr>
          <w:rFonts w:hint="eastAsia"/>
          <w:lang w:val="zh-CN"/>
        </w:rPr>
        <w:t>【控告申诉】</w:t>
      </w:r>
    </w:p>
    <w:p w14:paraId="1587F835">
      <w:pPr>
        <w:bidi w:val="0"/>
        <w:rPr>
          <w:rFonts w:hint="eastAsia"/>
          <w:lang w:val="zh-CN"/>
        </w:rPr>
      </w:pPr>
      <w:r>
        <w:rPr>
          <w:rFonts w:hint="eastAsia"/>
          <w:lang w:val="zh-CN"/>
        </w:rPr>
        <w:t>受理来信来访66件77人，其中来信6件，来访60件71人。受理群众首次刑事申诉案件7件，立案复查7件，办结4件，刑事申诉公开审查4件。受理司法救助申请4件15人，救助4件15人，发放救助金15万元。</w:t>
      </w:r>
    </w:p>
    <w:p w14:paraId="416DC9D1">
      <w:pPr>
        <w:pStyle w:val="4"/>
        <w:bidi w:val="0"/>
        <w:rPr>
          <w:rFonts w:hint="eastAsia"/>
          <w:lang w:val="zh-CN"/>
        </w:rPr>
      </w:pPr>
      <w:r>
        <w:rPr>
          <w:rFonts w:hint="eastAsia"/>
          <w:lang w:val="zh-CN"/>
        </w:rPr>
        <w:t>【民事行政】</w:t>
      </w:r>
    </w:p>
    <w:p w14:paraId="48658B78">
      <w:pPr>
        <w:bidi w:val="0"/>
        <w:rPr>
          <w:rFonts w:hint="eastAsia"/>
          <w:lang w:val="zh-CN"/>
        </w:rPr>
      </w:pPr>
      <w:r>
        <w:rPr>
          <w:rFonts w:hint="eastAsia"/>
          <w:lang w:val="zh-CN"/>
        </w:rPr>
        <w:t>自行受理案件线索31件（民事申诉类2件，审判程序违法1件，公益诉讼26件，对行政机关不当履行职责的监督1件，非诉执行案件1件），审结45件（含上年度未结17件），未结3件。市院交办4件，未结1件。向行政机关发出检察建议书31份（其中发出公益诉讼的诉前检察建议28份）。</w:t>
      </w:r>
    </w:p>
    <w:p w14:paraId="23E7488D">
      <w:pPr>
        <w:pStyle w:val="4"/>
        <w:bidi w:val="0"/>
        <w:rPr>
          <w:rFonts w:hint="eastAsia"/>
          <w:lang w:val="zh-CN"/>
        </w:rPr>
      </w:pPr>
      <w:r>
        <w:rPr>
          <w:rFonts w:hint="eastAsia"/>
          <w:lang w:val="zh-CN"/>
        </w:rPr>
        <w:t>【刑事执行】</w:t>
      </w:r>
    </w:p>
    <w:p w14:paraId="5743B089">
      <w:pPr>
        <w:bidi w:val="0"/>
        <w:rPr>
          <w:rFonts w:hint="eastAsia"/>
          <w:lang w:val="zh-CN"/>
        </w:rPr>
      </w:pPr>
      <w:r>
        <w:rPr>
          <w:rFonts w:hint="eastAsia"/>
          <w:lang w:val="zh-CN"/>
        </w:rPr>
        <w:t>刑执科监督记载，2018年南雄市看守所在押案犯195人，其中男性案犯161人，女性案犯34人；刑拘13人，捕未决155人，待执行27人。驻所检察人员对看守所收押、出所的案犯认真检查、登记，逐人建立在押人员情况检察台账，做好《检察日志》及各项业务情况登记表。刑执部门以维护刑罚执行和监管活动为工作主线，强化法律监督，发出纠正违法通知书4份，对刑罚执行和监管活动发出检察建议书13份，对羁押必要性审查发出检察建议书11份，对法院执行财产刑发出检察建议书2份，对社区矫正人员进行教育谈话和心理辅导等151人次。</w:t>
      </w:r>
    </w:p>
    <w:p w14:paraId="16D88132">
      <w:pPr>
        <w:pStyle w:val="4"/>
        <w:bidi w:val="0"/>
        <w:rPr>
          <w:rFonts w:hint="eastAsia"/>
          <w:lang w:val="zh-CN"/>
        </w:rPr>
      </w:pPr>
      <w:r>
        <w:rPr>
          <w:rFonts w:hint="eastAsia"/>
          <w:lang w:val="zh-CN"/>
        </w:rPr>
        <w:t>【案管中心】</w:t>
      </w:r>
    </w:p>
    <w:p w14:paraId="17388F27">
      <w:pPr>
        <w:bidi w:val="0"/>
        <w:rPr>
          <w:rFonts w:hint="eastAsia"/>
          <w:lang w:val="zh-CN"/>
        </w:rPr>
      </w:pPr>
      <w:r>
        <w:rPr>
          <w:rFonts w:hint="eastAsia"/>
          <w:lang w:val="zh-CN"/>
        </w:rPr>
        <w:t>2018年受理案件404件565人，接收外来文书419份，接收卷宗1021册，审查结案320件435人。制作电子卷宗259宗684册，安排律师阅卷39人次，提供电子卷宗39册161册，刻录光盘39张，支持法院援助全覆盖，随案移送法院刻录光盘196张，涉案款出库80.41万元，涉案物入库164件，出库110件。</w:t>
      </w:r>
    </w:p>
    <w:p w14:paraId="537D7977">
      <w:pPr>
        <w:pStyle w:val="4"/>
        <w:bidi w:val="0"/>
        <w:rPr>
          <w:rFonts w:hint="eastAsia"/>
          <w:lang w:val="zh-CN"/>
        </w:rPr>
      </w:pPr>
      <w:r>
        <w:rPr>
          <w:rFonts w:hint="eastAsia"/>
          <w:lang w:val="zh-CN"/>
        </w:rPr>
        <w:t>【司法改革】</w:t>
      </w:r>
    </w:p>
    <w:p w14:paraId="03D35093">
      <w:pPr>
        <w:bidi w:val="0"/>
        <w:rPr>
          <w:rFonts w:hint="eastAsia"/>
          <w:lang w:val="zh-CN"/>
        </w:rPr>
      </w:pPr>
      <w:r>
        <w:rPr>
          <w:rFonts w:hint="eastAsia"/>
          <w:lang w:val="zh-CN"/>
        </w:rPr>
        <w:t>1月将反贪污贿赂局、反渎职侵权局和职务犯罪预防科等3个机构职能、10个政法编制、6名检察人员转隶到市监察委员会，并依法履行在打击职务犯罪工作中新的职能职责。推进以审判为中心的诉讼制度改革，主动与政法机关相关单位就新型、疑难案件进行沟通协调，强化证据收集，形成统一共识，增强指控犯罪合力。依托检察官驻所办公室和派驻检察室机制，加强对公安派出所刑事侦查活动的监督工作，提高案件办理质量。</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7D71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916012B">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2995" cy="3680460"/>
                  <wp:effectExtent l="0" t="0" r="8255" b="15240"/>
                  <wp:docPr id="121" name="图片 121" descr="南雄年鉴2019_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南雄年鉴2019_0096"/>
                          <pic:cNvPicPr>
                            <a:picLocks noChangeAspect="1"/>
                          </pic:cNvPicPr>
                        </pic:nvPicPr>
                        <pic:blipFill>
                          <a:blip r:embed="rId108"/>
                          <a:stretch>
                            <a:fillRect/>
                          </a:stretch>
                        </pic:blipFill>
                        <pic:spPr>
                          <a:xfrm>
                            <a:off x="0" y="0"/>
                            <a:ext cx="6182995" cy="3680460"/>
                          </a:xfrm>
                          <a:prstGeom prst="rect">
                            <a:avLst/>
                          </a:prstGeom>
                        </pic:spPr>
                      </pic:pic>
                    </a:graphicData>
                  </a:graphic>
                </wp:inline>
              </w:drawing>
            </w:r>
          </w:p>
        </w:tc>
      </w:tr>
      <w:tr w14:paraId="33027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52FFFE9">
            <w:pPr>
              <w:bidi w:val="0"/>
              <w:rPr>
                <w:rFonts w:hint="eastAsia"/>
                <w:vertAlign w:val="baseline"/>
                <w:lang w:val="zh-CN"/>
              </w:rPr>
            </w:pPr>
            <w:r>
              <w:rPr>
                <w:rFonts w:hint="eastAsia" w:ascii="FZKTK--GBK1-0" w:hAnsi="FZKTK--GBK1-0" w:eastAsia="FZKTK--GBK1-0"/>
                <w:sz w:val="20"/>
              </w:rPr>
              <w:t>10月29日，市检察院12309检察服务中心成立（胡飞龙</w:t>
            </w:r>
            <w:r>
              <w:rPr>
                <w:rFonts w:hint="eastAsia" w:ascii="FZKTK--GBK1-0" w:hAnsi="FZKTK--GBK1-0" w:eastAsia="FZKTK--GBK1-0"/>
                <w:sz w:val="20"/>
                <w:lang w:val="en-US" w:eastAsia="zh-CN"/>
              </w:rPr>
              <w:t xml:space="preserve">  </w:t>
            </w:r>
            <w:r>
              <w:rPr>
                <w:rFonts w:hint="eastAsia" w:ascii="FZKTK--GBK1-0" w:hAnsi="FZKTK--GBK1-0" w:eastAsia="FZKTK--GBK1-0"/>
                <w:sz w:val="20"/>
              </w:rPr>
              <w:t>摄）</w:t>
            </w:r>
          </w:p>
        </w:tc>
      </w:tr>
    </w:tbl>
    <w:p w14:paraId="7B3B5509">
      <w:pPr>
        <w:pStyle w:val="4"/>
        <w:bidi w:val="0"/>
        <w:rPr>
          <w:rFonts w:hint="eastAsia"/>
          <w:lang w:val="zh-CN"/>
        </w:rPr>
      </w:pPr>
      <w:r>
        <w:rPr>
          <w:rFonts w:hint="eastAsia"/>
          <w:lang w:val="zh-CN"/>
        </w:rPr>
        <w:t>【司法公开】</w:t>
      </w:r>
    </w:p>
    <w:p w14:paraId="74ABFC52">
      <w:pPr>
        <w:bidi w:val="0"/>
        <w:rPr>
          <w:rFonts w:hint="eastAsia"/>
          <w:lang w:val="zh-CN"/>
        </w:rPr>
      </w:pPr>
      <w:r>
        <w:rPr>
          <w:rFonts w:hint="eastAsia"/>
          <w:lang w:val="zh-CN"/>
        </w:rPr>
        <w:t>公开案件程序性信息378条，发布重要案件信息4条，公开法律文书178份，编发统计分析3份和案件信息公开通报10份，开展案件质量评查60件，“两微一端”新媒体平台发布信息265条，召开检委会会议7次，其中学习新法规及其司法解释6次，讨论案件1次并作出决定。</w:t>
      </w:r>
    </w:p>
    <w:p w14:paraId="11791766">
      <w:pPr>
        <w:pStyle w:val="4"/>
        <w:bidi w:val="0"/>
        <w:rPr>
          <w:rFonts w:hint="eastAsia"/>
          <w:lang w:val="zh-CN"/>
        </w:rPr>
      </w:pPr>
      <w:r>
        <w:rPr>
          <w:rFonts w:hint="eastAsia"/>
          <w:lang w:val="zh-CN"/>
        </w:rPr>
        <w:t>【队伍建设】</w:t>
      </w:r>
    </w:p>
    <w:p w14:paraId="6684D7BA">
      <w:pPr>
        <w:bidi w:val="0"/>
        <w:rPr>
          <w:rFonts w:hint="eastAsia"/>
          <w:lang w:val="zh-CN"/>
        </w:rPr>
      </w:pPr>
      <w:r>
        <w:rPr>
          <w:rFonts w:hint="eastAsia"/>
          <w:lang w:val="zh-CN"/>
        </w:rPr>
        <w:t>贯彻落实高检院《关于组织实施2018年全国检察机关干部人才援藏“双百计划”的通知》要求，选派本院彭静同志参加全省检察机关干部人才赴西藏林芝检察机关援藏帮扶，表现优秀，荣获集体三等功及个人三等功。落实一岗双责，党组书记分别与中层以上干部签订党风廉政责任状18份，谈心谈话39人次，全面筑牢检察干警的思想防线。</w:t>
      </w:r>
    </w:p>
    <w:p w14:paraId="616D5C9F">
      <w:pPr>
        <w:bidi w:val="0"/>
        <w:jc w:val="right"/>
        <w:rPr>
          <w:rFonts w:hint="eastAsia"/>
          <w:b/>
          <w:bCs/>
          <w:lang w:val="zh-CN"/>
        </w:rPr>
      </w:pPr>
      <w:r>
        <w:rPr>
          <w:rFonts w:hint="eastAsia"/>
          <w:b/>
          <w:bCs/>
          <w:lang w:val="zh-CN"/>
        </w:rPr>
        <w:t>（胡飞龙）</w:t>
      </w:r>
    </w:p>
    <w:p w14:paraId="29216D9B">
      <w:pPr>
        <w:pStyle w:val="11"/>
        <w:bidi w:val="0"/>
        <w:rPr>
          <w:rFonts w:hint="eastAsia"/>
          <w:b/>
          <w:bCs/>
          <w:lang w:val="zh-CN"/>
        </w:rPr>
      </w:pPr>
      <w:r>
        <w:rPr>
          <w:rFonts w:hint="eastAsia"/>
          <w:b/>
          <w:bCs/>
          <w:lang w:val="zh-CN"/>
        </w:rPr>
        <w:t>附：2018年市检察院领导班子成员名单</w:t>
      </w:r>
    </w:p>
    <w:p w14:paraId="470CB7D8">
      <w:pPr>
        <w:pStyle w:val="11"/>
        <w:bidi w:val="0"/>
        <w:rPr>
          <w:rFonts w:hint="eastAsia"/>
          <w:lang w:val="zh-CN"/>
        </w:rPr>
      </w:pPr>
      <w:r>
        <w:rPr>
          <w:rFonts w:hint="eastAsia"/>
          <w:b/>
          <w:bCs/>
          <w:lang w:val="zh-CN"/>
        </w:rPr>
        <w:t>党组书记、检察长：</w:t>
      </w:r>
      <w:r>
        <w:rPr>
          <w:rFonts w:hint="eastAsia"/>
          <w:lang w:val="zh-CN"/>
        </w:rPr>
        <w:t>龚春辉</w:t>
      </w:r>
    </w:p>
    <w:p w14:paraId="1B81ECB8">
      <w:pPr>
        <w:pStyle w:val="11"/>
        <w:bidi w:val="0"/>
        <w:rPr>
          <w:rFonts w:hint="eastAsia"/>
          <w:lang w:val="zh-CN"/>
        </w:rPr>
      </w:pPr>
      <w:r>
        <w:rPr>
          <w:rFonts w:hint="eastAsia"/>
          <w:b/>
          <w:bCs/>
          <w:lang w:val="zh-CN"/>
        </w:rPr>
        <w:t>党组副书记、副检察长：</w:t>
      </w:r>
      <w:r>
        <w:rPr>
          <w:rFonts w:hint="eastAsia"/>
          <w:lang w:val="zh-CN"/>
        </w:rPr>
        <w:t>刘辉林</w:t>
      </w:r>
    </w:p>
    <w:p w14:paraId="4A321BFB">
      <w:pPr>
        <w:pStyle w:val="11"/>
        <w:bidi w:val="0"/>
        <w:rPr>
          <w:rFonts w:hint="eastAsia"/>
          <w:lang w:val="zh-CN"/>
        </w:rPr>
      </w:pPr>
      <w:r>
        <w:rPr>
          <w:rFonts w:hint="eastAsia"/>
          <w:b/>
          <w:bCs/>
          <w:lang w:val="zh-CN"/>
        </w:rPr>
        <w:t>副检察长：</w:t>
      </w:r>
      <w:r>
        <w:rPr>
          <w:rFonts w:hint="eastAsia"/>
          <w:lang w:val="zh-CN"/>
        </w:rPr>
        <w:t>利保登</w:t>
      </w:r>
      <w:r>
        <w:rPr>
          <w:rFonts w:hint="eastAsia"/>
          <w:lang w:val="en-US" w:eastAsia="zh-CN"/>
        </w:rPr>
        <w:t xml:space="preserve">   </w:t>
      </w:r>
      <w:r>
        <w:rPr>
          <w:rFonts w:hint="eastAsia"/>
          <w:lang w:val="zh-CN"/>
        </w:rPr>
        <w:t>王晓云</w:t>
      </w:r>
    </w:p>
    <w:p w14:paraId="0E50162B">
      <w:pPr>
        <w:pStyle w:val="11"/>
        <w:bidi w:val="0"/>
        <w:rPr>
          <w:rFonts w:hint="eastAsia"/>
          <w:lang w:val="zh-CN"/>
        </w:rPr>
      </w:pPr>
      <w:r>
        <w:rPr>
          <w:rFonts w:hint="eastAsia"/>
          <w:b/>
          <w:bCs/>
          <w:lang w:val="zh-CN"/>
        </w:rPr>
        <w:t>纪检组长：</w:t>
      </w:r>
      <w:r>
        <w:rPr>
          <w:rFonts w:hint="eastAsia"/>
          <w:lang w:val="zh-CN"/>
        </w:rPr>
        <w:t>李</w:t>
      </w:r>
      <w:r>
        <w:rPr>
          <w:rFonts w:hint="eastAsia"/>
          <w:lang w:val="en-US" w:eastAsia="zh-CN"/>
        </w:rPr>
        <w:t xml:space="preserve">  </w:t>
      </w:r>
      <w:r>
        <w:rPr>
          <w:rFonts w:hint="eastAsia"/>
          <w:lang w:val="zh-CN"/>
        </w:rPr>
        <w:t>兵</w:t>
      </w:r>
    </w:p>
    <w:p w14:paraId="5DB8133D">
      <w:pPr>
        <w:pStyle w:val="11"/>
        <w:bidi w:val="0"/>
        <w:rPr>
          <w:rFonts w:hint="eastAsia"/>
          <w:lang w:val="zh-CN"/>
        </w:rPr>
      </w:pPr>
      <w:r>
        <w:rPr>
          <w:rFonts w:hint="eastAsia"/>
          <w:b/>
          <w:bCs/>
          <w:lang w:val="zh-CN"/>
        </w:rPr>
        <w:t>政工科长：</w:t>
      </w:r>
      <w:r>
        <w:rPr>
          <w:rFonts w:hint="eastAsia"/>
          <w:lang w:val="zh-CN"/>
        </w:rPr>
        <w:t>罗天祥</w:t>
      </w:r>
    </w:p>
    <w:p w14:paraId="333D8EE0">
      <w:pPr>
        <w:pStyle w:val="11"/>
        <w:bidi w:val="0"/>
        <w:rPr>
          <w:rFonts w:hint="eastAsia"/>
          <w:lang w:val="zh-CN"/>
        </w:rPr>
      </w:pPr>
      <w:r>
        <w:rPr>
          <w:rFonts w:hint="eastAsia"/>
          <w:b/>
          <w:bCs/>
          <w:lang w:val="zh-CN"/>
        </w:rPr>
        <w:t>检委专员：</w:t>
      </w:r>
      <w:r>
        <w:rPr>
          <w:rFonts w:hint="eastAsia"/>
          <w:lang w:val="zh-CN"/>
        </w:rPr>
        <w:t>曾祥升</w:t>
      </w:r>
    </w:p>
    <w:p w14:paraId="436C2E8E">
      <w:pPr>
        <w:pStyle w:val="3"/>
        <w:bidi w:val="0"/>
        <w:rPr>
          <w:rFonts w:hint="eastAsia"/>
          <w:lang w:val="zh-CN"/>
        </w:rPr>
      </w:pPr>
      <w:r>
        <w:rPr>
          <w:rFonts w:hint="eastAsia"/>
          <w:lang w:val="zh-CN"/>
        </w:rPr>
        <w:t>审判</w:t>
      </w:r>
    </w:p>
    <w:p w14:paraId="0AB26301">
      <w:pPr>
        <w:pStyle w:val="4"/>
        <w:bidi w:val="0"/>
        <w:rPr>
          <w:rFonts w:hint="eastAsia"/>
          <w:lang w:val="zh-CN"/>
        </w:rPr>
      </w:pPr>
      <w:r>
        <w:rPr>
          <w:rFonts w:hint="eastAsia"/>
          <w:lang w:val="zh-CN"/>
        </w:rPr>
        <w:t>【概况】</w:t>
      </w:r>
    </w:p>
    <w:p w14:paraId="4255BBCA">
      <w:pPr>
        <w:bidi w:val="0"/>
        <w:rPr>
          <w:rFonts w:hint="eastAsia"/>
          <w:lang w:val="zh-CN"/>
        </w:rPr>
      </w:pPr>
      <w:r>
        <w:rPr>
          <w:rFonts w:hint="eastAsia"/>
          <w:lang w:val="zh-CN"/>
        </w:rPr>
        <w:t>南雄市人民法院（以下简称南雄法院）在编人员81人，劳动合同制司法辅助人员20人，劳务派遣制人员18人。内设机构有：政工科、监察科、审判管理办公室、刑事审判庭、民事审判第一庭、民事审判第二庭、民事审判第三庭、行政审判庭、执行局、研究室、办公室、立案庭、书记员管理办公室；行政直属机构有司法警察大队；派出机构有：全安人民法庭、湖口人民法庭、乌迳人民法庭。</w:t>
      </w:r>
    </w:p>
    <w:p w14:paraId="5E417499">
      <w:pPr>
        <w:bidi w:val="0"/>
        <w:rPr>
          <w:rFonts w:hint="eastAsia"/>
          <w:lang w:val="zh-CN"/>
        </w:rPr>
      </w:pPr>
      <w:r>
        <w:rPr>
          <w:rFonts w:hint="eastAsia"/>
          <w:lang w:val="zh-CN"/>
        </w:rPr>
        <w:t>2018年受理各类案件3825件，同比上升33.55%；审结3452件，同比上升38.74%；法官人均结案164.38件，同比上升78.87%；一审判决案件改判发回重审率为3.59%，同比下降了5.45个百分点，排名韶关市基层法院第二位；法定审限内结案率99.94%，同比上升1.23%，排名韶关市基层法院第一位（并列）；民事一审服判息诉率89.31%，同比上升4.32%，排名韶关市基层法院第一位。</w:t>
      </w:r>
    </w:p>
    <w:p w14:paraId="5BCA3F60">
      <w:pPr>
        <w:pStyle w:val="4"/>
        <w:bidi w:val="0"/>
        <w:rPr>
          <w:rFonts w:hint="eastAsia"/>
          <w:lang w:val="zh-CN"/>
        </w:rPr>
      </w:pPr>
      <w:r>
        <w:rPr>
          <w:rFonts w:hint="eastAsia"/>
          <w:lang w:val="zh-CN"/>
        </w:rPr>
        <w:t>【奖励情况】</w:t>
      </w:r>
    </w:p>
    <w:p w14:paraId="7929901B">
      <w:pPr>
        <w:bidi w:val="0"/>
        <w:rPr>
          <w:rFonts w:hint="eastAsia"/>
          <w:lang w:val="zh-CN"/>
        </w:rPr>
      </w:pPr>
      <w:r>
        <w:rPr>
          <w:rFonts w:hint="eastAsia"/>
          <w:lang w:val="zh-CN"/>
        </w:rPr>
        <w:t>2月，陈章健被韶关市中级人民法院授予2017年度“全市优秀法官”荣誉称号。11月，陈章健荣立个人二等功一次，刘辉龙、尹翔各荣立个人三等功一次。魏修文被南雄市委授予“优秀共产党员”称号。</w:t>
      </w:r>
    </w:p>
    <w:p w14:paraId="27F31508">
      <w:pPr>
        <w:pStyle w:val="4"/>
        <w:bidi w:val="0"/>
        <w:rPr>
          <w:rFonts w:hint="eastAsia"/>
          <w:lang w:val="zh-CN"/>
        </w:rPr>
      </w:pPr>
      <w:r>
        <w:rPr>
          <w:rFonts w:hint="eastAsia"/>
          <w:lang w:val="zh-CN"/>
        </w:rPr>
        <w:t>【刑事审判】</w:t>
      </w:r>
    </w:p>
    <w:p w14:paraId="5658B57B">
      <w:pPr>
        <w:bidi w:val="0"/>
        <w:rPr>
          <w:rFonts w:hint="eastAsia"/>
          <w:lang w:val="zh-CN"/>
        </w:rPr>
      </w:pPr>
      <w:r>
        <w:rPr>
          <w:rFonts w:hint="eastAsia"/>
          <w:lang w:val="zh-CN"/>
        </w:rPr>
        <w:t>审结刑事案件216件，判处罪犯283人，同比分别上升20%和9.65%。深入开展扫黑除恶专项斗争，依法审结被告人谭远顺等恶势力犯罪集团案件2件5人，首犯谭远顺被依法判处有期徒刑17年，剥夺政治权利4年。严惩危害群众生命财产安全犯罪，审结故意伤害、强奸、非法拘禁等暴力犯罪案件39件45人；审结抢劫、盗窃、诈骗、拒不支付劳动报酬等侵财案件37件55人。持续加大对毒品犯罪打击力度，审结走私、贩卖、运输、制造毒品、容留他人吸毒等涉毒犯罪案件6件8人。严厉打击涉黄涉赌犯罪，审结引诱、容留、介绍卖淫案件9件10人，审结赌博案件15件31人。严惩破坏生态环境资源犯罪，审结非法采矿、滥伐林木等案件4件7人。依法严惩腐败犯罪，特别是发生在扶贫领域、民生领域和群众身边的腐败犯罪，审结南雄市监察委员会成立后立案调查的全安镇敬老院原院长陈某凤、江头镇民政办原主任殷某贪污救济款等贪污犯罪案件8件12人。坚持宽严相济刑事政策，对85名犯罪情节较轻的初犯、偶犯、未成年犯等依法判处非监禁刑。加强人权司法保障，依法为183件227名案件被告人指定辩护人。严格贯彻罪刑法定、非法证据排除和疑罪从无原则，坚决防止冤错案件发生。</w:t>
      </w:r>
    </w:p>
    <w:p w14:paraId="43146C68">
      <w:pPr>
        <w:pStyle w:val="4"/>
        <w:bidi w:val="0"/>
        <w:rPr>
          <w:rFonts w:hint="eastAsia"/>
          <w:lang w:val="zh-CN"/>
        </w:rPr>
      </w:pPr>
      <w:r>
        <w:rPr>
          <w:rFonts w:hint="eastAsia"/>
          <w:lang w:val="zh-CN"/>
        </w:rPr>
        <w:t>【民商事审判】</w:t>
      </w:r>
    </w:p>
    <w:p w14:paraId="22F2C886">
      <w:pPr>
        <w:bidi w:val="0"/>
        <w:rPr>
          <w:rFonts w:hint="eastAsia"/>
          <w:lang w:val="zh-CN"/>
        </w:rPr>
      </w:pPr>
      <w:r>
        <w:rPr>
          <w:rFonts w:hint="eastAsia"/>
          <w:lang w:val="zh-CN"/>
        </w:rPr>
        <w:t>审结民商事案件2039件，同比上升32.75%，结案标的7.46亿元。加强产权司法保护，平等保护公有制和非公有制经济主体合法权益，审结财产权属纠纷案件115件，审结股权转让案件2件。助力供给侧结构性改革，积极推进农信社改制农商行，审结南雄农信社债权案件182件，标的4000余万元。依法规范房地产市场发展，审结房地产开发、房屋买卖等案件135件。依法保障城市提升，妥善处理土地征收征用、拆迁安置、建设工程合同等各类案件83件。依法保护市场交易安全，维护诚实守信市场秩序，审结买卖、借贷、担保等合同案件739件。</w:t>
      </w:r>
    </w:p>
    <w:p w14:paraId="5513749F">
      <w:pPr>
        <w:pStyle w:val="4"/>
        <w:bidi w:val="0"/>
        <w:rPr>
          <w:rFonts w:hint="eastAsia"/>
          <w:lang w:val="zh-CN"/>
        </w:rPr>
      </w:pPr>
      <w:r>
        <w:rPr>
          <w:rFonts w:hint="eastAsia"/>
          <w:lang w:val="zh-CN"/>
        </w:rPr>
        <w:t>【增强案件执行力】</w:t>
      </w:r>
    </w:p>
    <w:p w14:paraId="7865860F">
      <w:pPr>
        <w:bidi w:val="0"/>
        <w:rPr>
          <w:rFonts w:hint="eastAsia"/>
          <w:lang w:val="zh-CN"/>
        </w:rPr>
      </w:pPr>
      <w:r>
        <w:rPr>
          <w:rFonts w:hint="eastAsia"/>
          <w:lang w:val="zh-CN"/>
        </w:rPr>
        <w:t>2018年，受理执行案件1352件，同比增长48.57%；结案1151件，同比增长55.54%；执结率85.13%，执结标的2.44亿余元。加大对有财产可供执行案件的执行力度，提高执行效率，有财产可供执行案件法定期限内实际执结率达95.14%。持续对失信被执行人采取高压态势，严厉打击拒不执行生效判决、裁定的违法行为，维护司法权威和公平正义，被追究拒不执行判决、裁定罪的有1件2人。通过全国法院失信被执行人信息系统，对拒不履行生效裁判的被执行人予以信用惩戒，纳入失信人名单353人次，限制高消费980人次。移送公安机关实施临控措施11案11人。对有拒绝执行为的当事人实施拘留8案8人。通过市法院立案大厅显示屏和南雄电视台“法治在线”栏目向社会公开曝光20名失信被执行人，有力打击不诚信的“老赖”行为。全面实行网络拍卖，网络拍卖财产案件51件次，拍卖成交10件，拍卖成交金额357万余元。开展涉民生案件集中行动，执结涉民生案件103件，执行标的227万余元。开展涉农信社债权案件专项行动，执结农信社债权案件262件，结案标的2143万余元。</w:t>
      </w:r>
    </w:p>
    <w:p w14:paraId="11474A83">
      <w:pPr>
        <w:pStyle w:val="4"/>
        <w:bidi w:val="0"/>
        <w:rPr>
          <w:rFonts w:hint="eastAsia"/>
          <w:lang w:val="zh-CN"/>
        </w:rPr>
      </w:pPr>
      <w:r>
        <w:rPr>
          <w:rFonts w:hint="eastAsia"/>
          <w:lang w:val="zh-CN"/>
        </w:rPr>
        <w:t>【民生权益保护】</w:t>
      </w:r>
    </w:p>
    <w:p w14:paraId="2B55A4C5">
      <w:pPr>
        <w:bidi w:val="0"/>
        <w:rPr>
          <w:rFonts w:hint="eastAsia"/>
          <w:lang w:val="zh-CN"/>
        </w:rPr>
      </w:pPr>
      <w:r>
        <w:rPr>
          <w:rFonts w:hint="eastAsia"/>
          <w:lang w:val="zh-CN"/>
        </w:rPr>
        <w:t>严惩涉民生犯罪，审结危害食品药品安全、制假售假案件3件。依法保护劳动者和用人单位合法权益，审结追索劳动报酬等劳动争议案件30件。依法保护妇女、儿童、老年人合法权益，审结婚姻家庭案件594件，促进家庭和睦。依法维护公民人身财产权利，审结交通、医疗、工伤等人身损害赔偿案件351件；审结房屋买卖、相邻关系、物业合同等案件150件。依法推进农村集体产权制度改革，审结山林土地权属、承包经营权确认、流转等涉农案件95件，依法保障乡村振兴发展战略实施，助力建设生态宜居的美丽乡村。加大司法救助力度，为经济困难当事人缓减免交诉讼费93万余元，为权利受到非法侵害无法获得有效赔偿的刑事案件被害人、经济确有困难的申请执行人发放司法救助金13万余元。</w:t>
      </w:r>
    </w:p>
    <w:p w14:paraId="78C6E11E">
      <w:pPr>
        <w:pStyle w:val="4"/>
        <w:bidi w:val="0"/>
        <w:rPr>
          <w:rFonts w:hint="eastAsia"/>
          <w:lang w:val="zh-CN"/>
        </w:rPr>
      </w:pPr>
      <w:r>
        <w:rPr>
          <w:rFonts w:hint="eastAsia"/>
          <w:lang w:val="zh-CN"/>
        </w:rPr>
        <w:t>【智能化司法服务】</w:t>
      </w:r>
    </w:p>
    <w:p w14:paraId="5007646F">
      <w:pPr>
        <w:bidi w:val="0"/>
        <w:rPr>
          <w:rFonts w:hint="eastAsia"/>
          <w:lang w:val="zh-CN"/>
        </w:rPr>
      </w:pPr>
      <w:r>
        <w:rPr>
          <w:rFonts w:hint="eastAsia"/>
          <w:lang w:val="zh-CN"/>
        </w:rPr>
        <w:t>完善以诉讼服务中心、诉讼服务网、12368诉讼服务热线为主要内容的立体化诉讼服务模式，推进诉讼服务中心实体化运作。建立网上立案平台，开通诉讼费微信支付平台，推行远程送达系统。深化司法公开，全面公开审判流程和执行信息，依法应当公开的生效裁判文书一律公开，上网公开裁判文书816篇，网络庭审直播314件，直播总观看次数达27.91万次，公开审判流程信息18.63万项。</w:t>
      </w:r>
    </w:p>
    <w:p w14:paraId="741BD8A6">
      <w:pPr>
        <w:pStyle w:val="4"/>
        <w:bidi w:val="0"/>
        <w:rPr>
          <w:rFonts w:hint="eastAsia"/>
          <w:lang w:val="zh-CN"/>
        </w:rPr>
      </w:pPr>
      <w:r>
        <w:rPr>
          <w:rFonts w:hint="eastAsia"/>
          <w:lang w:val="zh-CN"/>
        </w:rPr>
        <w:t>【法制宣传】</w:t>
      </w:r>
    </w:p>
    <w:p w14:paraId="00C9DB4C">
      <w:pPr>
        <w:bidi w:val="0"/>
        <w:rPr>
          <w:rFonts w:hint="eastAsia"/>
          <w:lang w:val="zh-CN"/>
        </w:rPr>
      </w:pPr>
      <w:r>
        <w:rPr>
          <w:rFonts w:hint="eastAsia"/>
          <w:lang w:val="zh-CN"/>
        </w:rPr>
        <w:t>与教育部门共建法治校园，为在校学生提供丰富法治教育资源，深化青少年违法犯罪预防和帮教工作。通过广播、电视、报纸等传统媒体和微信、微博、法院内外网等新媒体矩阵，刊发新闻报道133篇次，邀请南雄电视台采访报道典型案例庭审8次，与南雄电视台联合制作《法治在线》栏目5期，开展法治进校园、进企业、进镇村、进机关等系列活动11场次，邀请人大代表、纪委监委、机关、镇村干部及中小学师生旁听庭审8次500余人。</w:t>
      </w:r>
    </w:p>
    <w:p w14:paraId="3C2791AB">
      <w:pPr>
        <w:pStyle w:val="4"/>
        <w:bidi w:val="0"/>
        <w:rPr>
          <w:rFonts w:hint="eastAsia"/>
          <w:lang w:val="zh-CN"/>
        </w:rPr>
      </w:pPr>
      <w:r>
        <w:rPr>
          <w:rFonts w:hint="eastAsia"/>
          <w:lang w:val="zh-CN"/>
        </w:rPr>
        <w:t>【家事审判方式和工作机制改革】</w:t>
      </w:r>
    </w:p>
    <w:p w14:paraId="6BA8EACC">
      <w:pPr>
        <w:bidi w:val="0"/>
        <w:rPr>
          <w:rFonts w:hint="eastAsia"/>
          <w:lang w:val="zh-CN"/>
        </w:rPr>
      </w:pPr>
      <w:r>
        <w:rPr>
          <w:rFonts w:hint="eastAsia"/>
          <w:lang w:val="zh-CN"/>
        </w:rPr>
        <w:t>全面推开家事审判方式和工作机制改革，扎实推进家事审判队伍专业化建设。推动建立“党委领导、人大监督、政府尽责、法院牵头、社会参与”的工作格局。组建专业化家事审判团队，建立家事调解员、家事调查员、家事回访帮扶制度，实行不公开开庭审理、当事人亲自到庭原则，严格落实家事审判规程，设置离婚案件冷静期，依法开具离婚证明书，发出人身安全保护令，探索心理疏导机制。家事审判团队受理家事案件333件，结案331件，结案率99.39%，调撤率86.56%。</w:t>
      </w:r>
    </w:p>
    <w:p w14:paraId="0BFE5A22">
      <w:pPr>
        <w:pStyle w:val="4"/>
        <w:bidi w:val="0"/>
        <w:rPr>
          <w:rFonts w:hint="eastAsia"/>
          <w:lang w:val="zh-CN"/>
        </w:rPr>
      </w:pPr>
      <w:r>
        <w:rPr>
          <w:rFonts w:hint="eastAsia"/>
          <w:lang w:val="zh-CN"/>
        </w:rPr>
        <w:t>【其他综合配套制度改革】</w:t>
      </w:r>
    </w:p>
    <w:p w14:paraId="22B53C72">
      <w:pPr>
        <w:bidi w:val="0"/>
        <w:rPr>
          <w:rFonts w:hint="eastAsia"/>
          <w:lang w:val="zh-CN"/>
        </w:rPr>
      </w:pPr>
      <w:r>
        <w:rPr>
          <w:rFonts w:hint="eastAsia"/>
          <w:lang w:val="zh-CN"/>
        </w:rPr>
        <w:t>扎实推进以审判为中心的刑事诉讼制度改革，牢固树立依法裁判理念，严格落实庭前会议、非法证据排除、法庭调查“三项规程”，推进庭审实质化改革，提高刑事案件审判质量。推进案件繁简分流机制改革，成立民商事案件速裁审判团队，提高简易程序、小额诉讼程序适用比例，适用简易程序审结民事案件1305件，占民事案件审结数的63.97%。成立交通事故调解室，有序开展道路交通事故损害赔偿纠纷一体化处理试点工作。</w:t>
      </w:r>
    </w:p>
    <w:p w14:paraId="38BEDB27">
      <w:pPr>
        <w:pStyle w:val="4"/>
        <w:bidi w:val="0"/>
        <w:rPr>
          <w:rFonts w:hint="eastAsia"/>
          <w:lang w:val="zh-CN"/>
        </w:rPr>
      </w:pPr>
      <w:r>
        <w:rPr>
          <w:rFonts w:hint="eastAsia"/>
          <w:lang w:val="zh-CN"/>
        </w:rPr>
        <w:t>【基层基础建设】</w:t>
      </w:r>
    </w:p>
    <w:p w14:paraId="7391EDD1">
      <w:pPr>
        <w:bidi w:val="0"/>
        <w:rPr>
          <w:rFonts w:hint="eastAsia"/>
          <w:lang w:val="zh-CN"/>
        </w:rPr>
      </w:pPr>
      <w:r>
        <w:rPr>
          <w:rFonts w:hint="eastAsia"/>
          <w:lang w:val="zh-CN"/>
        </w:rPr>
        <w:t>2018年完成全安法庭、乌迳法庭的重大修缮，设置高标准数字化审判法庭、圆桌家事审判法庭、温馨调解室、便民立案大厅、视频会议系统、安防监控系统、安检设备、网络宣传机、电子显示屏等，规划整齐停车位，并对周边环境进行美化绿化。</w:t>
      </w:r>
    </w:p>
    <w:p w14:paraId="7BC26C8A">
      <w:pPr>
        <w:pStyle w:val="4"/>
        <w:bidi w:val="0"/>
        <w:rPr>
          <w:rFonts w:hint="eastAsia"/>
          <w:lang w:val="zh-CN"/>
        </w:rPr>
      </w:pPr>
      <w:r>
        <w:rPr>
          <w:rFonts w:hint="eastAsia"/>
          <w:lang w:val="zh-CN"/>
        </w:rPr>
        <w:t>【队伍建设】</w:t>
      </w:r>
    </w:p>
    <w:p w14:paraId="3A781047">
      <w:pPr>
        <w:bidi w:val="0"/>
        <w:rPr>
          <w:rFonts w:hint="eastAsia"/>
          <w:lang w:val="zh-CN"/>
        </w:rPr>
      </w:pPr>
      <w:r>
        <w:rPr>
          <w:rFonts w:hint="eastAsia"/>
          <w:lang w:val="zh-CN"/>
        </w:rPr>
        <w:t>举办干警业务能力提升培训班，邀请韶关市中级人民法院资深法官讲课，传授审判经验，提升法官办案水平。组织干警参加最高院、省高院举办的《法官讲堂》《法官论坛》、扫黑除恶、家事审判、道路交通事故、刑事诉讼法修正案等各类业务培训，全年组织开展各类培训26期，累计培训1045人次。将新招录的法学专业公务员安排到人民法庭和其他审判执行一线磨炼，选派1人到市委政法委学习锻炼，安排审判执行业务部门书记员分批到韶关市中级人民法院跟班学习。强化先进典型示范引领作用，1名干警荣立个人二等功，1名干警被韶关市中级人民法院授予“全市优秀法官”荣誉称号，2名干警荣立个人三等功，1名干警被南雄市委授予“优秀共产党员”称号。</w:t>
      </w:r>
    </w:p>
    <w:p w14:paraId="22CFA2E3">
      <w:pPr>
        <w:bidi w:val="0"/>
        <w:jc w:val="right"/>
        <w:rPr>
          <w:rFonts w:hint="eastAsia"/>
          <w:b/>
          <w:bCs/>
          <w:lang w:val="zh-CN"/>
        </w:rPr>
      </w:pPr>
      <w:r>
        <w:rPr>
          <w:rFonts w:hint="eastAsia"/>
          <w:b/>
          <w:bCs/>
          <w:lang w:val="zh-CN"/>
        </w:rPr>
        <w:t>（刘家珍）</w:t>
      </w:r>
    </w:p>
    <w:p w14:paraId="19CFCF2D">
      <w:pPr>
        <w:pStyle w:val="11"/>
        <w:bidi w:val="0"/>
        <w:rPr>
          <w:rFonts w:hint="eastAsia"/>
          <w:b/>
          <w:bCs/>
          <w:lang w:val="zh-CN"/>
        </w:rPr>
      </w:pPr>
      <w:r>
        <w:rPr>
          <w:rFonts w:hint="eastAsia"/>
          <w:b/>
          <w:bCs/>
          <w:lang w:val="zh-CN"/>
        </w:rPr>
        <w:t>附：2018年市法院领导班子成员名单</w:t>
      </w:r>
    </w:p>
    <w:p w14:paraId="6892B26F">
      <w:pPr>
        <w:pStyle w:val="11"/>
        <w:bidi w:val="0"/>
        <w:rPr>
          <w:rFonts w:hint="eastAsia"/>
          <w:lang w:val="zh-CN"/>
        </w:rPr>
      </w:pPr>
      <w:r>
        <w:rPr>
          <w:rFonts w:hint="eastAsia"/>
          <w:b/>
          <w:bCs/>
          <w:lang w:val="zh-CN"/>
        </w:rPr>
        <w:t>党组书记、院长：</w:t>
      </w:r>
      <w:r>
        <w:rPr>
          <w:rFonts w:hint="eastAsia"/>
          <w:lang w:val="zh-CN"/>
        </w:rPr>
        <w:t>杨应荣</w:t>
      </w:r>
    </w:p>
    <w:p w14:paraId="077F46A7">
      <w:pPr>
        <w:pStyle w:val="11"/>
        <w:bidi w:val="0"/>
        <w:rPr>
          <w:rFonts w:hint="eastAsia"/>
          <w:lang w:val="zh-CN"/>
        </w:rPr>
      </w:pPr>
      <w:r>
        <w:rPr>
          <w:rFonts w:hint="eastAsia"/>
          <w:b/>
          <w:bCs/>
          <w:lang w:val="zh-CN"/>
        </w:rPr>
        <w:t>党组副书记、副院长：</w:t>
      </w:r>
      <w:r>
        <w:rPr>
          <w:rFonts w:hint="eastAsia"/>
          <w:lang w:val="zh-CN"/>
        </w:rPr>
        <w:t>何文涛</w:t>
      </w:r>
    </w:p>
    <w:p w14:paraId="11AF035F">
      <w:pPr>
        <w:pStyle w:val="11"/>
        <w:bidi w:val="0"/>
        <w:rPr>
          <w:rFonts w:hint="eastAsia"/>
          <w:lang w:val="zh-CN"/>
        </w:rPr>
      </w:pPr>
      <w:r>
        <w:rPr>
          <w:rFonts w:hint="eastAsia"/>
          <w:b/>
          <w:bCs/>
          <w:lang w:val="zh-CN"/>
        </w:rPr>
        <w:t>纪检监察组组长：</w:t>
      </w:r>
      <w:r>
        <w:rPr>
          <w:rFonts w:hint="eastAsia"/>
          <w:lang w:val="zh-CN"/>
        </w:rPr>
        <w:t>林</w:t>
      </w:r>
      <w:r>
        <w:rPr>
          <w:rFonts w:hint="eastAsia"/>
          <w:lang w:val="en-US" w:eastAsia="zh-CN"/>
        </w:rPr>
        <w:t xml:space="preserve">  </w:t>
      </w:r>
      <w:r>
        <w:rPr>
          <w:rFonts w:hint="eastAsia"/>
          <w:lang w:val="zh-CN"/>
        </w:rPr>
        <w:t>生</w:t>
      </w:r>
    </w:p>
    <w:p w14:paraId="5C52E624">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院</w:t>
      </w:r>
      <w:r>
        <w:rPr>
          <w:rFonts w:hint="eastAsia"/>
          <w:b/>
          <w:bCs/>
          <w:lang w:val="en-US" w:eastAsia="zh-CN"/>
        </w:rPr>
        <w:t xml:space="preserve">  </w:t>
      </w:r>
      <w:r>
        <w:rPr>
          <w:rFonts w:hint="eastAsia"/>
          <w:b/>
          <w:bCs/>
          <w:lang w:val="zh-CN"/>
        </w:rPr>
        <w:t>长：</w:t>
      </w:r>
      <w:r>
        <w:rPr>
          <w:rFonts w:hint="eastAsia"/>
          <w:lang w:val="zh-CN"/>
        </w:rPr>
        <w:t>王文森</w:t>
      </w:r>
      <w:r>
        <w:rPr>
          <w:rFonts w:hint="eastAsia"/>
          <w:lang w:val="en-US" w:eastAsia="zh-CN"/>
        </w:rPr>
        <w:t xml:space="preserve">   </w:t>
      </w:r>
      <w:r>
        <w:rPr>
          <w:rFonts w:hint="eastAsia"/>
          <w:lang w:val="zh-CN"/>
        </w:rPr>
        <w:t>彭小梅</w:t>
      </w:r>
    </w:p>
    <w:p w14:paraId="42EC6DD0">
      <w:pPr>
        <w:pStyle w:val="11"/>
        <w:bidi w:val="0"/>
        <w:ind w:leftChars="600"/>
        <w:rPr>
          <w:rFonts w:hint="eastAsia"/>
          <w:lang w:val="zh-CN"/>
        </w:rPr>
      </w:pPr>
      <w:r>
        <w:rPr>
          <w:rFonts w:hint="eastAsia"/>
          <w:lang w:val="zh-CN"/>
        </w:rPr>
        <w:t>邓小华（挂职）</w:t>
      </w:r>
    </w:p>
    <w:p w14:paraId="0340E9AF">
      <w:pPr>
        <w:pStyle w:val="11"/>
        <w:bidi w:val="0"/>
        <w:rPr>
          <w:rFonts w:hint="eastAsia"/>
          <w:lang w:val="zh-CN"/>
        </w:rPr>
      </w:pPr>
      <w:r>
        <w:rPr>
          <w:rFonts w:hint="eastAsia"/>
          <w:b/>
          <w:bCs/>
          <w:lang w:val="zh-CN"/>
        </w:rPr>
        <w:t>政工科科长：</w:t>
      </w:r>
      <w:r>
        <w:rPr>
          <w:rFonts w:hint="eastAsia"/>
          <w:lang w:val="zh-CN"/>
        </w:rPr>
        <w:t>郑章新</w:t>
      </w:r>
    </w:p>
    <w:p w14:paraId="1A33E0A9">
      <w:pPr>
        <w:pStyle w:val="11"/>
        <w:bidi w:val="0"/>
        <w:rPr>
          <w:rFonts w:hint="eastAsia"/>
          <w:lang w:val="zh-CN"/>
        </w:rPr>
      </w:pPr>
      <w:r>
        <w:rPr>
          <w:rFonts w:hint="eastAsia"/>
          <w:b/>
          <w:bCs/>
          <w:lang w:val="zh-CN"/>
        </w:rPr>
        <w:t>审判管理办公室主任：</w:t>
      </w:r>
      <w:r>
        <w:rPr>
          <w:rFonts w:hint="eastAsia"/>
          <w:lang w:val="zh-CN"/>
        </w:rPr>
        <w:t>陈建麟</w:t>
      </w:r>
    </w:p>
    <w:p w14:paraId="741E2BD0">
      <w:pPr>
        <w:pStyle w:val="2"/>
        <w:bidi w:val="0"/>
        <w:rPr>
          <w:rFonts w:hint="eastAsia"/>
        </w:rPr>
      </w:pPr>
      <w:r>
        <w:rPr>
          <w:rFonts w:hint="eastAsia"/>
        </w:rPr>
        <w:t>经济监督管理</w:t>
      </w:r>
    </w:p>
    <w:p w14:paraId="1E6D27C4">
      <w:pPr>
        <w:pStyle w:val="3"/>
        <w:bidi w:val="0"/>
        <w:rPr>
          <w:rFonts w:hint="eastAsia"/>
          <w:lang w:val="zh-CN"/>
        </w:rPr>
      </w:pPr>
      <w:r>
        <w:rPr>
          <w:rFonts w:hint="eastAsia"/>
          <w:lang w:val="zh-CN"/>
        </w:rPr>
        <w:t>发展与改革</w:t>
      </w:r>
    </w:p>
    <w:p w14:paraId="4C9FD2AE">
      <w:pPr>
        <w:pStyle w:val="4"/>
        <w:bidi w:val="0"/>
        <w:rPr>
          <w:rFonts w:hint="eastAsia"/>
          <w:lang w:val="zh-CN"/>
        </w:rPr>
      </w:pPr>
      <w:r>
        <w:rPr>
          <w:rFonts w:hint="eastAsia"/>
          <w:lang w:val="zh-CN"/>
        </w:rPr>
        <w:t>【概况】</w:t>
      </w:r>
    </w:p>
    <w:p w14:paraId="2345AA46">
      <w:pPr>
        <w:bidi w:val="0"/>
        <w:rPr>
          <w:rFonts w:hint="eastAsia"/>
          <w:lang w:val="zh-CN"/>
        </w:rPr>
      </w:pPr>
      <w:r>
        <w:rPr>
          <w:rFonts w:hint="eastAsia"/>
          <w:lang w:val="zh-CN"/>
        </w:rPr>
        <w:t>南雄市发展和改革局是负责研究提出全市国民经济和社会发展战略、发展规划和政策，进行总量平衡、结构调整，指导总体经济体制改革的宏观调控部门。代管南雄市重点建设项目办公室。下设办公室、综合规划、投资管理、社会发展、价格和收费、价格检查、价调金管理、价格监测和成本调查等8个股室。核定机关行政编制21名，政府购买后勤服务1名。其中：局长1名，副局长3名，总经济师1名，工会主席1名。下属1个事业单位，为价格认定中心，事业编制2名，市政府重点建设项目办公室核定事业编制4名。</w:t>
      </w:r>
    </w:p>
    <w:p w14:paraId="060C1FDB">
      <w:pPr>
        <w:pStyle w:val="4"/>
        <w:bidi w:val="0"/>
        <w:rPr>
          <w:rFonts w:hint="eastAsia"/>
          <w:lang w:val="zh-CN"/>
        </w:rPr>
      </w:pPr>
      <w:r>
        <w:rPr>
          <w:rFonts w:hint="eastAsia"/>
          <w:lang w:val="zh-CN"/>
        </w:rPr>
        <w:t>【编制发展规划】</w:t>
      </w:r>
    </w:p>
    <w:p w14:paraId="735BB71F">
      <w:pPr>
        <w:bidi w:val="0"/>
        <w:rPr>
          <w:rFonts w:hint="eastAsia"/>
          <w:lang w:val="zh-CN"/>
        </w:rPr>
      </w:pPr>
      <w:r>
        <w:rPr>
          <w:rFonts w:hint="eastAsia"/>
          <w:lang w:val="zh-CN"/>
        </w:rPr>
        <w:t>下达年度南雄市国民经济和社会发展计划，统筹编制《关于南雄市2017年国民经济和社会发展计划执行情况与2018年国民经济和社会发计划草案的报告》，强化季度、年度经济运行分析工作，做好年度计划组织实施工作，根据经济运行情况，适时向市委、市政府提供决策参考。</w:t>
      </w:r>
    </w:p>
    <w:p w14:paraId="2A3DB014">
      <w:pPr>
        <w:pStyle w:val="4"/>
        <w:bidi w:val="0"/>
        <w:rPr>
          <w:rFonts w:hint="eastAsia"/>
          <w:lang w:val="zh-CN"/>
        </w:rPr>
      </w:pPr>
      <w:r>
        <w:rPr>
          <w:rFonts w:hint="eastAsia"/>
          <w:lang w:val="zh-CN"/>
        </w:rPr>
        <w:t>【重点建设项目】</w:t>
      </w:r>
    </w:p>
    <w:p w14:paraId="28945665">
      <w:pPr>
        <w:bidi w:val="0"/>
        <w:rPr>
          <w:rFonts w:hint="eastAsia"/>
          <w:lang w:val="zh-CN"/>
        </w:rPr>
      </w:pPr>
      <w:r>
        <w:rPr>
          <w:rFonts w:hint="eastAsia"/>
          <w:lang w:val="zh-CN"/>
        </w:rPr>
        <w:t>2018年南雄市安排重点项目34项，年度计划投资45亿元。实际完成投资49.7亿元，完成全年投资计划的110.5%。为加快推进重点项目，牵头制定《南雄市重点建设项目管理办法（试行）》《南雄市重大建设项目库管理办法（试行）》，开展重点项目进展情况排查，对未开工项目的责任单位进行走访，责成未按既定目标完成重点建设项目且排名后五位的责任单位在全市经济形势分析会上作出说明。</w:t>
      </w:r>
    </w:p>
    <w:p w14:paraId="697F89D2">
      <w:pPr>
        <w:pStyle w:val="4"/>
        <w:bidi w:val="0"/>
        <w:rPr>
          <w:rFonts w:hint="eastAsia"/>
          <w:lang w:val="zh-CN"/>
        </w:rPr>
      </w:pPr>
      <w:r>
        <w:rPr>
          <w:rFonts w:hint="eastAsia"/>
          <w:lang w:val="zh-CN"/>
        </w:rPr>
        <w:t>【深化改革】</w:t>
      </w:r>
    </w:p>
    <w:p w14:paraId="18770ED8">
      <w:pPr>
        <w:bidi w:val="0"/>
        <w:rPr>
          <w:rFonts w:hint="eastAsia"/>
          <w:lang w:val="zh-CN"/>
        </w:rPr>
      </w:pPr>
      <w:r>
        <w:rPr>
          <w:rFonts w:hint="eastAsia"/>
          <w:lang w:val="zh-CN"/>
        </w:rPr>
        <w:t>落实政府投资项目审批压减申请材料和办理时限，推行“容缺受理”，破解投资项目审批中出现的办事程序不清、手续不明、耗时过长等问题；企业投资项目备案严格执行《广东省生态发展区产业准入负面清单（2018年本）》，按照“不禁则可”原则，负面清单以外的企业投资项目全面实行网上申请备案服务模式。推行“马上办”服务模式改革。认真对照《南雄市行政许可事项目录》《南雄市公共服务事项目录》进行梳理，全面及时完成全市“马上办”事项自查申报工作。</w:t>
      </w:r>
    </w:p>
    <w:p w14:paraId="1F7178A6">
      <w:pPr>
        <w:pStyle w:val="4"/>
        <w:bidi w:val="0"/>
        <w:rPr>
          <w:rFonts w:hint="eastAsia"/>
          <w:lang w:val="zh-CN"/>
        </w:rPr>
      </w:pPr>
      <w:r>
        <w:rPr>
          <w:rFonts w:hint="eastAsia"/>
          <w:lang w:val="zh-CN"/>
        </w:rPr>
        <w:t>【项目审批】</w:t>
      </w:r>
    </w:p>
    <w:p w14:paraId="2B570DAD">
      <w:pPr>
        <w:bidi w:val="0"/>
        <w:rPr>
          <w:rFonts w:hint="eastAsia"/>
          <w:lang w:val="zh-CN"/>
        </w:rPr>
      </w:pPr>
      <w:r>
        <w:rPr>
          <w:rFonts w:hint="eastAsia"/>
          <w:lang w:val="zh-CN"/>
        </w:rPr>
        <w:t>2018年固定资产投资审批项目156项，其中企业投资项目备案59项，招投标方案核准98项，节能审查122项。为项目单位及社会各界提供项目投资、报批、招投标等事项政策性咨询800多人次。积极协调有关部门做好社会项目储备工作，充实项目库，待政策下达后组织上报。2018年，争取中央预算内资金项目4个，总投资9063万元，其中中央资金4910万元。</w:t>
      </w:r>
    </w:p>
    <w:p w14:paraId="5B19E403">
      <w:pPr>
        <w:pStyle w:val="4"/>
        <w:bidi w:val="0"/>
        <w:rPr>
          <w:rFonts w:hint="eastAsia"/>
          <w:lang w:val="zh-CN"/>
        </w:rPr>
      </w:pPr>
      <w:r>
        <w:rPr>
          <w:rFonts w:hint="eastAsia"/>
          <w:lang w:val="zh-CN"/>
        </w:rPr>
        <w:t>【价格管理】</w:t>
      </w:r>
    </w:p>
    <w:p w14:paraId="2B21BA48">
      <w:pPr>
        <w:bidi w:val="0"/>
        <w:rPr>
          <w:rFonts w:hint="eastAsia"/>
          <w:lang w:val="zh-CN"/>
        </w:rPr>
      </w:pPr>
      <w:r>
        <w:rPr>
          <w:rFonts w:hint="eastAsia"/>
          <w:lang w:val="zh-CN"/>
        </w:rPr>
        <w:t>制订完善《南雄市应对市场价格异常波动价格工作预案》，有效地应对市场价格异常波动，保护经营者、消费者合法权益。牵头制定《南雄市农业水价综合改革实施方案》。落实阶梯气价政策，城区内居民用天然气价格大幅下降；整理编制《南雄市2018年国家定项目的行政事业性收费目录清单》和《南雄市2018年省定项目的行政事业性收费目录清单（涉及个人和非企业）》，并在市政府网上向社会公开，接受监督。加强重点领域价格检查，维护价格公正。参与扫黑除恶工作，巩固优化涉案财产价格认定工作，受理并作出价格认定结论126件，评估金额748.4万元。</w:t>
      </w:r>
    </w:p>
    <w:p w14:paraId="491FBF81">
      <w:pPr>
        <w:bidi w:val="0"/>
        <w:jc w:val="right"/>
        <w:rPr>
          <w:rFonts w:hint="eastAsia"/>
          <w:b/>
          <w:bCs/>
          <w:lang w:val="zh-CN"/>
        </w:rPr>
      </w:pPr>
      <w:r>
        <w:rPr>
          <w:rFonts w:hint="eastAsia"/>
          <w:b/>
          <w:bCs/>
          <w:lang w:val="zh-CN"/>
        </w:rPr>
        <w:t>（张升金）</w:t>
      </w:r>
    </w:p>
    <w:p w14:paraId="3AB33936">
      <w:pPr>
        <w:pStyle w:val="11"/>
        <w:bidi w:val="0"/>
        <w:rPr>
          <w:rFonts w:hint="eastAsia"/>
          <w:b/>
          <w:bCs/>
          <w:lang w:val="zh-CN"/>
        </w:rPr>
      </w:pPr>
      <w:r>
        <w:rPr>
          <w:rFonts w:hint="eastAsia"/>
          <w:b/>
          <w:bCs/>
          <w:lang w:val="zh-CN"/>
        </w:rPr>
        <w:t>附：2018年市发改局领导班子成员名单</w:t>
      </w:r>
    </w:p>
    <w:p w14:paraId="6650AB4D">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李指源</w:t>
      </w:r>
    </w:p>
    <w:p w14:paraId="1BF53DFF">
      <w:pPr>
        <w:pStyle w:val="11"/>
        <w:bidi w:val="0"/>
        <w:rPr>
          <w:rFonts w:hint="eastAsia"/>
          <w:lang w:val="zh-CN"/>
        </w:rPr>
      </w:pPr>
      <w:r>
        <w:rPr>
          <w:rFonts w:hint="eastAsia"/>
          <w:b/>
          <w:bCs/>
          <w:lang w:val="zh-CN"/>
        </w:rPr>
        <w:t>副局长：</w:t>
      </w:r>
      <w:r>
        <w:rPr>
          <w:rFonts w:hint="eastAsia"/>
          <w:lang w:val="zh-CN"/>
        </w:rPr>
        <w:t>游伦芳</w:t>
      </w:r>
      <w:r>
        <w:rPr>
          <w:rFonts w:hint="eastAsia"/>
          <w:lang w:val="en-US" w:eastAsia="zh-CN"/>
        </w:rPr>
        <w:t xml:space="preserve">   </w:t>
      </w:r>
      <w:r>
        <w:rPr>
          <w:rFonts w:hint="eastAsia"/>
          <w:lang w:val="zh-CN"/>
        </w:rPr>
        <w:t>刘金华</w:t>
      </w:r>
    </w:p>
    <w:p w14:paraId="740A1D58">
      <w:pPr>
        <w:pStyle w:val="11"/>
        <w:bidi w:val="0"/>
        <w:ind w:leftChars="400"/>
        <w:rPr>
          <w:rFonts w:hint="eastAsia"/>
          <w:lang w:val="zh-CN"/>
        </w:rPr>
      </w:pPr>
      <w:r>
        <w:rPr>
          <w:rFonts w:hint="eastAsia"/>
          <w:lang w:val="zh-CN"/>
        </w:rPr>
        <w:t>叶祖全</w:t>
      </w:r>
    </w:p>
    <w:p w14:paraId="040A175A">
      <w:pPr>
        <w:pStyle w:val="11"/>
        <w:bidi w:val="0"/>
        <w:rPr>
          <w:rFonts w:hint="eastAsia"/>
          <w:lang w:val="zh-CN"/>
        </w:rPr>
      </w:pPr>
      <w:r>
        <w:rPr>
          <w:rFonts w:hint="eastAsia"/>
          <w:b/>
          <w:bCs/>
          <w:lang w:val="zh-CN"/>
        </w:rPr>
        <w:t>总经济师：</w:t>
      </w:r>
      <w:r>
        <w:rPr>
          <w:rFonts w:hint="eastAsia"/>
          <w:lang w:val="zh-CN"/>
        </w:rPr>
        <w:t>潘雄辉</w:t>
      </w:r>
    </w:p>
    <w:p w14:paraId="7DA42722">
      <w:pPr>
        <w:pStyle w:val="11"/>
        <w:bidi w:val="0"/>
        <w:rPr>
          <w:rFonts w:hint="eastAsia"/>
          <w:lang w:val="zh-CN"/>
        </w:rPr>
      </w:pPr>
      <w:r>
        <w:rPr>
          <w:rFonts w:hint="eastAsia"/>
          <w:b/>
          <w:bCs/>
          <w:lang w:val="zh-CN"/>
        </w:rPr>
        <w:t>工会主席：</w:t>
      </w:r>
      <w:r>
        <w:rPr>
          <w:rFonts w:hint="eastAsia"/>
          <w:lang w:val="zh-CN"/>
        </w:rPr>
        <w:t>张</w:t>
      </w:r>
      <w:r>
        <w:rPr>
          <w:rFonts w:hint="eastAsia"/>
          <w:lang w:val="en-US" w:eastAsia="zh-CN"/>
        </w:rPr>
        <w:t xml:space="preserve">  </w:t>
      </w:r>
      <w:r>
        <w:rPr>
          <w:rFonts w:hint="eastAsia"/>
          <w:lang w:val="zh-CN"/>
        </w:rPr>
        <w:t>炎</w:t>
      </w:r>
    </w:p>
    <w:p w14:paraId="2CC98FEA">
      <w:pPr>
        <w:pStyle w:val="3"/>
        <w:bidi w:val="0"/>
        <w:rPr>
          <w:rFonts w:hint="eastAsia"/>
          <w:lang w:val="zh-CN"/>
        </w:rPr>
      </w:pPr>
      <w:r>
        <w:rPr>
          <w:rFonts w:hint="eastAsia"/>
          <w:lang w:val="zh-CN"/>
        </w:rPr>
        <w:t>国有资产管理</w:t>
      </w:r>
    </w:p>
    <w:p w14:paraId="5729DBD3">
      <w:pPr>
        <w:pStyle w:val="4"/>
        <w:bidi w:val="0"/>
        <w:rPr>
          <w:rFonts w:hint="eastAsia"/>
          <w:lang w:val="zh-CN"/>
        </w:rPr>
      </w:pPr>
      <w:r>
        <w:rPr>
          <w:rFonts w:hint="eastAsia"/>
          <w:lang w:val="zh-CN"/>
        </w:rPr>
        <w:t>【概况】</w:t>
      </w:r>
    </w:p>
    <w:p w14:paraId="09D6DD51">
      <w:pPr>
        <w:bidi w:val="0"/>
        <w:rPr>
          <w:rFonts w:hint="eastAsia"/>
          <w:lang w:val="zh-CN"/>
        </w:rPr>
      </w:pPr>
      <w:r>
        <w:rPr>
          <w:rFonts w:hint="eastAsia"/>
          <w:lang w:val="zh-CN"/>
        </w:rPr>
        <w:t>南雄市国有资产监督管理委员会办公室（简称市国资办）为市人民政府管理的公益一类事业单位，内设人秘股、产权综合股和考核统评股，核定事业编制9名。下属1个公益三类事业单位，为南雄市公共物业经营管理中心（股级），核定事业编制20名。</w:t>
      </w:r>
    </w:p>
    <w:p w14:paraId="78475F76">
      <w:pPr>
        <w:pStyle w:val="4"/>
        <w:bidi w:val="0"/>
        <w:rPr>
          <w:rFonts w:hint="eastAsia"/>
          <w:lang w:val="zh-CN"/>
        </w:rPr>
      </w:pPr>
      <w:r>
        <w:rPr>
          <w:rFonts w:hint="eastAsia"/>
          <w:lang w:val="zh-CN"/>
        </w:rPr>
        <w:t>【国有企业改革】</w:t>
      </w:r>
    </w:p>
    <w:p w14:paraId="78307065">
      <w:pPr>
        <w:bidi w:val="0"/>
        <w:rPr>
          <w:rFonts w:hint="eastAsia"/>
          <w:lang w:val="zh-CN"/>
        </w:rPr>
      </w:pPr>
      <w:r>
        <w:rPr>
          <w:rFonts w:hint="eastAsia"/>
          <w:lang w:val="zh-CN"/>
        </w:rPr>
        <w:t>按照企业负责人薪酬制度改革的要求，聘请社会第三方机构对纳入薪酬制改革的4家企业近三年财务状况进行审计，确定考核目标值。3月26日召开2018年国资委会议，会议审议《南雄市国资委监管企业重大事项审核备案暂行办法》《南雄市国资委监管企业投资监督管理暂行办法》《国有企业人员流动程序》等监管制度，修订完善《南雄市市属国有企业人员公开招聘实施办法》，确保国有企业人才的正常、合理流动，国有企业人员引进机制更加灵活。牵头制定《南雄市深化国有企业改革整合重组工作方案》，通过变更新建、注资提升、整合组建的办法，做大做强做优南雄市国有资产投资有限责任公司（简称国投公司）及二级公司的改革重组模式，10月19日召开深化国有企业改革动员部署会议。按照国有企业整合重组的框架结构，理顺国资办—国投公司—二级企业—二级企业子公司4个层次的出资人关系，12月底完成纳入改革重组企业的工商变更登记工作。清产核资，清晰掌握企业的资产及财务状况。聘请社会第三方机构对纳入改革范围的企业进行清产核资，成立以市政府领导为组长的专责小组，每个小组负责一个范围的企业，重点是企业账务清理、资产清查、价值重估、损溢认定、资金核实。盘活国有资产，做大做强做优国投公司。10月26日召开全市行政事业单位经营性国有资产整合划转工作会议，盘活整合分散于各行政事业单位中存在的以资产养人、资产收益不高甚至资产负收益的低效、沉睡资产，整合划转至国投公司，增加国投公司的资产总额。</w:t>
      </w:r>
    </w:p>
    <w:p w14:paraId="6804E6E8">
      <w:pPr>
        <w:bidi w:val="0"/>
        <w:rPr>
          <w:rFonts w:hint="eastAsia"/>
          <w:lang w:val="zh-CN"/>
        </w:rPr>
      </w:pPr>
      <w:r>
        <w:rPr>
          <w:rFonts w:hint="eastAsia"/>
          <w:lang w:val="zh-CN"/>
        </w:rPr>
        <w:t>理顺国有企业党组织管理体制。按照“三个在先”党建机制、“四个有关”的党建要求，形成国投公司党委——二级公司党总支部——二级公司子公司党支部的国有企业党建管理体制。</w:t>
      </w:r>
    </w:p>
    <w:p w14:paraId="3EA5BA67">
      <w:pPr>
        <w:pStyle w:val="4"/>
        <w:bidi w:val="0"/>
        <w:rPr>
          <w:rFonts w:hint="eastAsia"/>
          <w:lang w:val="zh-CN"/>
        </w:rPr>
      </w:pPr>
      <w:r>
        <w:rPr>
          <w:rFonts w:hint="eastAsia"/>
          <w:lang w:val="zh-CN"/>
        </w:rPr>
        <w:t>【美化亮化工程】</w:t>
      </w:r>
    </w:p>
    <w:p w14:paraId="5F6CBF5D">
      <w:pPr>
        <w:bidi w:val="0"/>
        <w:rPr>
          <w:rFonts w:hint="eastAsia"/>
          <w:lang w:val="zh-CN"/>
        </w:rPr>
      </w:pPr>
      <w:r>
        <w:rPr>
          <w:rFonts w:hint="eastAsia"/>
          <w:lang w:val="zh-CN"/>
        </w:rPr>
        <w:t>国资办围绕市政府提出的“中心城区扩容提质”要求，投入560多万元，大力实施中心城区小街小巷亮化工程，实现路灯亮化“全覆盖”，着力补齐城市提升建设的短板，解决老百姓的民生问题。</w:t>
      </w:r>
      <w:r>
        <w:rPr>
          <w:rFonts w:hint="eastAsia"/>
          <w:b/>
          <w:bCs/>
          <w:lang w:val="zh-CN"/>
        </w:rPr>
        <w:t>（王</w:t>
      </w:r>
      <w:r>
        <w:rPr>
          <w:rFonts w:hint="eastAsia"/>
          <w:b/>
          <w:bCs/>
          <w:lang w:val="en-US" w:eastAsia="zh-CN"/>
        </w:rPr>
        <w:t xml:space="preserve">  </w:t>
      </w:r>
      <w:r>
        <w:rPr>
          <w:rFonts w:hint="eastAsia"/>
          <w:b/>
          <w:bCs/>
          <w:lang w:val="zh-CN"/>
        </w:rPr>
        <w:t>勇）</w:t>
      </w:r>
    </w:p>
    <w:p w14:paraId="0CA2F826">
      <w:pPr>
        <w:pStyle w:val="11"/>
        <w:bidi w:val="0"/>
        <w:rPr>
          <w:rFonts w:hint="eastAsia"/>
          <w:b/>
          <w:bCs/>
          <w:lang w:val="zh-CN"/>
        </w:rPr>
      </w:pPr>
      <w:r>
        <w:rPr>
          <w:rFonts w:hint="eastAsia"/>
          <w:b/>
          <w:bCs/>
          <w:lang w:val="zh-CN"/>
        </w:rPr>
        <w:t>附：2018年市国资办领导班子成员名单</w:t>
      </w:r>
    </w:p>
    <w:p w14:paraId="0E09BA5E">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刘世峰</w:t>
      </w:r>
    </w:p>
    <w:p w14:paraId="38385BE6">
      <w:pPr>
        <w:pStyle w:val="11"/>
        <w:bidi w:val="0"/>
        <w:rPr>
          <w:rFonts w:hint="eastAsia"/>
          <w:lang w:val="zh-CN"/>
        </w:rPr>
      </w:pPr>
      <w:r>
        <w:rPr>
          <w:rFonts w:hint="eastAsia"/>
          <w:b/>
          <w:bCs/>
          <w:lang w:val="zh-CN"/>
        </w:rPr>
        <w:t>副主任：</w:t>
      </w:r>
      <w:r>
        <w:rPr>
          <w:rFonts w:hint="eastAsia"/>
          <w:lang w:val="zh-CN"/>
        </w:rPr>
        <w:t>李阶贵</w:t>
      </w:r>
    </w:p>
    <w:p w14:paraId="7D165D19">
      <w:pPr>
        <w:pStyle w:val="3"/>
        <w:bidi w:val="0"/>
        <w:rPr>
          <w:rFonts w:hint="eastAsia"/>
          <w:lang w:val="zh-CN"/>
        </w:rPr>
      </w:pPr>
      <w:r>
        <w:rPr>
          <w:rFonts w:hint="eastAsia"/>
          <w:lang w:val="zh-CN"/>
        </w:rPr>
        <w:t>政府投资非经营性项目代建管理</w:t>
      </w:r>
    </w:p>
    <w:p w14:paraId="75D621DF">
      <w:pPr>
        <w:pStyle w:val="4"/>
        <w:bidi w:val="0"/>
        <w:rPr>
          <w:rFonts w:hint="eastAsia"/>
          <w:lang w:val="zh-CN"/>
        </w:rPr>
      </w:pPr>
      <w:r>
        <w:rPr>
          <w:rFonts w:hint="eastAsia"/>
          <w:lang w:val="zh-CN"/>
        </w:rPr>
        <w:t>【概况】</w:t>
      </w:r>
    </w:p>
    <w:p w14:paraId="72E86470">
      <w:pPr>
        <w:bidi w:val="0"/>
        <w:rPr>
          <w:rFonts w:hint="eastAsia"/>
          <w:lang w:val="zh-CN"/>
        </w:rPr>
      </w:pPr>
      <w:r>
        <w:rPr>
          <w:rFonts w:hint="eastAsia"/>
          <w:lang w:val="zh-CN"/>
        </w:rPr>
        <w:t>2017年8月成立南雄市政府投资建设项目代建管理局，为南雄市人民政府管理的正科级公益一类事业单位，主要职责是受市政府委托代为行使业主职能，负责政府投资建设非经营性项目的组织实施和管理工作，并于9月28日正式挂牌运行。行政领导编制设局长1名，副局长2名。内设机构5个，分别为办公室、计划财务股、规划技术股、合同预算股和工程管理股，核定事业编制18名。</w:t>
      </w:r>
    </w:p>
    <w:p w14:paraId="305E8808">
      <w:pPr>
        <w:pStyle w:val="4"/>
        <w:bidi w:val="0"/>
        <w:rPr>
          <w:rFonts w:hint="eastAsia"/>
          <w:lang w:val="zh-CN"/>
        </w:rPr>
      </w:pPr>
      <w:r>
        <w:rPr>
          <w:rFonts w:hint="eastAsia"/>
          <w:lang w:val="zh-CN"/>
        </w:rPr>
        <w:t>【夯实党建工作】</w:t>
      </w:r>
    </w:p>
    <w:p w14:paraId="5BDBD514">
      <w:pPr>
        <w:bidi w:val="0"/>
        <w:rPr>
          <w:rFonts w:hint="eastAsia"/>
          <w:lang w:val="zh-CN"/>
        </w:rPr>
      </w:pPr>
      <w:r>
        <w:rPr>
          <w:rFonts w:hint="eastAsia"/>
          <w:lang w:val="zh-CN"/>
        </w:rPr>
        <w:t>创新工作机制，建立党政联席会议制度，明确党组织对全局工作实施审议监督的权力和具体方式、程序；完善领导班子议事规则制度，从制度和机制上促进党政沟通交流，形成合力。创新工作方式和党建载体，结合代建重点项目建设成立临时党支部，由代建项目组、施工企业、项目所在地镇、村（社区）党组织派出党员组成，协调项目推进过程中出现的问题，针对存在困难，由临时党支部牵头协调解决，促进发展。发挥临时党支部党员在项目攻坚中先锋模范和突击队作用，要求全体党员在项目建设中带头履职尽责，率先垂范，主动靠前，跟踪服务。经市直属工委批复，分别成立市第二人民医院和市中医院妇计院医共体建设项目临时党支部。创新学习教育模式。坚持领导“带头讲”党课，普通党员和中层以上干部、入党积极分子“全员讲”，促使党员干部加强对政治理论知识的学习领会，不流于形式。</w:t>
      </w:r>
    </w:p>
    <w:p w14:paraId="08870BAA">
      <w:pPr>
        <w:pStyle w:val="4"/>
        <w:bidi w:val="0"/>
        <w:rPr>
          <w:rFonts w:hint="eastAsia"/>
          <w:lang w:val="zh-CN"/>
        </w:rPr>
      </w:pPr>
      <w:r>
        <w:rPr>
          <w:rFonts w:hint="eastAsia"/>
          <w:lang w:val="zh-CN"/>
        </w:rPr>
        <w:t>【重点项目建设】</w:t>
      </w:r>
    </w:p>
    <w:p w14:paraId="4FBE1B11">
      <w:pPr>
        <w:bidi w:val="0"/>
        <w:rPr>
          <w:rFonts w:hint="eastAsia"/>
          <w:lang w:val="zh-CN"/>
        </w:rPr>
      </w:pPr>
      <w:r>
        <w:rPr>
          <w:rFonts w:hint="eastAsia"/>
          <w:lang w:val="zh-CN"/>
        </w:rPr>
        <w:t>2018年主要实施工程项目4个：一江两岸项目绿化景观提升项目，计划投资6412万元，采取EPC模式招标建设，青云桥至金叶大桥两端示范段如期完工；中医院妇计院医共体建设项目，计划投资3.39亿元，完成初步规划设计、可研的编制工作，采取EPC模式招标建设，12月完成招投标工作，12月29日举行开工奠基仪式；市第二人民医院建设项目，计划投资2.5亿元，完成初步规划设计、可研的编制工作，采取EPC模式招标并于12月完成招投标工作，12月29日举行开工奠基仪式；三影塔广场整治提升项目，计划投资403万元，完成设计、立项、招标等工作。</w:t>
      </w:r>
      <w:r>
        <w:rPr>
          <w:rFonts w:hint="eastAsia"/>
          <w:b/>
          <w:bCs/>
          <w:lang w:val="zh-CN"/>
        </w:rPr>
        <w:t>（刘</w:t>
      </w:r>
      <w:r>
        <w:rPr>
          <w:rFonts w:hint="eastAsia"/>
          <w:b/>
          <w:bCs/>
          <w:lang w:val="en-US" w:eastAsia="zh-CN"/>
        </w:rPr>
        <w:t xml:space="preserve">  </w:t>
      </w:r>
      <w:r>
        <w:rPr>
          <w:rFonts w:hint="eastAsia"/>
          <w:b/>
          <w:bCs/>
          <w:lang w:val="zh-CN"/>
        </w:rPr>
        <w:t>萍）</w:t>
      </w:r>
    </w:p>
    <w:p w14:paraId="71765293">
      <w:pPr>
        <w:pStyle w:val="11"/>
        <w:bidi w:val="0"/>
        <w:rPr>
          <w:rFonts w:hint="eastAsia"/>
          <w:b/>
          <w:bCs/>
          <w:lang w:val="zh-CN"/>
        </w:rPr>
      </w:pPr>
      <w:r>
        <w:rPr>
          <w:rFonts w:hint="eastAsia"/>
          <w:b/>
          <w:bCs/>
          <w:lang w:val="zh-CN"/>
        </w:rPr>
        <w:t>附：2018年市代建管理局领导班子成员名单</w:t>
      </w:r>
    </w:p>
    <w:p w14:paraId="6F9506D9">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张学文</w:t>
      </w:r>
    </w:p>
    <w:p w14:paraId="3F336314">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李赣龙</w:t>
      </w:r>
      <w:r>
        <w:rPr>
          <w:rFonts w:hint="eastAsia"/>
          <w:lang w:val="en-US" w:eastAsia="zh-CN"/>
        </w:rPr>
        <w:t xml:space="preserve">   </w:t>
      </w:r>
      <w:r>
        <w:rPr>
          <w:rFonts w:hint="eastAsia"/>
          <w:lang w:val="zh-CN"/>
        </w:rPr>
        <w:t>钟永汕</w:t>
      </w:r>
    </w:p>
    <w:p w14:paraId="1A12DF95">
      <w:pPr>
        <w:pStyle w:val="11"/>
        <w:bidi w:val="0"/>
        <w:rPr>
          <w:rFonts w:hint="eastAsia"/>
          <w:lang w:val="zh-CN"/>
        </w:rPr>
      </w:pPr>
      <w:r>
        <w:rPr>
          <w:rFonts w:hint="eastAsia"/>
          <w:b/>
          <w:bCs/>
          <w:lang w:val="zh-CN"/>
        </w:rPr>
        <w:t>总工程师：</w:t>
      </w:r>
      <w:r>
        <w:rPr>
          <w:rFonts w:hint="eastAsia"/>
          <w:lang w:val="zh-CN"/>
        </w:rPr>
        <w:t>邬书洋</w:t>
      </w:r>
    </w:p>
    <w:p w14:paraId="72214CF7">
      <w:pPr>
        <w:pStyle w:val="11"/>
        <w:bidi w:val="0"/>
        <w:rPr>
          <w:rFonts w:hint="eastAsia"/>
          <w:lang w:val="zh-CN"/>
        </w:rPr>
      </w:pPr>
      <w:r>
        <w:rPr>
          <w:rFonts w:hint="eastAsia"/>
          <w:b/>
          <w:bCs/>
          <w:lang w:val="zh-CN"/>
        </w:rPr>
        <w:t>工会主席：</w:t>
      </w:r>
      <w:r>
        <w:rPr>
          <w:rFonts w:hint="eastAsia"/>
          <w:lang w:val="zh-CN"/>
        </w:rPr>
        <w:t>陈卫东</w:t>
      </w:r>
    </w:p>
    <w:p w14:paraId="390BA716">
      <w:pPr>
        <w:pStyle w:val="3"/>
        <w:bidi w:val="0"/>
        <w:rPr>
          <w:rFonts w:hint="eastAsia"/>
          <w:lang w:val="zh-CN"/>
        </w:rPr>
      </w:pPr>
      <w:r>
        <w:rPr>
          <w:rFonts w:hint="eastAsia"/>
          <w:lang w:val="zh-CN"/>
        </w:rPr>
        <w:t>市场监督管理</w:t>
      </w:r>
    </w:p>
    <w:p w14:paraId="1EE8B0EC">
      <w:pPr>
        <w:pStyle w:val="4"/>
        <w:bidi w:val="0"/>
        <w:rPr>
          <w:rFonts w:hint="eastAsia"/>
          <w:lang w:val="zh-CN"/>
        </w:rPr>
      </w:pPr>
      <w:r>
        <w:rPr>
          <w:rFonts w:hint="eastAsia"/>
          <w:lang w:val="zh-CN"/>
        </w:rPr>
        <w:t>【概况】</w:t>
      </w:r>
    </w:p>
    <w:p w14:paraId="1687C92B">
      <w:pPr>
        <w:bidi w:val="0"/>
        <w:rPr>
          <w:rFonts w:hint="eastAsia"/>
          <w:lang w:val="zh-CN"/>
        </w:rPr>
      </w:pPr>
      <w:r>
        <w:rPr>
          <w:rFonts w:hint="eastAsia"/>
          <w:lang w:val="zh-CN"/>
        </w:rPr>
        <w:t>南雄市市场监督管理局是政府主管工商行政管理、质量技术监督和行政执法的正科级建制单位，设党组。设10个内设机构：办公室（加挂信息中心牌子）、人事监察股（加挂督察队牌子）、政策法规股、经济检查股（加挂消费者权益保护股）、登记注册股、企业监督管理股、商标广告管理股、市场规范管理股（加挂网络商品交易监管股牌子）、质量计量股、特种设备安全监察股。1个直属行政单位：经济检查大队。3个事业单位：机关服务中心、消费者权益保护委员会（加挂“12315”投诉举报中心牌子）、质量技术监督检测所。1个社（群）团组织：个体劳动者和私营企业协会。7个副科级建制派出机构：雄州分局、澜河分局、珠玑分局、湖口分局、水口分局、黄坑分局、乌迳分局。2018年，在职人数96人（其中：机关46人，分局50人），机关后勤3人，事业编制9人。离休干部2人，退休干部81人。质检所在职2人，退休5人。2018年，南雄市市场监督管理局被韶关市工商行政管理局评为先进单位。</w:t>
      </w:r>
    </w:p>
    <w:p w14:paraId="47F8D3D7">
      <w:pPr>
        <w:pStyle w:val="4"/>
        <w:bidi w:val="0"/>
        <w:rPr>
          <w:rFonts w:hint="eastAsia"/>
          <w:lang w:val="zh-CN"/>
        </w:rPr>
      </w:pPr>
      <w:r>
        <w:rPr>
          <w:rFonts w:hint="eastAsia"/>
          <w:lang w:val="zh-CN"/>
        </w:rPr>
        <w:t>【营商环境优化】</w:t>
      </w:r>
    </w:p>
    <w:p w14:paraId="0107149C">
      <w:pPr>
        <w:bidi w:val="0"/>
        <w:rPr>
          <w:rFonts w:hint="eastAsia"/>
          <w:lang w:val="zh-CN"/>
        </w:rPr>
      </w:pPr>
      <w:r>
        <w:rPr>
          <w:rFonts w:hint="eastAsia"/>
          <w:lang w:val="zh-CN"/>
        </w:rPr>
        <w:t>推进商事登记制度改革，实施企业“多证合一、“一照一码”和个体工商户“两证整合”登记制度改革，全面落实“马上办”提速举措，强化职权下沉，做到“审核合一、一人通办、马上办好”。2018年，全市新发展各类企业388户，农民专业合作社95户，个体工商户2421户。2018年全市各类企业3081户，其中：国有、集体企业297户，有限公司1782户，个人独资、合伙企业271户，农民专业合作社731户，个体工商户1.38万户。推进个体工商户简易注销登记改革，注销个体工商户营业执照有效期届满未延续的个体工商户345户。强化服务，主动走进企业，为旅游企业、电子商务、帽子峰旅游投资、珠玑灵潭投资等项目的筹备和登记提供优质服务。开展商标品牌培育，协助4家企业申报2018年省著名商标。2018年全市有效注册商标1493件，本年新增339件，增长率50.7%。开展广告行业监管，50户企业和1户事业单位广告统计主体全部完成广告业统计工作，完成率100%。开展广东省名牌产品申报工作。协助广东自由能实业科技有限公司、广东衡光新材料科技有限公司、广东邦固化学科技有限公司、康绿宝科技实业有限公司等4家公司开展2018年广东省名牌产品申报工作，7家企业8个产品获得广东省名牌产品认证。指导企业开展标准制定修订与升级工作，做好对本辖区企业产品标准备案，简化备案程序，引导企业在网上备案，2018年完成南雄市星隆化工有限公司2个产品标准备案，自由能、瑞晟化工、温氏畜牧、英赛特、凯达生物5家企业34个产品标准网上备案。</w:t>
      </w:r>
    </w:p>
    <w:p w14:paraId="3E9ED11F">
      <w:pPr>
        <w:pStyle w:val="4"/>
        <w:bidi w:val="0"/>
        <w:rPr>
          <w:rFonts w:hint="eastAsia"/>
          <w:lang w:val="zh-CN"/>
        </w:rPr>
      </w:pPr>
      <w:r>
        <w:rPr>
          <w:rFonts w:hint="eastAsia"/>
          <w:lang w:val="zh-CN"/>
        </w:rPr>
        <w:t>【加强监管】</w:t>
      </w:r>
    </w:p>
    <w:p w14:paraId="40710510">
      <w:pPr>
        <w:bidi w:val="0"/>
        <w:rPr>
          <w:rFonts w:hint="eastAsia"/>
          <w:lang w:val="zh-CN"/>
        </w:rPr>
      </w:pPr>
      <w:r>
        <w:rPr>
          <w:rFonts w:hint="eastAsia"/>
          <w:lang w:val="zh-CN"/>
        </w:rPr>
        <w:t>进一步推动年报公示进度，采取灵活多样的宣传方式引导市场主体自主年报，提高年报知晓率、准确率。2018年全市市场主体年报率达97.2%，其中企业、个体户、农民专业合作社年报率分别为93.7%、98.04%、97.6%。个体户、农民专业合作社年报公示工作分别获得韶关市第一，县级企业年报获韶关市第二。开展“双随机、一公开”工作，采取定期和不定期随机抽查，全年抽取624户，及时将抽查结果在国家企业信用信息公示系统进行公示。查处商标侵权，查处5宗销售假冒注册商标案，扣押没收待销售7台侵权五羊摩托车和一批宝洁冼发水、香皂。立案查处4宗虚假违法商标案件，案件标值3.28万元，罚款金额1.87万元。开展网络检查行动，查处3宗网络案件，实现网络案件零突破。9月在全市范围内开展为期半个月的涉嫌非法集资广告资讯信息排查清理活动，对“全返通”和“云联惠”排查，对其发布的广告进行检查，要求相关商家整改其含有“消费返利、消费全返”等广告词、户外广告和LED广告。依法处置房地产领域违法广告，查处利用合同格式条款侵害消费者权益违法行为，维护消费者合法权益。处理1宗房地产领域违反《中华人民共和国反不正当竞争法》第十条第三项以及含有绝对化用语的广告涉嫌违反《中华人民共和国广告法》第九条第三项规定的违法广告行为。同时，建立整治虚假违法广告工作联动机制。立案查处6宗虚假违法广告案件，案件标值5.84万元，罚款金额7.84万元。开展食品、保健食品欺诈和虚假宣传整治。针对部分不法经营者为获取暴利，以会议、讲座等方式，夸大保健品功效，混淆保健食品与药品概念，进行虚假宣传，高价推销，欺诈老年消费者，保持打击违法违规行为高压态势，保障消费者合法权益，营造公平有序的市场竞争环境和安全放心的市场消费环境。</w:t>
      </w:r>
    </w:p>
    <w:p w14:paraId="5382705B">
      <w:pPr>
        <w:pStyle w:val="4"/>
        <w:bidi w:val="0"/>
        <w:rPr>
          <w:rFonts w:hint="eastAsia"/>
          <w:lang w:val="zh-CN"/>
        </w:rPr>
      </w:pPr>
      <w:r>
        <w:rPr>
          <w:rFonts w:hint="eastAsia"/>
          <w:lang w:val="zh-CN"/>
        </w:rPr>
        <w:t>【竞争执法】</w:t>
      </w:r>
    </w:p>
    <w:p w14:paraId="651D33C1">
      <w:pPr>
        <w:bidi w:val="0"/>
        <w:rPr>
          <w:rFonts w:hint="eastAsia"/>
          <w:lang w:val="zh-CN"/>
        </w:rPr>
      </w:pPr>
      <w:r>
        <w:rPr>
          <w:rFonts w:hint="eastAsia"/>
          <w:lang w:val="zh-CN"/>
        </w:rPr>
        <w:t>出动执法人员1026人次，检查企业325家，开展打私、打假联合行动6次，立案103宗，办结95宗，其中不予行政处罚5宗，处以罚没款21.31万元，罚没入库14.8万元，全年未发生被申请行政复议和被提起行政诉讼情况。开展各类专项检查行动，重点围绕“老人免费体验店”违法经营行为开展专项整治，保持打击违法违规行为的高压态势，立案查处4宗老年人体验店虚假宣传侵害消费者权益案，并对检查中发现涉嫌非法集资行为通报公安局和扫黑办并协助公安进行调查。同时围绕青少年儿童健康安全，开展水晶泥等玩具专项检查行动。执法人员检查18家门店50余种产品，在数家门店硼砂水和“三无”水晶泥违规玩具产品，责令下架，并对经营者进行质量安全教育和法律法规宣传，行动中邀请电视台跟踪报道，让社会大众了解硼砂水和水晶泥玩具产品的危害。开展红盾护农行动，对农资商品随机检查。开展新《中华人民共和国反不正当竞争法》执法。立案1宗以宝马汽车为奖品的不正当竞争案并处以罚款5万元。整合各类执法资源，举行打私、打假联合行动，组织食品药品、公安、盐务和市场监管局开展元旦、春节、六一期间专项打假联合行动，查处1宗销售假冒条形码儿童玩具案件和1宗走私案件。</w:t>
      </w:r>
    </w:p>
    <w:p w14:paraId="4E308CA4">
      <w:pPr>
        <w:pStyle w:val="4"/>
        <w:bidi w:val="0"/>
        <w:rPr>
          <w:rFonts w:hint="eastAsia"/>
          <w:lang w:val="zh-CN"/>
        </w:rPr>
      </w:pPr>
      <w:r>
        <w:rPr>
          <w:rFonts w:hint="eastAsia"/>
          <w:lang w:val="zh-CN"/>
        </w:rPr>
        <w:t>【特种设备安全保障】</w:t>
      </w:r>
    </w:p>
    <w:p w14:paraId="507D730D">
      <w:pPr>
        <w:bidi w:val="0"/>
        <w:rPr>
          <w:rFonts w:hint="eastAsia"/>
          <w:lang w:val="zh-CN"/>
        </w:rPr>
      </w:pPr>
      <w:r>
        <w:rPr>
          <w:rFonts w:hint="eastAsia"/>
          <w:lang w:val="zh-CN"/>
        </w:rPr>
        <w:t>2018年特种设备安全事故零发生。开展电梯安全攻坚战，2018年全市在用电梯422台，委托广东省特种设备检测研究院汕尾检测院开展电梯监督抽查工作，抽查各类在用电梯150台，涉及电梯使用单位22家，电梯制造单位15家，电梯维保单位10家，发现隐患电梯140台并完成整改。加强对气瓶充装站现场巡查，多次召开气瓶充装站负责人、安全技术员会议，加强安全生产培训。推行特种设备安全责任保险，加强重点监控设备、重大危险源、公共场所特种设备安全责任保险工作，提高特种设备保险参保率和覆盖面。</w:t>
      </w:r>
    </w:p>
    <w:p w14:paraId="1ABE1090">
      <w:pPr>
        <w:pStyle w:val="4"/>
        <w:bidi w:val="0"/>
        <w:rPr>
          <w:rFonts w:hint="eastAsia"/>
          <w:lang w:val="zh-CN"/>
        </w:rPr>
      </w:pPr>
      <w:r>
        <w:rPr>
          <w:rFonts w:hint="eastAsia"/>
          <w:lang w:val="zh-CN"/>
        </w:rPr>
        <w:t>【普法宣传】</w:t>
      </w:r>
    </w:p>
    <w:p w14:paraId="0ADD9C42">
      <w:pPr>
        <w:bidi w:val="0"/>
        <w:rPr>
          <w:rFonts w:hint="eastAsia"/>
          <w:lang w:val="zh-CN"/>
        </w:rPr>
      </w:pPr>
      <w:r>
        <w:rPr>
          <w:rFonts w:hint="eastAsia"/>
          <w:lang w:val="zh-CN"/>
        </w:rPr>
        <w:t>2018年开展以“倡导创新文化尊重知识产权”知识产权宣传周活动。发放宣传资料《广告法》《商标法》200余份。组织60多家服务管理对象负责人开展相关法律知识培训，并进行考试。开展“3·15国际消费者权益日”大型宣传咨询活动，现场发放《消费者权益保护法》等法律法规宣传资料。设立识假辨假台传授辨别方法和技巧，告知群众维权方式和途径，现场安排专人负责处理消费者维权投诉。认真受理各类投诉咨询，2018年受理278件，办结率100%，调解成功率100%，做到件件有落实，事事有回音；受理量比上年增加155件。结合执法，现场宣传法律知识，引导消费者利用法律武器维护自身合法权益。</w:t>
      </w:r>
    </w:p>
    <w:p w14:paraId="644621B2">
      <w:pPr>
        <w:pStyle w:val="4"/>
        <w:bidi w:val="0"/>
        <w:rPr>
          <w:rFonts w:hint="eastAsia"/>
          <w:lang w:val="zh-CN"/>
        </w:rPr>
      </w:pPr>
      <w:r>
        <w:rPr>
          <w:rFonts w:hint="eastAsia"/>
          <w:lang w:val="zh-CN"/>
        </w:rPr>
        <w:t>【队伍建设】</w:t>
      </w:r>
    </w:p>
    <w:p w14:paraId="34089BDB">
      <w:pPr>
        <w:bidi w:val="0"/>
        <w:rPr>
          <w:rFonts w:hint="eastAsia"/>
          <w:lang w:val="zh-CN"/>
        </w:rPr>
      </w:pPr>
      <w:r>
        <w:rPr>
          <w:rFonts w:hint="eastAsia"/>
          <w:lang w:val="zh-CN"/>
        </w:rPr>
        <w:t>2016年工商、质监两局合并组建市场监管局后，经过2年融合提升，局机关和基层分局班子和队伍建设得到加强。设立党总支和7个党支部。夯实党建工作基础，坚决落实党要管党、全面从严治党，坚持“两学一做”学习教育常态化制度化，作风建设得到加强，工作效能进一步提升。方程同志被韶关市工商行政管理局授予韶关市工商和市场监管系统“最美人物”荣誉称号。</w:t>
      </w:r>
    </w:p>
    <w:p w14:paraId="0A0A4595">
      <w:pPr>
        <w:pStyle w:val="4"/>
        <w:bidi w:val="0"/>
        <w:rPr>
          <w:rFonts w:hint="eastAsia"/>
          <w:lang w:val="zh-CN"/>
        </w:rPr>
      </w:pPr>
      <w:r>
        <w:rPr>
          <w:rFonts w:hint="eastAsia"/>
          <w:lang w:val="zh-CN"/>
        </w:rPr>
        <w:t>【重点工作】</w:t>
      </w:r>
    </w:p>
    <w:p w14:paraId="182BE6E0">
      <w:pPr>
        <w:bidi w:val="0"/>
        <w:rPr>
          <w:rFonts w:hint="eastAsia"/>
          <w:lang w:val="zh-CN"/>
        </w:rPr>
      </w:pPr>
      <w:r>
        <w:rPr>
          <w:rFonts w:hint="eastAsia"/>
          <w:lang w:val="zh-CN"/>
        </w:rPr>
        <w:t>认真做好省精细化工知名品牌示范区创建工作，主动联合相关部门开展品牌活动、企业培训、品牌宣传、精益生产大赛、质量教育社会实践活动等工作，完成示范区验收材料组织编写，等待考核专家组实地核查验收。</w:t>
      </w:r>
    </w:p>
    <w:p w14:paraId="3EEAB13E">
      <w:pPr>
        <w:bidi w:val="0"/>
        <w:jc w:val="right"/>
        <w:rPr>
          <w:rFonts w:hint="eastAsia"/>
          <w:b/>
          <w:bCs/>
          <w:lang w:val="zh-CN"/>
        </w:rPr>
      </w:pPr>
      <w:r>
        <w:rPr>
          <w:rFonts w:hint="eastAsia"/>
          <w:b/>
          <w:bCs/>
          <w:lang w:val="zh-CN"/>
        </w:rPr>
        <w:t>（王丽娜）</w:t>
      </w:r>
    </w:p>
    <w:p w14:paraId="4C30F4F0">
      <w:pPr>
        <w:pStyle w:val="11"/>
        <w:bidi w:val="0"/>
        <w:rPr>
          <w:rFonts w:hint="eastAsia"/>
          <w:b/>
          <w:bCs/>
          <w:lang w:val="zh-CN"/>
        </w:rPr>
      </w:pPr>
      <w:r>
        <w:rPr>
          <w:rFonts w:hint="eastAsia"/>
          <w:b/>
          <w:bCs/>
          <w:lang w:val="zh-CN"/>
        </w:rPr>
        <w:t>附：2018年市市场监督管理局领导班子成员名单</w:t>
      </w:r>
    </w:p>
    <w:p w14:paraId="109ED934">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谭志良</w:t>
      </w:r>
    </w:p>
    <w:p w14:paraId="6DED32D6">
      <w:pPr>
        <w:pStyle w:val="11"/>
        <w:bidi w:val="0"/>
        <w:rPr>
          <w:rFonts w:hint="eastAsia"/>
          <w:lang w:val="zh-CN"/>
        </w:rPr>
      </w:pPr>
      <w:r>
        <w:rPr>
          <w:rFonts w:hint="eastAsia"/>
          <w:b/>
          <w:bCs/>
          <w:lang w:val="zh-CN"/>
        </w:rPr>
        <w:t>党组书记：</w:t>
      </w:r>
      <w:r>
        <w:rPr>
          <w:rFonts w:hint="eastAsia"/>
          <w:lang w:val="zh-CN"/>
        </w:rPr>
        <w:t>张海南</w:t>
      </w:r>
    </w:p>
    <w:p w14:paraId="778EBA66">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黄哲勇</w:t>
      </w:r>
      <w:r>
        <w:rPr>
          <w:rFonts w:hint="eastAsia"/>
          <w:lang w:val="en-US" w:eastAsia="zh-CN"/>
        </w:rPr>
        <w:t xml:space="preserve">   </w:t>
      </w:r>
      <w:r>
        <w:rPr>
          <w:rFonts w:hint="eastAsia"/>
          <w:lang w:val="zh-CN"/>
        </w:rPr>
        <w:t>廖发文</w:t>
      </w:r>
    </w:p>
    <w:p w14:paraId="46F5428B">
      <w:pPr>
        <w:pStyle w:val="11"/>
        <w:bidi w:val="0"/>
        <w:ind w:leftChars="500"/>
        <w:rPr>
          <w:rFonts w:hint="eastAsia"/>
          <w:lang w:val="zh-CN"/>
        </w:rPr>
      </w:pPr>
      <w:r>
        <w:rPr>
          <w:rFonts w:hint="eastAsia"/>
          <w:lang w:val="zh-CN"/>
        </w:rPr>
        <w:t>熊文荣</w:t>
      </w:r>
      <w:r>
        <w:rPr>
          <w:rFonts w:hint="eastAsia"/>
          <w:lang w:val="en-US" w:eastAsia="zh-CN"/>
        </w:rPr>
        <w:t xml:space="preserve">   </w:t>
      </w:r>
      <w:r>
        <w:rPr>
          <w:rFonts w:hint="eastAsia"/>
          <w:lang w:val="zh-CN"/>
        </w:rPr>
        <w:t>廖国红</w:t>
      </w:r>
    </w:p>
    <w:p w14:paraId="07965A44">
      <w:pPr>
        <w:pStyle w:val="11"/>
        <w:bidi w:val="0"/>
        <w:ind w:leftChars="500"/>
        <w:rPr>
          <w:rFonts w:hint="eastAsia"/>
          <w:lang w:val="zh-CN"/>
        </w:rPr>
      </w:pPr>
      <w:r>
        <w:rPr>
          <w:rFonts w:hint="eastAsia"/>
          <w:lang w:val="zh-CN"/>
        </w:rPr>
        <w:t>董永洲</w:t>
      </w:r>
    </w:p>
    <w:p w14:paraId="6A9330A3">
      <w:pPr>
        <w:pStyle w:val="3"/>
        <w:bidi w:val="0"/>
        <w:rPr>
          <w:rFonts w:hint="eastAsia"/>
          <w:lang w:val="zh-CN"/>
        </w:rPr>
      </w:pPr>
      <w:r>
        <w:rPr>
          <w:rFonts w:hint="eastAsia"/>
          <w:lang w:val="zh-CN"/>
        </w:rPr>
        <w:t>国土资源管理</w:t>
      </w:r>
    </w:p>
    <w:p w14:paraId="7BFC7817">
      <w:pPr>
        <w:pStyle w:val="4"/>
        <w:bidi w:val="0"/>
        <w:rPr>
          <w:rFonts w:hint="eastAsia"/>
          <w:lang w:val="zh-CN"/>
        </w:rPr>
      </w:pPr>
      <w:r>
        <w:rPr>
          <w:rFonts w:hint="eastAsia"/>
          <w:lang w:val="zh-CN"/>
        </w:rPr>
        <w:t>【概况】</w:t>
      </w:r>
    </w:p>
    <w:p w14:paraId="250CEB20">
      <w:pPr>
        <w:bidi w:val="0"/>
        <w:rPr>
          <w:rFonts w:hint="eastAsia"/>
          <w:lang w:val="zh-CN"/>
        </w:rPr>
      </w:pPr>
      <w:r>
        <w:rPr>
          <w:rFonts w:hint="eastAsia"/>
          <w:lang w:val="zh-CN"/>
        </w:rPr>
        <w:t>南雄市国土局1986年成立，2001年国土局与地矿局合并组建国土资源局。全系统现有编制106名，在编干部职工90人，内设办公室、人事监察股、规划用地股、土地市场管理股、地籍管理股、地质矿产资源管理股、执法监察大队、耕地保护股、测绘管理股9个内设机构，不动产登记局1个挂牌机构，派出18个镇（街道）国土资源所，下辖土地开发整理中心、国土资源测绘队、不动产登记中心、土地储备中心4个下属事业单位。获广东省韶关市奖励分配新增建设用地指标4公顷，被评为2016-2017年度韶关市文明单位，获广东省自然资源宣传工作优秀组织单位三等奖。</w:t>
      </w:r>
    </w:p>
    <w:p w14:paraId="6C17D2AF">
      <w:pPr>
        <w:pStyle w:val="4"/>
        <w:bidi w:val="0"/>
        <w:rPr>
          <w:rFonts w:hint="eastAsia"/>
          <w:lang w:val="zh-CN"/>
        </w:rPr>
      </w:pPr>
      <w:r>
        <w:rPr>
          <w:rFonts w:hint="eastAsia"/>
          <w:lang w:val="zh-CN"/>
        </w:rPr>
        <w:t>【用地报批】</w:t>
      </w:r>
    </w:p>
    <w:p w14:paraId="5A5D09C7">
      <w:pPr>
        <w:bidi w:val="0"/>
        <w:rPr>
          <w:rFonts w:hint="eastAsia"/>
          <w:lang w:val="zh-CN"/>
        </w:rPr>
      </w:pPr>
      <w:r>
        <w:rPr>
          <w:rFonts w:hint="eastAsia"/>
          <w:lang w:val="zh-CN"/>
        </w:rPr>
        <w:t>2018年上报9个批次，面积约83.6公顷，取回2个批次，面积35.81公顷，涉及市第二人民医院、新法院及市中医院、妇计院等项目；完成审批个人建房61宗，面积5677.33平方米；出具用地意见309宗。</w:t>
      </w:r>
    </w:p>
    <w:p w14:paraId="5C494091">
      <w:pPr>
        <w:pStyle w:val="4"/>
        <w:bidi w:val="0"/>
        <w:rPr>
          <w:rFonts w:hint="eastAsia"/>
          <w:lang w:val="zh-CN"/>
        </w:rPr>
      </w:pPr>
      <w:r>
        <w:rPr>
          <w:rFonts w:hint="eastAsia"/>
          <w:lang w:val="zh-CN"/>
        </w:rPr>
        <w:t>【规划修编】</w:t>
      </w:r>
    </w:p>
    <w:p w14:paraId="3A8AC9A0">
      <w:pPr>
        <w:bidi w:val="0"/>
        <w:rPr>
          <w:rFonts w:hint="eastAsia"/>
          <w:lang w:val="zh-CN"/>
        </w:rPr>
      </w:pPr>
      <w:r>
        <w:rPr>
          <w:rFonts w:hint="eastAsia"/>
          <w:lang w:val="zh-CN"/>
        </w:rPr>
        <w:t>推进村级土地规划实施，完成珠玑灵潭村级土地利用规划并通过备案，加快编制雄州街道河南村、珠玑镇珠玑村等村级土地规划。开展预留规模编制工作，预留规模636亩。</w:t>
      </w:r>
    </w:p>
    <w:p w14:paraId="27C276AA">
      <w:pPr>
        <w:pStyle w:val="4"/>
        <w:bidi w:val="0"/>
        <w:rPr>
          <w:rFonts w:hint="eastAsia"/>
          <w:lang w:val="zh-CN"/>
        </w:rPr>
      </w:pPr>
      <w:r>
        <w:rPr>
          <w:rFonts w:hint="eastAsia"/>
          <w:lang w:val="zh-CN"/>
        </w:rPr>
        <w:t>【垦造水田】</w:t>
      </w:r>
    </w:p>
    <w:p w14:paraId="149CB96E">
      <w:pPr>
        <w:bidi w:val="0"/>
        <w:rPr>
          <w:rFonts w:hint="eastAsia"/>
          <w:lang w:val="zh-CN"/>
        </w:rPr>
      </w:pPr>
      <w:r>
        <w:rPr>
          <w:rFonts w:hint="eastAsia"/>
          <w:lang w:val="zh-CN"/>
        </w:rPr>
        <w:t>2018年开展5个项目，完成规模约371.13公顷，新增面积约314.6公顷；完成验收1个，新增面积62.67公顷，分得指标25.07公顷。</w:t>
      </w:r>
    </w:p>
    <w:p w14:paraId="598F402B">
      <w:pPr>
        <w:pStyle w:val="4"/>
        <w:bidi w:val="0"/>
        <w:rPr>
          <w:rFonts w:hint="eastAsia"/>
          <w:lang w:val="zh-CN"/>
        </w:rPr>
      </w:pPr>
      <w:r>
        <w:rPr>
          <w:rFonts w:hint="eastAsia"/>
          <w:lang w:val="zh-CN"/>
        </w:rPr>
        <w:t>【拆旧复垦】</w:t>
      </w:r>
    </w:p>
    <w:p w14:paraId="3E749FCC">
      <w:pPr>
        <w:bidi w:val="0"/>
        <w:rPr>
          <w:rFonts w:hint="eastAsia"/>
          <w:lang w:val="zh-CN"/>
        </w:rPr>
      </w:pPr>
      <w:r>
        <w:rPr>
          <w:rFonts w:hint="eastAsia"/>
          <w:lang w:val="zh-CN"/>
        </w:rPr>
        <w:t>广东省、韶关市下达南雄市拆旧复垦任务约16.67公顷，进场施工面积约15.8公顷，涉及9个镇18个村。</w:t>
      </w:r>
    </w:p>
    <w:p w14:paraId="6A7CAAA1">
      <w:pPr>
        <w:pStyle w:val="4"/>
        <w:bidi w:val="0"/>
        <w:rPr>
          <w:rFonts w:hint="eastAsia"/>
          <w:lang w:val="zh-CN"/>
        </w:rPr>
      </w:pPr>
      <w:r>
        <w:rPr>
          <w:rFonts w:hint="eastAsia"/>
          <w:lang w:val="zh-CN"/>
        </w:rPr>
        <w:t>【耕地保护与土地整理】</w:t>
      </w:r>
    </w:p>
    <w:p w14:paraId="29993168">
      <w:pPr>
        <w:bidi w:val="0"/>
        <w:rPr>
          <w:rFonts w:hint="eastAsia"/>
          <w:lang w:val="zh-CN"/>
        </w:rPr>
      </w:pPr>
      <w:r>
        <w:rPr>
          <w:rFonts w:hint="eastAsia"/>
          <w:lang w:val="zh-CN"/>
        </w:rPr>
        <w:t>履行耕地保护目标责任，年末耕地面积为4.35万公顷，基本农田面积为3.58万公顷。完成面积860公顷的永久基本农田疑似图斑核查。完成市“十三五”土地整治规划编制工作。2016年高标准基本农田建设项目通过县级验收，2017年高标准基本农田建设项基本竣工。</w:t>
      </w:r>
    </w:p>
    <w:p w14:paraId="40D69F46">
      <w:pPr>
        <w:pStyle w:val="4"/>
        <w:bidi w:val="0"/>
        <w:rPr>
          <w:rFonts w:hint="eastAsia"/>
          <w:lang w:val="zh-CN"/>
        </w:rPr>
      </w:pPr>
      <w:r>
        <w:rPr>
          <w:rFonts w:hint="eastAsia"/>
          <w:lang w:val="zh-CN"/>
        </w:rPr>
        <w:t>【土地供应与供后监管】</w:t>
      </w:r>
    </w:p>
    <w:p w14:paraId="100BC79C">
      <w:pPr>
        <w:bidi w:val="0"/>
        <w:rPr>
          <w:rFonts w:hint="eastAsia"/>
          <w:lang w:val="zh-CN"/>
        </w:rPr>
      </w:pPr>
      <w:r>
        <w:rPr>
          <w:rFonts w:hint="eastAsia"/>
          <w:lang w:val="zh-CN"/>
        </w:rPr>
        <w:t>完成收储水口油气站等地块33亩，收储金额3299万元。公开挂牌出让国有建设用地使用权18宗，面积约32.68公顷，成交金额达3.04亿元；办理划拨补办协议出让121宗，面积约1.06公顷，补交土地出让金约419.31万元；划拨供应土地73宗，面积154.88公顷，划拨价款514.95万元。完成未履约地块项目排查和调查。</w:t>
      </w:r>
    </w:p>
    <w:p w14:paraId="5AA43702">
      <w:pPr>
        <w:pStyle w:val="4"/>
        <w:bidi w:val="0"/>
        <w:rPr>
          <w:rFonts w:hint="eastAsia"/>
          <w:lang w:val="zh-CN"/>
        </w:rPr>
      </w:pPr>
      <w:r>
        <w:rPr>
          <w:rFonts w:hint="eastAsia"/>
          <w:lang w:val="zh-CN"/>
        </w:rPr>
        <w:t>【“三旧”改造】</w:t>
      </w:r>
    </w:p>
    <w:p w14:paraId="11474FBA">
      <w:pPr>
        <w:bidi w:val="0"/>
        <w:rPr>
          <w:rFonts w:hint="eastAsia"/>
          <w:lang w:val="zh-CN"/>
        </w:rPr>
      </w:pPr>
      <w:r>
        <w:rPr>
          <w:rFonts w:hint="eastAsia"/>
          <w:lang w:val="zh-CN"/>
        </w:rPr>
        <w:t>乐园巷、南雄大会堂东侧、南雄职中“三旧”改造地块确定改造范围，完成入户调查、规划编制和土地评估等前期准备工作，按程序分别确定各地块收购企业。2018年“三旧”改造新增实施面积约19.11公顷，完成改造面积约6.21公顷。</w:t>
      </w:r>
    </w:p>
    <w:p w14:paraId="5979CFE7">
      <w:pPr>
        <w:pStyle w:val="4"/>
        <w:bidi w:val="0"/>
        <w:rPr>
          <w:rFonts w:hint="eastAsia"/>
          <w:lang w:val="zh-CN"/>
        </w:rPr>
      </w:pPr>
      <w:r>
        <w:rPr>
          <w:rFonts w:hint="eastAsia"/>
          <w:lang w:val="zh-CN"/>
        </w:rPr>
        <w:t>【土地执法】</w:t>
      </w:r>
    </w:p>
    <w:p w14:paraId="0BF2771F">
      <w:pPr>
        <w:bidi w:val="0"/>
        <w:rPr>
          <w:rFonts w:hint="eastAsia"/>
          <w:lang w:val="zh-CN"/>
        </w:rPr>
      </w:pPr>
      <w:r>
        <w:rPr>
          <w:rFonts w:hint="eastAsia"/>
          <w:lang w:val="zh-CN"/>
        </w:rPr>
        <w:t>通过2017年度土地矿产卫片执法监督检查。2018年在线巡查上线率100%，发现违法用地线索277宗（核查率100%），处理272宗（处理率98%），办结213宗（办结率77%）。及时排查扫黑除恶线索11宗，移交公安部门1宗。受理办结群众信访案件81件，办结率100%。</w:t>
      </w:r>
    </w:p>
    <w:p w14:paraId="56C25B75">
      <w:pPr>
        <w:pStyle w:val="4"/>
        <w:bidi w:val="0"/>
        <w:rPr>
          <w:rFonts w:hint="eastAsia"/>
          <w:lang w:val="zh-CN"/>
        </w:rPr>
      </w:pPr>
      <w:r>
        <w:rPr>
          <w:rFonts w:hint="eastAsia"/>
          <w:lang w:val="zh-CN"/>
        </w:rPr>
        <w:t>【地籍与测绘信息管理】</w:t>
      </w:r>
    </w:p>
    <w:p w14:paraId="7796219B">
      <w:pPr>
        <w:bidi w:val="0"/>
        <w:rPr>
          <w:rFonts w:hint="eastAsia"/>
          <w:lang w:val="zh-CN"/>
        </w:rPr>
      </w:pPr>
      <w:r>
        <w:rPr>
          <w:rFonts w:hint="eastAsia"/>
          <w:lang w:val="zh-CN"/>
        </w:rPr>
        <w:t>2018年办理不动产登记9958宗，其中不动产登记证书2888本。完成2017年度土地变更调查，变更后新增建设用地面积60.96公顷，新增建设用地占用耕地16.92公顷。推进南雄市第三次国土调查，农村地籍调查和贫困村地籍调查通过省厅验收；2000国家大地坐标系转换项目通过验收。</w:t>
      </w:r>
    </w:p>
    <w:p w14:paraId="6D64C2A4">
      <w:pPr>
        <w:pStyle w:val="4"/>
        <w:bidi w:val="0"/>
        <w:rPr>
          <w:rFonts w:hint="eastAsia"/>
          <w:lang w:val="zh-CN"/>
        </w:rPr>
      </w:pPr>
      <w:r>
        <w:rPr>
          <w:rFonts w:hint="eastAsia"/>
          <w:lang w:val="zh-CN"/>
        </w:rPr>
        <w:t>【矿政管理和地灾防治】</w:t>
      </w:r>
    </w:p>
    <w:p w14:paraId="0F9C974D">
      <w:pPr>
        <w:bidi w:val="0"/>
        <w:rPr>
          <w:rFonts w:hint="eastAsia"/>
          <w:lang w:val="zh-CN"/>
        </w:rPr>
      </w:pPr>
      <w:r>
        <w:rPr>
          <w:rFonts w:hint="eastAsia"/>
          <w:lang w:val="zh-CN"/>
        </w:rPr>
        <w:t>印发年度地质灾害防治方案，签订目标责任书，开展汛期排查100余次；完成隐患点治理1处。完成2017年矿业权人勘查开采信息公示，成功申报纳入广东省首批50座绿色矿山建设1处。</w:t>
      </w:r>
      <w:r>
        <w:rPr>
          <w:rFonts w:hint="eastAsia"/>
          <w:b/>
          <w:bCs/>
          <w:lang w:val="zh-CN"/>
        </w:rPr>
        <w:t>（余丽娜）</w:t>
      </w:r>
    </w:p>
    <w:p w14:paraId="7AFC7705">
      <w:pPr>
        <w:pStyle w:val="11"/>
        <w:bidi w:val="0"/>
        <w:rPr>
          <w:rFonts w:hint="eastAsia"/>
          <w:b/>
          <w:bCs/>
          <w:lang w:val="zh-CN"/>
        </w:rPr>
      </w:pPr>
      <w:r>
        <w:rPr>
          <w:rFonts w:hint="eastAsia"/>
          <w:b/>
          <w:bCs/>
          <w:lang w:val="zh-CN"/>
        </w:rPr>
        <w:t>附：2018年市国土局领导班子成员名单</w:t>
      </w:r>
    </w:p>
    <w:p w14:paraId="0462F01B">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沈文昌（任至5月）</w:t>
      </w:r>
    </w:p>
    <w:p w14:paraId="4CF7ADFE">
      <w:pPr>
        <w:pStyle w:val="11"/>
        <w:bidi w:val="0"/>
        <w:rPr>
          <w:rFonts w:hint="eastAsia"/>
          <w:lang w:val="zh-CN"/>
        </w:rPr>
      </w:pPr>
      <w:r>
        <w:rPr>
          <w:rFonts w:hint="eastAsia"/>
          <w:b/>
          <w:bCs/>
          <w:lang w:val="zh-CN"/>
        </w:rPr>
        <w:t>副局长：</w:t>
      </w:r>
      <w:r>
        <w:rPr>
          <w:rFonts w:hint="eastAsia"/>
          <w:lang w:val="zh-CN"/>
        </w:rPr>
        <w:t>符加方（6月起主持工作）</w:t>
      </w:r>
    </w:p>
    <w:p w14:paraId="5A4D3029">
      <w:pPr>
        <w:pStyle w:val="11"/>
        <w:bidi w:val="0"/>
        <w:ind w:leftChars="400"/>
        <w:rPr>
          <w:rFonts w:hint="eastAsia"/>
          <w:lang w:val="zh-CN"/>
        </w:rPr>
      </w:pPr>
      <w:r>
        <w:rPr>
          <w:rFonts w:hint="eastAsia"/>
          <w:lang w:val="zh-CN"/>
        </w:rPr>
        <w:t>陈剑国</w:t>
      </w:r>
      <w:r>
        <w:rPr>
          <w:rFonts w:hint="eastAsia"/>
          <w:lang w:val="en-US" w:eastAsia="zh-CN"/>
        </w:rPr>
        <w:t xml:space="preserve">   </w:t>
      </w:r>
      <w:r>
        <w:rPr>
          <w:rFonts w:hint="eastAsia"/>
          <w:lang w:val="zh-CN"/>
        </w:rPr>
        <w:t>丁京林</w:t>
      </w:r>
    </w:p>
    <w:p w14:paraId="4238B624">
      <w:pPr>
        <w:pStyle w:val="11"/>
        <w:bidi w:val="0"/>
        <w:ind w:leftChars="400"/>
        <w:rPr>
          <w:rFonts w:hint="eastAsia"/>
          <w:lang w:val="zh-CN"/>
        </w:rPr>
      </w:pPr>
      <w:r>
        <w:rPr>
          <w:rFonts w:hint="eastAsia"/>
          <w:lang w:val="zh-CN"/>
        </w:rPr>
        <w:t>邓</w:t>
      </w:r>
      <w:r>
        <w:rPr>
          <w:rFonts w:hint="eastAsia"/>
          <w:lang w:val="en-US" w:eastAsia="zh-CN"/>
        </w:rPr>
        <w:t xml:space="preserve">  </w:t>
      </w:r>
      <w:r>
        <w:rPr>
          <w:rFonts w:hint="eastAsia"/>
          <w:lang w:val="zh-CN"/>
        </w:rPr>
        <w:t>亮</w:t>
      </w:r>
    </w:p>
    <w:p w14:paraId="6C14B172">
      <w:pPr>
        <w:pStyle w:val="11"/>
        <w:bidi w:val="0"/>
        <w:ind w:leftChars="400"/>
        <w:rPr>
          <w:rFonts w:hint="eastAsia"/>
          <w:lang w:val="zh-CN"/>
        </w:rPr>
      </w:pPr>
      <w:r>
        <w:rPr>
          <w:rFonts w:hint="eastAsia"/>
          <w:lang w:val="zh-CN"/>
        </w:rPr>
        <w:t>曾凡杰（1月挂任）</w:t>
      </w:r>
    </w:p>
    <w:p w14:paraId="406E61D2">
      <w:pPr>
        <w:pStyle w:val="3"/>
        <w:bidi w:val="0"/>
        <w:rPr>
          <w:rFonts w:hint="eastAsia"/>
          <w:lang w:val="zh-CN"/>
        </w:rPr>
      </w:pPr>
      <w:r>
        <w:rPr>
          <w:rFonts w:hint="eastAsia"/>
          <w:lang w:val="zh-CN"/>
        </w:rPr>
        <w:t>食品药品监督管理</w:t>
      </w:r>
    </w:p>
    <w:p w14:paraId="66A21004">
      <w:pPr>
        <w:pStyle w:val="4"/>
        <w:bidi w:val="0"/>
        <w:rPr>
          <w:rFonts w:hint="eastAsia"/>
          <w:lang w:val="zh-CN"/>
        </w:rPr>
      </w:pPr>
      <w:r>
        <w:rPr>
          <w:rFonts w:hint="eastAsia"/>
          <w:lang w:val="zh-CN"/>
        </w:rPr>
        <w:t>【概况】</w:t>
      </w:r>
    </w:p>
    <w:p w14:paraId="74771DE8">
      <w:pPr>
        <w:bidi w:val="0"/>
        <w:rPr>
          <w:rFonts w:hint="eastAsia"/>
          <w:lang w:val="zh-CN"/>
        </w:rPr>
      </w:pPr>
      <w:r>
        <w:rPr>
          <w:rFonts w:hint="eastAsia"/>
          <w:lang w:val="zh-CN"/>
        </w:rPr>
        <w:t>南雄市食品药品监督管理局为正科级单位，内设机构9个：办公室、政策法规股（行政审批股）、综合协调股（应急管理办公室）、食品生产安全监管股、食品流通安全监管股、食品餐饮安全监管股、药品医疗器械监管股、保健食品化妆品监管股、稽查分局（副科级）。2018年编制71名（含工勤编2名），在岗66人（含工勤人员2人）。下设雄州、乌迳镇、珠玑镇、黄坑镇、水口镇、澜河镇6个食品药品监督管理所，为南雄市食品药品监督管理局派出机构，正股级。2018年派出机构编制数28名，在岗25人。南雄市食品药品监测中心，为南雄市食品药品监督管理局所属公益一类事业单位，正股级。2018年南雄市食品药品监测中心事业编制10名，在岗10人。</w:t>
      </w:r>
    </w:p>
    <w:p w14:paraId="3886A859">
      <w:pPr>
        <w:pStyle w:val="4"/>
        <w:bidi w:val="0"/>
        <w:rPr>
          <w:rFonts w:hint="eastAsia"/>
          <w:lang w:val="zh-CN"/>
        </w:rPr>
      </w:pPr>
      <w:r>
        <w:rPr>
          <w:rFonts w:hint="eastAsia"/>
          <w:lang w:val="zh-CN"/>
        </w:rPr>
        <w:t>【食安办职能履行】</w:t>
      </w:r>
    </w:p>
    <w:p w14:paraId="3A744B94">
      <w:pPr>
        <w:bidi w:val="0"/>
        <w:rPr>
          <w:rFonts w:hint="eastAsia"/>
          <w:lang w:val="zh-CN"/>
        </w:rPr>
      </w:pPr>
      <w:r>
        <w:rPr>
          <w:rFonts w:hint="eastAsia"/>
          <w:lang w:val="zh-CN"/>
        </w:rPr>
        <w:t>加强组织领导，安排部署“明厨亮灶”、食品安全宣传周、食品保健食品欺诈和虚假宣传整治行动，形成食品安全齐抓共管工作合力。做好应急处置，建立完善食药、卫计、疾控以及医疗机构食安风险监测网络，一旦出现食源性疾病，立即相互通报、协调配合、妥善处置，保持舆情稳定。加强协管员管理，对全市232名协管员进行集中培训，推动提高协助执法、隐患排查、信息报告、宣传引导工作能力。严格督查考核，对18个镇、街道食药安全工作情况开展督查考评2次，并对非洲猪瘟防控、协管员管理等重点工作进行专项督查，镇、街道食药安全工作得到重视，属地责任得以落实。</w:t>
      </w:r>
    </w:p>
    <w:p w14:paraId="20AB4CB4">
      <w:pPr>
        <w:pStyle w:val="4"/>
        <w:bidi w:val="0"/>
        <w:rPr>
          <w:rFonts w:hint="eastAsia"/>
          <w:lang w:val="zh-CN"/>
        </w:rPr>
      </w:pPr>
      <w:r>
        <w:rPr>
          <w:rFonts w:hint="eastAsia"/>
          <w:lang w:val="zh-CN"/>
        </w:rPr>
        <w:t>【日常监管】</w:t>
      </w:r>
    </w:p>
    <w:p w14:paraId="6AF9240F">
      <w:pPr>
        <w:bidi w:val="0"/>
        <w:rPr>
          <w:rFonts w:hint="eastAsia"/>
          <w:lang w:val="zh-CN"/>
        </w:rPr>
      </w:pPr>
      <w:r>
        <w:rPr>
          <w:rFonts w:hint="eastAsia"/>
          <w:lang w:val="zh-CN"/>
        </w:rPr>
        <w:t>按照年初制定的全年工作要点和监督检查计划，深入开展食药安全隐患排查，及时发现问题症结，防范消除风险隐患。严格事前审查，深化行政审批制度改革，按照市政府工作部署，制定标准化办事指南，简化流程、优化程序，进一步理顺政务服务网行政许可事项，使审批环节更加透明，严格落实“一门式一站式”审批制度，提高行政审批服务水平。截至11月，完成行政许可和备案事项1065件，其中，食品经营许可953件，药品经营许可26件，第二类医疗器械经营备案9件。受理食品小作坊登记发证77家。加强事中管控，把督促整改、复查落实、消除隐患作为工作之本，检查中，突出企业主体责任落实，要求食品药品安全公示牌在显眼处悬挂，企业要建立完善各项制度，上墙公示并严格执行；督促经营业主落实进货查验记录制度，确保食品来源可追、去向可查。强化事后监督，完成133户药品经营企业、106户食品生产企业、215户保健食品经营企业、714户餐饮单位等级评定，根据风险等级，及时跟进检查。2018年排查食药安全隐患50余条，全部整改落实到位。</w:t>
      </w:r>
    </w:p>
    <w:p w14:paraId="248F0AD9">
      <w:pPr>
        <w:pStyle w:val="4"/>
        <w:bidi w:val="0"/>
        <w:rPr>
          <w:rFonts w:hint="eastAsia"/>
          <w:lang w:val="zh-CN"/>
        </w:rPr>
      </w:pPr>
      <w:r>
        <w:rPr>
          <w:rFonts w:hint="eastAsia"/>
          <w:lang w:val="zh-CN"/>
        </w:rPr>
        <w:t>【专项整治】</w:t>
      </w:r>
    </w:p>
    <w:p w14:paraId="1551C6E2">
      <w:pPr>
        <w:bidi w:val="0"/>
        <w:rPr>
          <w:rFonts w:hint="eastAsia"/>
          <w:lang w:val="zh-CN"/>
        </w:rPr>
      </w:pPr>
      <w:r>
        <w:rPr>
          <w:rFonts w:hint="eastAsia"/>
          <w:lang w:val="zh-CN"/>
        </w:rPr>
        <w:t>坚持问题导向，围绕重点品种、重点单位、薄弱环节和难点问题，深入开展酒类食品安全专项整治行动、春节期间食品药品安全“风险排查月”专项行动、药品流通领域专项整治回头看行动、含特殊药品复方制剂经营专项整治行动、化妆品安全专项整治行动、单位食堂食品安全专项整治行动、春季和秋季学校及校园周边食品药械安全检查行动、食品药品违法犯罪“春雷行动”、食品生产环节塑化剂和食品小作坊专项行动、养老机构食品药品安全专项行动、打击“四品”非法添加违法犯罪专项行动、药品零售企业处方药零售专项行动和2018年上半年食品药品安全“专项集中整治月”行动、“清网行动”和“扫黑除恶专项斗争”等32项专项行动。专项行动出动2957人次，检查企业1181家次，发现案件线索128条，立案105宗（食品案件60宗、药品案件37宗、化妆品案件2宗、医疗器械案件2宗），下达处罚105宗，办结104宗。总涉案金额103.56万元，总罚没金额34.2万元。认真做好投诉举报各项工作，受理投诉举报111宗，其中食品103宗，药械8宗，全部办结。</w:t>
      </w:r>
    </w:p>
    <w:p w14:paraId="1EC92718">
      <w:pPr>
        <w:pStyle w:val="4"/>
        <w:bidi w:val="0"/>
        <w:rPr>
          <w:rFonts w:hint="eastAsia"/>
          <w:lang w:val="zh-CN"/>
        </w:rPr>
      </w:pPr>
      <w:r>
        <w:rPr>
          <w:rFonts w:hint="eastAsia"/>
          <w:lang w:val="zh-CN"/>
        </w:rPr>
        <w:t>【检验检测】</w:t>
      </w:r>
    </w:p>
    <w:p w14:paraId="56A79F73">
      <w:pPr>
        <w:bidi w:val="0"/>
        <w:rPr>
          <w:rFonts w:hint="eastAsia"/>
          <w:lang w:val="zh-CN"/>
        </w:rPr>
      </w:pPr>
      <w:r>
        <w:rPr>
          <w:rFonts w:hint="eastAsia"/>
          <w:lang w:val="zh-CN"/>
        </w:rPr>
        <w:t>指导4家农贸市场按要求开展食用农产品快检和上报工作，11月，完成1.31万批次（其中蔬菜快检1.22万批次，水产品877批次），合格1.3万批次，合格率99.69%。处理不合格食用农产品81公斤，快检抽检涉及经营户124家。开展食品药品抽验工作和快筛快检工作，充分发挥技术支撑作用，全年完成药品监督抽验78批次，保健食品抽验6批次，化妆品抽验9批次，医疗器械专项抽验6批次，食品快筛快检800批次，药品快筛快检200批次，本级食品抽检100批次。认真抓好药械化不良反应监测报告工作，全年完成药品不良反应报表284份、医疗器械不良事件报表122份、化妆品不良反应报表20份。</w:t>
      </w:r>
    </w:p>
    <w:p w14:paraId="6B56CF8E">
      <w:pPr>
        <w:pStyle w:val="4"/>
        <w:bidi w:val="0"/>
        <w:rPr>
          <w:rFonts w:hint="eastAsia"/>
          <w:lang w:val="zh-CN"/>
        </w:rPr>
      </w:pPr>
      <w:r>
        <w:rPr>
          <w:rFonts w:hint="eastAsia"/>
          <w:lang w:val="zh-CN"/>
        </w:rPr>
        <w:t>【监管创新】</w:t>
      </w:r>
    </w:p>
    <w:p w14:paraId="6FAB3FBD">
      <w:pPr>
        <w:bidi w:val="0"/>
        <w:rPr>
          <w:rFonts w:hint="eastAsia"/>
          <w:lang w:val="zh-CN"/>
        </w:rPr>
      </w:pPr>
      <w:r>
        <w:rPr>
          <w:rFonts w:hint="eastAsia"/>
          <w:lang w:val="zh-CN"/>
        </w:rPr>
        <w:t>4月启用“智慧食药监”监管系统。日常监管过程中，及时录入监督检查、监督抽检、稽查案件等信息，通过对数据进行有效采集融合和分析运用，实现监督执法全程痕迹化。突出“双随机”检查。制定《全面推行“双随机、一公开”监管工作实施方案》，随机抽取检查对象、随机选派执法检查人员，严格实施现场检查。对高风险品种、社会关注度高、投诉举报多、严重违法违规记录等情况的检查对象，加大抽查力度，增加抽查比例和频次。检查中发现的问题当场提出整改意见，并由所在监管中心所负责跟进复查；对需要立案查处的违法行为，移交稽查进行立案查处。并对随机检查情况，通过微信公众平台和网站进行公示，倒逼经营业主履行主体责任，有效监督问题的整改落实。2018年对36家次食品药品生产经营单位进行检查，责令整改8家次，吊销GSP证书1家次。</w:t>
      </w:r>
    </w:p>
    <w:p w14:paraId="09892543">
      <w:pPr>
        <w:pStyle w:val="4"/>
        <w:bidi w:val="0"/>
        <w:rPr>
          <w:rFonts w:hint="eastAsia"/>
          <w:lang w:val="zh-CN"/>
        </w:rPr>
      </w:pPr>
      <w:r>
        <w:rPr>
          <w:rFonts w:hint="eastAsia"/>
          <w:lang w:val="zh-CN"/>
        </w:rPr>
        <w:t>【示范创建】</w:t>
      </w:r>
    </w:p>
    <w:p w14:paraId="79F3E979">
      <w:pPr>
        <w:bidi w:val="0"/>
        <w:rPr>
          <w:rFonts w:hint="eastAsia"/>
          <w:lang w:val="zh-CN"/>
        </w:rPr>
      </w:pPr>
      <w:r>
        <w:rPr>
          <w:rFonts w:hint="eastAsia"/>
          <w:lang w:val="zh-CN"/>
        </w:rPr>
        <w:t>推进食品安全示范镇创建，制定《南雄市珠玑商业街创建省级食品安全示范街实施方案》并动员企业参与，珠玑商业街食品安全示范街24家企业进行升级改造，迎接考核验收。开展“放心餐馆”创建，20家“放心餐馆”通过韶关市验收。全市完成“明厨亮灶”工程单位408家，其中透明式“明厨亮灶”餐饮单位243家，开放式“明厨亮灶”餐饮单位数51家，视频监控式“明厨亮灶”餐饮单位114家。开展“放心药店”创建，7家药店通过验收。开展“放心食品店”创建，有21家企业进行升级改造。</w:t>
      </w:r>
    </w:p>
    <w:p w14:paraId="21B57BFA">
      <w:pPr>
        <w:pStyle w:val="4"/>
        <w:bidi w:val="0"/>
        <w:rPr>
          <w:rFonts w:hint="eastAsia"/>
          <w:lang w:val="zh-CN"/>
        </w:rPr>
      </w:pPr>
      <w:r>
        <w:rPr>
          <w:rFonts w:hint="eastAsia"/>
          <w:lang w:val="zh-CN"/>
        </w:rPr>
        <w:t>【党风廉政建设】</w:t>
      </w:r>
    </w:p>
    <w:p w14:paraId="7136DBBC">
      <w:pPr>
        <w:bidi w:val="0"/>
        <w:rPr>
          <w:rFonts w:hint="eastAsia"/>
          <w:lang w:val="zh-CN"/>
        </w:rPr>
      </w:pPr>
      <w:r>
        <w:rPr>
          <w:rFonts w:hint="eastAsia"/>
          <w:lang w:val="zh-CN"/>
        </w:rPr>
        <w:t>认真学习习近平总书记在参加十三届全国人大一次会议广东代表团审议时的重要讲话精神、《习近平谈治国理政》第二卷和习近平视察广东时重要讲话精神等内容。2018年集中传达学习20余次，邀请专家宣讲会2次，组织讲党课5次，民主生活会2次，组织生活会1次，开展学习参观红色革命基地1次。加强党风廉政建设。严格落实“两个责任”，始终把党风廉政建设和反腐败工作纳入食品药品监管工作总体布局。完善党风廉政建设主体责任清单，级级签订党风廉政建设责任书，确保“一岗双责”落到实处。开展谈话提醒12人次。参加各类培训班60余期，120多人次参加培训。组织全市系统40名干部职工到北京师范大学珠海学院参加食品药品监管综合能力提升研修班，提升食药监管队伍综合业务能力和行政执法水平。</w:t>
      </w:r>
    </w:p>
    <w:p w14:paraId="50317CAE">
      <w:pPr>
        <w:pStyle w:val="4"/>
        <w:bidi w:val="0"/>
        <w:rPr>
          <w:rFonts w:hint="eastAsia"/>
          <w:lang w:val="zh-CN"/>
        </w:rPr>
      </w:pPr>
      <w:r>
        <w:rPr>
          <w:rFonts w:hint="eastAsia"/>
          <w:lang w:val="zh-CN"/>
        </w:rPr>
        <w:t>【社会共治共享】</w:t>
      </w:r>
    </w:p>
    <w:p w14:paraId="7C9D0046">
      <w:pPr>
        <w:bidi w:val="0"/>
        <w:rPr>
          <w:rFonts w:hint="eastAsia"/>
          <w:lang w:val="zh-CN"/>
        </w:rPr>
      </w:pPr>
      <w:r>
        <w:rPr>
          <w:rFonts w:hint="eastAsia"/>
          <w:lang w:val="zh-CN"/>
        </w:rPr>
        <w:t>利用3·15、食品安全宣传周、安全用药月等时段，开展集中宣传活动6次，发放食品药品科普宣传资料2.5万多份，接受咨询5600多人次。举办校园知识讲座6次，机关知识讲座2次。宣传海报“进市场”张贴宣传海报2000余份，LED屏滚动播放和悬挂宣传标语及横幅280多条，发放“进社区”宣传折页5000余份，“进手机”发布食品药品安全科普知识短信13万余条，让群众了解食药安全科普知识。通过电视台“食品药品安全”新闻栏目、微信公众号、电子屏等载体，及时推送播放食品安全科普知识，推送食药安全动态信息87条，播报《食品药品安全》信息16期，提高市民安全防范意识。畅通3873790投诉举报电话，鼓励社会各界提供线索，受理投诉举报111起，对公众反映的问题依法严查并及时答复、协调解决矛盾，切实维护公众切身利益。通过宣传引导，积极构建食药安全群防群控良好格局。</w:t>
      </w:r>
      <w:r>
        <w:rPr>
          <w:rFonts w:hint="eastAsia"/>
          <w:b/>
          <w:bCs/>
          <w:lang w:val="zh-CN"/>
        </w:rPr>
        <w:t>（李</w:t>
      </w:r>
      <w:r>
        <w:rPr>
          <w:rFonts w:hint="eastAsia"/>
          <w:b/>
          <w:bCs/>
          <w:lang w:val="en-US" w:eastAsia="zh-CN"/>
        </w:rPr>
        <w:t xml:space="preserve">  </w:t>
      </w:r>
      <w:r>
        <w:rPr>
          <w:rFonts w:hint="eastAsia"/>
          <w:b/>
          <w:bCs/>
          <w:lang w:val="zh-CN"/>
        </w:rPr>
        <w:t>岩）</w:t>
      </w:r>
    </w:p>
    <w:p w14:paraId="2A3D9ADB">
      <w:pPr>
        <w:pStyle w:val="11"/>
        <w:bidi w:val="0"/>
        <w:rPr>
          <w:rFonts w:hint="eastAsia"/>
          <w:b/>
          <w:bCs/>
          <w:lang w:val="zh-CN"/>
        </w:rPr>
      </w:pPr>
      <w:r>
        <w:rPr>
          <w:rFonts w:hint="eastAsia"/>
          <w:b/>
          <w:bCs/>
          <w:lang w:val="zh-CN"/>
        </w:rPr>
        <w:t>附：2018年市食药监局领导班子成员名单</w:t>
      </w:r>
    </w:p>
    <w:p w14:paraId="3AEB81E2">
      <w:pPr>
        <w:pStyle w:val="11"/>
        <w:bidi w:val="0"/>
        <w:rPr>
          <w:rFonts w:hint="eastAsia"/>
          <w:lang w:val="zh-CN"/>
        </w:rPr>
      </w:pPr>
      <w:r>
        <w:rPr>
          <w:rFonts w:hint="eastAsia"/>
          <w:b/>
          <w:bCs/>
          <w:lang w:val="zh-CN"/>
        </w:rPr>
        <w:t>党组书记、局长：</w:t>
      </w:r>
      <w:r>
        <w:rPr>
          <w:rFonts w:hint="eastAsia"/>
          <w:lang w:val="zh-CN"/>
        </w:rPr>
        <w:t>吴敦林</w:t>
      </w:r>
    </w:p>
    <w:p w14:paraId="39224B34">
      <w:pPr>
        <w:pStyle w:val="11"/>
        <w:bidi w:val="0"/>
        <w:rPr>
          <w:rFonts w:hint="eastAsia"/>
          <w:lang w:val="zh-CN"/>
        </w:rPr>
      </w:pPr>
      <w:r>
        <w:rPr>
          <w:rFonts w:hint="eastAsia"/>
          <w:b/>
          <w:bCs/>
          <w:lang w:val="zh-CN"/>
        </w:rPr>
        <w:t>党组成员、副局长：</w:t>
      </w:r>
      <w:r>
        <w:rPr>
          <w:rFonts w:hint="eastAsia"/>
          <w:lang w:val="zh-CN"/>
        </w:rPr>
        <w:t>刘继雄</w:t>
      </w:r>
    </w:p>
    <w:p w14:paraId="0445A99C">
      <w:pPr>
        <w:pStyle w:val="11"/>
        <w:bidi w:val="0"/>
        <w:ind w:leftChars="900"/>
        <w:rPr>
          <w:rFonts w:hint="eastAsia"/>
          <w:lang w:val="zh-CN"/>
        </w:rPr>
      </w:pPr>
      <w:r>
        <w:rPr>
          <w:rFonts w:hint="eastAsia"/>
          <w:lang w:val="zh-CN"/>
        </w:rPr>
        <w:t>赵永红</w:t>
      </w:r>
    </w:p>
    <w:p w14:paraId="36AC70D6">
      <w:pPr>
        <w:pStyle w:val="11"/>
        <w:bidi w:val="0"/>
        <w:ind w:leftChars="900"/>
        <w:rPr>
          <w:rFonts w:hint="eastAsia"/>
          <w:lang w:val="zh-CN"/>
        </w:rPr>
      </w:pPr>
      <w:r>
        <w:rPr>
          <w:rFonts w:hint="eastAsia"/>
          <w:lang w:val="zh-CN"/>
        </w:rPr>
        <w:t>谢桂英</w:t>
      </w:r>
    </w:p>
    <w:p w14:paraId="7ABFA327">
      <w:pPr>
        <w:pStyle w:val="11"/>
        <w:bidi w:val="0"/>
        <w:rPr>
          <w:rFonts w:hint="eastAsia"/>
          <w:b/>
          <w:bCs/>
          <w:lang w:val="zh-CN"/>
        </w:rPr>
      </w:pPr>
      <w:r>
        <w:rPr>
          <w:rFonts w:hint="eastAsia"/>
          <w:b/>
          <w:bCs/>
          <w:lang w:val="zh-CN"/>
        </w:rPr>
        <w:t>党组成员、食安办专职副主任：</w:t>
      </w:r>
    </w:p>
    <w:p w14:paraId="0ADB3EB3">
      <w:pPr>
        <w:pStyle w:val="11"/>
        <w:bidi w:val="0"/>
        <w:ind w:leftChars="900"/>
        <w:rPr>
          <w:rFonts w:hint="eastAsia"/>
          <w:lang w:val="zh-CN"/>
        </w:rPr>
      </w:pPr>
      <w:r>
        <w:rPr>
          <w:rFonts w:hint="eastAsia"/>
          <w:lang w:val="zh-CN"/>
        </w:rPr>
        <w:t>戴明海</w:t>
      </w:r>
    </w:p>
    <w:p w14:paraId="351BEB29">
      <w:pPr>
        <w:pStyle w:val="11"/>
        <w:bidi w:val="0"/>
        <w:rPr>
          <w:rFonts w:hint="eastAsia"/>
          <w:b/>
          <w:bCs/>
          <w:lang w:val="zh-CN"/>
        </w:rPr>
      </w:pPr>
      <w:r>
        <w:rPr>
          <w:rFonts w:hint="eastAsia"/>
          <w:b/>
          <w:bCs/>
          <w:lang w:val="zh-CN"/>
        </w:rPr>
        <w:t>党组成员、副主任科员：</w:t>
      </w:r>
    </w:p>
    <w:p w14:paraId="2863C0C2">
      <w:pPr>
        <w:pStyle w:val="11"/>
        <w:bidi w:val="0"/>
        <w:ind w:leftChars="500"/>
        <w:rPr>
          <w:rFonts w:hint="eastAsia"/>
          <w:lang w:val="zh-CN"/>
        </w:rPr>
      </w:pPr>
      <w:r>
        <w:rPr>
          <w:rFonts w:hint="eastAsia"/>
          <w:lang w:val="zh-CN"/>
        </w:rPr>
        <w:t>刘发昱（2月任职）</w:t>
      </w:r>
    </w:p>
    <w:p w14:paraId="2974A0A3">
      <w:pPr>
        <w:pStyle w:val="3"/>
        <w:bidi w:val="0"/>
        <w:rPr>
          <w:rFonts w:hint="eastAsia"/>
          <w:lang w:val="zh-CN"/>
        </w:rPr>
      </w:pPr>
      <w:r>
        <w:rPr>
          <w:rFonts w:hint="eastAsia"/>
          <w:lang w:val="zh-CN"/>
        </w:rPr>
        <w:t>安全生产监督管理</w:t>
      </w:r>
    </w:p>
    <w:p w14:paraId="13676343">
      <w:pPr>
        <w:pStyle w:val="4"/>
        <w:bidi w:val="0"/>
        <w:rPr>
          <w:rFonts w:hint="eastAsia"/>
          <w:lang w:val="zh-CN"/>
        </w:rPr>
      </w:pPr>
      <w:r>
        <w:rPr>
          <w:rFonts w:hint="eastAsia"/>
          <w:lang w:val="zh-CN"/>
        </w:rPr>
        <w:t>【概况】</w:t>
      </w:r>
    </w:p>
    <w:p w14:paraId="67E6E24A">
      <w:pPr>
        <w:bidi w:val="0"/>
        <w:rPr>
          <w:rFonts w:hint="eastAsia"/>
          <w:lang w:val="zh-CN"/>
        </w:rPr>
      </w:pPr>
      <w:r>
        <w:rPr>
          <w:rFonts w:hint="eastAsia"/>
          <w:lang w:val="zh-CN"/>
        </w:rPr>
        <w:t>南雄市安全生产监督管理局组建于2005年5月，为正科级行政单位，是南雄市人民政府主管安全生产综合监管的行政机构。内设综合股、监督管理股、职业安全健康监督管理股、执法监察股（挂南雄市安全生产监督管理局执法监察大队牌子）、市安全生产应急救援指挥中心办公室，行政编制6名，行政执法专项编制7名，工勤编制1名，总共编制13名。</w:t>
      </w:r>
    </w:p>
    <w:p w14:paraId="5C2A60ED">
      <w:pPr>
        <w:pStyle w:val="4"/>
        <w:bidi w:val="0"/>
        <w:rPr>
          <w:rFonts w:hint="eastAsia"/>
          <w:lang w:val="zh-CN"/>
        </w:rPr>
      </w:pPr>
      <w:r>
        <w:rPr>
          <w:rFonts w:hint="eastAsia"/>
          <w:lang w:val="zh-CN"/>
        </w:rPr>
        <w:t>【安全生产基本情况】</w:t>
      </w:r>
    </w:p>
    <w:p w14:paraId="44B2D65A">
      <w:pPr>
        <w:bidi w:val="0"/>
        <w:rPr>
          <w:rFonts w:hint="eastAsia"/>
          <w:lang w:val="zh-CN"/>
        </w:rPr>
      </w:pPr>
      <w:r>
        <w:rPr>
          <w:rFonts w:hint="eastAsia"/>
          <w:lang w:val="zh-CN"/>
        </w:rPr>
        <w:t>2018年，全市发生各类安全事故172起，死亡5人，受伤17人，直接经济损失133.74万元。事故起数、死亡人数、直接经济损失与上年同期相比分别下降15%、38%、72%，受伤人数与上年同期持平。其中：道路交通事故18起，死亡4人，受伤17人，直接经济损失3.75万元；消防领域发生各类事故153起，直接经济损失达119.99万元；工矿商贸发生事故1起，死亡1人。</w:t>
      </w:r>
    </w:p>
    <w:p w14:paraId="3702A51B">
      <w:pPr>
        <w:pStyle w:val="4"/>
        <w:bidi w:val="0"/>
        <w:rPr>
          <w:rFonts w:hint="eastAsia"/>
          <w:lang w:val="zh-CN"/>
        </w:rPr>
      </w:pPr>
      <w:r>
        <w:rPr>
          <w:rFonts w:hint="eastAsia"/>
          <w:lang w:val="zh-CN"/>
        </w:rPr>
        <w:t>【安全生产责任体系完善】</w:t>
      </w:r>
    </w:p>
    <w:p w14:paraId="3212C8CE">
      <w:pPr>
        <w:bidi w:val="0"/>
        <w:rPr>
          <w:rFonts w:hint="eastAsia"/>
          <w:lang w:val="zh-CN"/>
        </w:rPr>
      </w:pPr>
      <w:r>
        <w:rPr>
          <w:rFonts w:hint="eastAsia"/>
          <w:lang w:val="zh-CN"/>
        </w:rPr>
        <w:t>一是在全市推行安全生产“一岗双责”制度，实行党政“一把手”负总责，分管安全生产工作直接负责，其他领导共同抓的安全生产工作行政责任制，形成了安全生产工作“职责清晰，齐抓共管”的良好氛围。二是严格落实政府及部门监管责任。着力完善以落实安全生产控制指标为核心的目标考核责任体系，将安全生产工作列入市委、市政府对乡镇和全市所有副科级以上单位的年度绩效考评的重要内容，实现了安全生产工作考核全覆盖。三是严格落实企业主体责任。督促企业主要负责人、实际控制人切实承担第一责任人的责任，严格执行法规标准和规程制度，严格执行企业负责人现场带班制度，严格加强现场管理，依法保障员工的安全和健康。督促企业加大安全投入，有效落实安全生产经济政策。</w:t>
      </w:r>
    </w:p>
    <w:p w14:paraId="5BEE9BB1">
      <w:pPr>
        <w:pStyle w:val="4"/>
        <w:bidi w:val="0"/>
        <w:rPr>
          <w:rFonts w:hint="eastAsia"/>
          <w:lang w:val="zh-CN"/>
        </w:rPr>
      </w:pPr>
      <w:r>
        <w:rPr>
          <w:rFonts w:hint="eastAsia"/>
          <w:lang w:val="zh-CN"/>
        </w:rPr>
        <w:t>【安全生产监管执法】</w:t>
      </w:r>
    </w:p>
    <w:p w14:paraId="40631FE4">
      <w:pPr>
        <w:bidi w:val="0"/>
        <w:rPr>
          <w:rFonts w:hint="eastAsia"/>
          <w:lang w:val="zh-CN"/>
        </w:rPr>
      </w:pPr>
      <w:r>
        <w:rPr>
          <w:rFonts w:hint="eastAsia"/>
          <w:lang w:val="zh-CN"/>
        </w:rPr>
        <w:t>按照年度监督检查计划，强化对分管行业领域内生产经营单位监督检查，相继开展复产复工专项检查、“两会”及“五一”节前安全检查、汛期及高温安全大检查、中秋国庆节前检查工作，深入各生产经营单位开展生产安全隐患排查治理工作。全年检查生产经营单位589家次，排查出各类安全隐患389处，全部整改到位。结合各类安全生产大排查行动，严厉打击“非煤矿山、危险化学品、烟花爆竹、职业健康”等行业领域非法违法生产经营建设行为，坚决治理纠正违法违规行为，进一步规范安全生产法治秩序。2018年责令暂时停产停业整改企业10家次，立案查处各类非法违法行为9宗，累计行政监察处罚29万元，执法处罚额排在韶关各个县（市、区）前列。在烟花爆竹行业领域，结合春节和清明重点时段，联合公安、市监、供销、属地人民政府等多个部门深入开展打非治违专项行动，累计出动执法人员143人次，捣毁烟花爆竹非法储存窝点2个，没收假冒伪劣烟花爆竹600余件，其中立案处罚2宗，罚款5万元。</w:t>
      </w:r>
    </w:p>
    <w:p w14:paraId="40E70DB8">
      <w:pPr>
        <w:pStyle w:val="4"/>
        <w:bidi w:val="0"/>
        <w:rPr>
          <w:rFonts w:hint="eastAsia"/>
          <w:lang w:val="zh-CN"/>
        </w:rPr>
      </w:pPr>
      <w:r>
        <w:rPr>
          <w:rFonts w:hint="eastAsia"/>
          <w:lang w:val="zh-CN"/>
        </w:rPr>
        <w:t>【安委办改革创新】</w:t>
      </w:r>
    </w:p>
    <w:p w14:paraId="73F6ED66">
      <w:pPr>
        <w:bidi w:val="0"/>
        <w:rPr>
          <w:rFonts w:hint="eastAsia"/>
          <w:lang w:val="zh-CN"/>
        </w:rPr>
      </w:pPr>
      <w:r>
        <w:rPr>
          <w:rFonts w:hint="eastAsia"/>
          <w:lang w:val="zh-CN"/>
        </w:rPr>
        <w:t>印发《南雄市安全生产委员会办公室改革方案》，改革后市安委办实现独立办公，从安监局原综合股剥离，独立配备办公室和2名社会购买服务人员，避免工作职责上的交叉；明确市安委办工作职责，进一步理顺市安委办工作机制体制，建立并完善各类制度11项；单独设立市安委办督查组，主要负责对各行业主管部门履行安全监管责任情况进行督查、明查、暗访、抽查，对有关问题及安全隐患进行督查督办。改革以来，市安委办对有关单位下发督办通知7份，督促有关职能部门切实履行安全监管主体责任；召开协调会议4次，研究解决全市安全生产问题难题；印发全市安全生产形势分析和通报4份。改革后，全市着力构建政府及行业主管部门监管责任明确、企业安全生产主体责任清晰的安全生产管理机制。</w:t>
      </w:r>
    </w:p>
    <w:p w14:paraId="4008B0A2">
      <w:pPr>
        <w:pStyle w:val="4"/>
        <w:bidi w:val="0"/>
        <w:rPr>
          <w:rFonts w:hint="eastAsia"/>
          <w:lang w:val="zh-CN"/>
        </w:rPr>
      </w:pPr>
      <w:r>
        <w:rPr>
          <w:rFonts w:hint="eastAsia"/>
          <w:lang w:val="zh-CN"/>
        </w:rPr>
        <w:t>【园区片区安全监管工作机制完善】</w:t>
      </w:r>
    </w:p>
    <w:p w14:paraId="63022D00">
      <w:pPr>
        <w:bidi w:val="0"/>
        <w:rPr>
          <w:rFonts w:hint="eastAsia"/>
          <w:lang w:val="zh-CN"/>
        </w:rPr>
      </w:pPr>
      <w:r>
        <w:rPr>
          <w:rFonts w:hint="eastAsia"/>
          <w:lang w:val="zh-CN"/>
        </w:rPr>
        <w:t>为进一步优化监管领导小组运行机制，在原有检查工作分组和机制的基础上，结合各职能部门工作实际，修订《南雄工业园片区专项检查及分组调整方案》，进一步深化园区片区网格化管理。整合园区、安监、市场监管、环保、公安等多个部门安全监管专业力量，充分发挥综合协调组职能，2018年来，综合监管协调办组织各有关部门召开协调会议7次，研究有关安全生产议题30多个，印发工作简报7份，促进园区安全监管各项工作推进和落实。特别是在化工园区圣邦化工有限公司罐区残留的危险化学品处置工作中，积极调动各方面资源和力量，先后投入20多万元资金，顺利完成处置工作，比较妥善地解决历史遗留问题。</w:t>
      </w:r>
    </w:p>
    <w:p w14:paraId="20E0AA69">
      <w:pPr>
        <w:pStyle w:val="4"/>
        <w:bidi w:val="0"/>
        <w:rPr>
          <w:rFonts w:hint="eastAsia"/>
          <w:lang w:val="zh-CN"/>
        </w:rPr>
      </w:pPr>
      <w:r>
        <w:rPr>
          <w:rFonts w:hint="eastAsia"/>
          <w:lang w:val="zh-CN"/>
        </w:rPr>
        <w:t>【安全生产宣传教育】</w:t>
      </w:r>
    </w:p>
    <w:p w14:paraId="20CE9655">
      <w:pPr>
        <w:bidi w:val="0"/>
        <w:rPr>
          <w:rFonts w:hint="eastAsia"/>
          <w:lang w:val="zh-CN"/>
        </w:rPr>
      </w:pPr>
      <w:r>
        <w:rPr>
          <w:rFonts w:hint="eastAsia"/>
          <w:lang w:val="zh-CN"/>
        </w:rPr>
        <w:t>制播电视安全主题栏目。在市广播电视台推出首档安全生产电视专栏《与安全同行》，利用电视台媒体优势，对安全生产工作进行多方位、多维度的宣传和报道。《与安全同行》栏目播出春运特辑、重点行业安全工作专辑等系列节目12期，进一步增强全民安全意识。扎实开展安全生产月主题活动。各镇（街道）、各单位采用横幅、电子屏、手机短信、摆摊等方式开展形式多样宣传活动，举办2018年安全生产月咨询日活动和全市危险化学品安全生产事故应急演练活动，积极宣传各行业领域安全知识，提高各单位各部门应急救援能力、综合协调作战能力。</w:t>
      </w:r>
      <w:r>
        <w:rPr>
          <w:rFonts w:hint="eastAsia"/>
          <w:b/>
          <w:bCs/>
          <w:lang w:val="zh-CN"/>
        </w:rPr>
        <w:t>（严先文）</w:t>
      </w:r>
    </w:p>
    <w:p w14:paraId="245092ED">
      <w:pPr>
        <w:pStyle w:val="11"/>
        <w:bidi w:val="0"/>
        <w:rPr>
          <w:rFonts w:hint="eastAsia"/>
          <w:b/>
          <w:bCs/>
          <w:lang w:val="zh-CN"/>
        </w:rPr>
      </w:pPr>
      <w:r>
        <w:rPr>
          <w:rFonts w:hint="eastAsia"/>
          <w:b/>
          <w:bCs/>
          <w:lang w:val="zh-CN"/>
        </w:rPr>
        <w:t>附：2018年市安监局领导班子成员名单</w:t>
      </w:r>
    </w:p>
    <w:p w14:paraId="549431C3">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陈志雄</w:t>
      </w:r>
    </w:p>
    <w:p w14:paraId="3C2C2899">
      <w:pPr>
        <w:pStyle w:val="11"/>
        <w:bidi w:val="0"/>
        <w:rPr>
          <w:rFonts w:hint="eastAsia"/>
          <w:lang w:val="zh-CN"/>
        </w:rPr>
      </w:pPr>
      <w:r>
        <w:rPr>
          <w:rFonts w:hint="eastAsia"/>
          <w:b/>
          <w:bCs/>
          <w:lang w:val="zh-CN"/>
        </w:rPr>
        <w:t>副局长：</w:t>
      </w:r>
      <w:r>
        <w:rPr>
          <w:rFonts w:hint="eastAsia"/>
          <w:lang w:val="zh-CN"/>
        </w:rPr>
        <w:t>李贤卫</w:t>
      </w:r>
      <w:r>
        <w:rPr>
          <w:rFonts w:hint="eastAsia"/>
          <w:lang w:val="en-US" w:eastAsia="zh-CN"/>
        </w:rPr>
        <w:t xml:space="preserve">   </w:t>
      </w:r>
      <w:r>
        <w:rPr>
          <w:rFonts w:hint="eastAsia"/>
          <w:lang w:val="zh-CN"/>
        </w:rPr>
        <w:t>何国华</w:t>
      </w:r>
    </w:p>
    <w:p w14:paraId="0365892F">
      <w:pPr>
        <w:pStyle w:val="3"/>
        <w:bidi w:val="0"/>
        <w:rPr>
          <w:rFonts w:hint="eastAsia"/>
          <w:lang w:val="zh-CN"/>
        </w:rPr>
      </w:pPr>
      <w:r>
        <w:rPr>
          <w:rFonts w:hint="eastAsia"/>
          <w:lang w:val="zh-CN"/>
        </w:rPr>
        <w:t>统计</w:t>
      </w:r>
    </w:p>
    <w:p w14:paraId="7110375B">
      <w:pPr>
        <w:pStyle w:val="4"/>
        <w:bidi w:val="0"/>
        <w:rPr>
          <w:rFonts w:hint="eastAsia"/>
          <w:lang w:val="zh-CN"/>
        </w:rPr>
      </w:pPr>
      <w:r>
        <w:rPr>
          <w:rFonts w:hint="eastAsia"/>
          <w:lang w:val="zh-CN"/>
        </w:rPr>
        <w:t>【概况】</w:t>
      </w:r>
    </w:p>
    <w:p w14:paraId="3E6CCAD7">
      <w:pPr>
        <w:bidi w:val="0"/>
        <w:rPr>
          <w:rFonts w:hint="eastAsia"/>
          <w:lang w:val="zh-CN"/>
        </w:rPr>
      </w:pPr>
      <w:r>
        <w:rPr>
          <w:rFonts w:hint="eastAsia"/>
          <w:lang w:val="zh-CN"/>
        </w:rPr>
        <w:t>南雄市统计局行政编制10名，其中局长1名，副局长2名，股长6名，副股长1名。后勤服务人员数2名。内设办公室、综合法制股、工业交通统计股、能源统计股、社会投资股和农村贸易股等6个股室。2018年，统计局实有在编在岗人员9名，其中行政编制7名，后勤服务人员2名。挂靠市统计局管理的南雄市普查中心，事业编制8名，其中，主任1名，副主任1名。普查中心实有在编在岗人员7名。</w:t>
      </w:r>
    </w:p>
    <w:p w14:paraId="298D6278">
      <w:pPr>
        <w:bidi w:val="0"/>
        <w:rPr>
          <w:rFonts w:hint="eastAsia"/>
          <w:lang w:val="zh-CN"/>
        </w:rPr>
      </w:pPr>
      <w:r>
        <w:rPr>
          <w:rFonts w:hint="eastAsia"/>
          <w:lang w:val="zh-CN"/>
        </w:rPr>
        <w:t>2018年4月，南雄市委对统计局获2017年度人民代表满意单位予以表扬。6月，被评为2017年度南雄市信息工作先进单位。11月，被南雄市人民政府评为2017年度计划生育综合治理目标管理责任制考核优秀单位。</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030F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3047AF4">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8075" cy="3720465"/>
                  <wp:effectExtent l="0" t="0" r="3175" b="13335"/>
                  <wp:docPr id="122" name="图片 122" descr="南雄年鉴2019_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南雄年鉴2019_0097"/>
                          <pic:cNvPicPr>
                            <a:picLocks noChangeAspect="1"/>
                          </pic:cNvPicPr>
                        </pic:nvPicPr>
                        <pic:blipFill>
                          <a:blip r:embed="rId109"/>
                          <a:stretch>
                            <a:fillRect/>
                          </a:stretch>
                        </pic:blipFill>
                        <pic:spPr>
                          <a:xfrm>
                            <a:off x="0" y="0"/>
                            <a:ext cx="6188075" cy="3720465"/>
                          </a:xfrm>
                          <a:prstGeom prst="rect">
                            <a:avLst/>
                          </a:prstGeom>
                        </pic:spPr>
                      </pic:pic>
                    </a:graphicData>
                  </a:graphic>
                </wp:inline>
              </w:drawing>
            </w:r>
          </w:p>
        </w:tc>
      </w:tr>
      <w:tr w14:paraId="26DBA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0CD67AB">
            <w:pPr>
              <w:bidi w:val="0"/>
              <w:rPr>
                <w:rFonts w:hint="eastAsia"/>
                <w:vertAlign w:val="baseline"/>
                <w:lang w:val="zh-CN"/>
              </w:rPr>
            </w:pPr>
            <w:r>
              <w:rPr>
                <w:rFonts w:hint="eastAsia" w:ascii="FZKTK--GBK1-0" w:hAnsi="FZKTK--GBK1-0" w:eastAsia="FZKTK--GBK1-0"/>
                <w:color w:val="000000"/>
                <w:sz w:val="20"/>
              </w:rPr>
              <w:t>7月23日，韶关市第四次全国经济普查市级试点动员暨业务培训会在南雄召开</w:t>
            </w:r>
            <w:r>
              <w:rPr>
                <w:rFonts w:hint="eastAsia" w:ascii="FZKTK--GBK1-0" w:hAnsi="FZKTK--GBK1-0" w:eastAsia="FZKTK--GBK1-0"/>
                <w:sz w:val="20"/>
              </w:rPr>
              <w:t>（邓荣奎</w:t>
            </w:r>
            <w:r>
              <w:rPr>
                <w:rFonts w:hint="eastAsia" w:ascii="FZKTK--GBK1-0" w:hAnsi="FZKTK--GBK1-0" w:eastAsia="FZKTK--GBK1-0"/>
                <w:sz w:val="20"/>
                <w:lang w:val="en-US" w:eastAsia="zh-CN"/>
              </w:rPr>
              <w:t xml:space="preserve">    </w:t>
            </w:r>
            <w:r>
              <w:rPr>
                <w:rFonts w:hint="eastAsia" w:ascii="FZKTK--GBK1-0" w:hAnsi="FZKTK--GBK1-0" w:eastAsia="FZKTK--GBK1-0"/>
                <w:sz w:val="20"/>
              </w:rPr>
              <w:t>摄）</w:t>
            </w:r>
          </w:p>
        </w:tc>
      </w:tr>
    </w:tbl>
    <w:p w14:paraId="0EFE0FEB">
      <w:pPr>
        <w:pStyle w:val="4"/>
        <w:bidi w:val="0"/>
        <w:rPr>
          <w:rFonts w:hint="eastAsia"/>
          <w:lang w:val="zh-CN"/>
        </w:rPr>
      </w:pPr>
      <w:r>
        <w:rPr>
          <w:rFonts w:hint="eastAsia"/>
          <w:lang w:val="zh-CN"/>
        </w:rPr>
        <w:t>【统计管理体制改革】</w:t>
      </w:r>
    </w:p>
    <w:p w14:paraId="4F3FD939">
      <w:pPr>
        <w:bidi w:val="0"/>
        <w:rPr>
          <w:rFonts w:hint="eastAsia"/>
          <w:lang w:val="zh-CN"/>
        </w:rPr>
      </w:pPr>
      <w:r>
        <w:rPr>
          <w:rFonts w:hint="eastAsia"/>
          <w:lang w:val="zh-CN"/>
        </w:rPr>
        <w:t>3月印发《关于加强基础业务数据搜集归类建库工作的通知》，对统计数据建库、数据管理和数据公布提出具体要求。12月印发《关于加强统计工作防止少报漏报基础数据的通知》，就加强行业统计工作，防止少报漏报基础数据，全面真实准确地反映南雄经济社会发展情况提出要求。制定出台联系企业统计制度，提出分管领导和业务人员每半年要走访“四上”企业及5000万元以上投资项目一次以上。2018年，南雄市完成地区生产总值120亿元，同比增长7.5%，增速在韶关各县市排名第二，统计体制改革取得明显成效。</w:t>
      </w:r>
    </w:p>
    <w:p w14:paraId="5CA0C82B">
      <w:pPr>
        <w:pStyle w:val="4"/>
        <w:bidi w:val="0"/>
        <w:rPr>
          <w:rFonts w:hint="eastAsia"/>
          <w:lang w:val="zh-CN"/>
        </w:rPr>
      </w:pPr>
      <w:r>
        <w:rPr>
          <w:rFonts w:hint="eastAsia"/>
          <w:lang w:val="zh-CN"/>
        </w:rPr>
        <w:t>【第四次全国经济普查】</w:t>
      </w:r>
    </w:p>
    <w:p w14:paraId="723EFACB">
      <w:pPr>
        <w:bidi w:val="0"/>
        <w:rPr>
          <w:rFonts w:hint="eastAsia"/>
          <w:lang w:val="zh-CN"/>
        </w:rPr>
      </w:pPr>
      <w:r>
        <w:rPr>
          <w:rFonts w:hint="eastAsia"/>
          <w:lang w:val="zh-CN"/>
        </w:rPr>
        <w:t>2018年开展第四次全国经济普查。7月22—27日，韶关市第四次全国经济普查综合试点在雄州街道新城西社区开展。8月，市政府办公室印发《南雄市人民政府办公室关于成立南雄市第四次全国经济普查领导小组的通知》，市委常委、常务副市长朱海兵任领导小组组长，市统计局副局长刘宏星任领导小组办公室主任。8—12月，全市组织开展普查区划分、电子地图绘制、普查指导员及普查员选聘、单位清查业务培训、单位清查和专业编码等普查前各项准备工作。全市划分普查区233个，普查小区295个，选调普查指导员和普查员565人。选派5名普查业务骨干，采取“派员授课，跨级培训”办法，举办各层次培训26场次，培训普查指导员、普查员和普查工作人员1350人次。组成4个业务督导组，采取分片包干形式，对18个镇（街道）和园区管委会开展单位清查业务指导和督查。12月底，全市入户清查法人单位5342户，产业活动单位641户，个体经营户2.01万户。</w:t>
      </w:r>
    </w:p>
    <w:p w14:paraId="7C5FD74E">
      <w:pPr>
        <w:pStyle w:val="4"/>
        <w:bidi w:val="0"/>
        <w:rPr>
          <w:rFonts w:hint="eastAsia"/>
          <w:lang w:val="zh-CN"/>
        </w:rPr>
      </w:pPr>
      <w:r>
        <w:rPr>
          <w:rFonts w:hint="eastAsia"/>
          <w:lang w:val="zh-CN"/>
        </w:rPr>
        <w:t>【统计服务工作】</w:t>
      </w:r>
    </w:p>
    <w:p w14:paraId="14820E4B">
      <w:pPr>
        <w:bidi w:val="0"/>
        <w:rPr>
          <w:rFonts w:hint="eastAsia"/>
          <w:lang w:val="zh-CN"/>
        </w:rPr>
      </w:pPr>
      <w:r>
        <w:rPr>
          <w:rFonts w:hint="eastAsia"/>
          <w:lang w:val="zh-CN"/>
        </w:rPr>
        <w:t>开展“深调研”工作，撰写的《充分发挥统计作用，服务经济社会发展》反映统计发展现状和突出问题，提出对策建议，为党政领导了解统计、重视统计提供参考。2018年，编印《南雄统计》33期。《南雄乡村振兴情况调研》被评为广东省优秀统计分析报告三等奖；4篇统计分析报告被《韶关调研》全文刊发。向各级宣传媒体报送统计新闻信息58篇次。其中，南雄门户网采用20篇，韶关统计网采用26篇，《南方+》采用2篇。统计局业务人员撰写的《南雄市多措并举推进四经普工作》《南雄市统计局三举措服务工业高质量发展》被《中国信息报》刊发。编印《南雄统计月报》11期，完成《南雄统计年鉴（2018）》编辑工作，发布《第三次全国农业普查主要数据公报》第1至5号和2017年度全面小康监测报告，为社会各界提供统计咨询服务630人次。</w:t>
      </w:r>
    </w:p>
    <w:p w14:paraId="3161D909">
      <w:pPr>
        <w:pStyle w:val="4"/>
        <w:bidi w:val="0"/>
        <w:rPr>
          <w:rFonts w:hint="eastAsia"/>
          <w:lang w:val="zh-CN"/>
        </w:rPr>
      </w:pPr>
      <w:r>
        <w:rPr>
          <w:rFonts w:hint="eastAsia"/>
          <w:lang w:val="zh-CN"/>
        </w:rPr>
        <w:t>【统计法治工作】</w:t>
      </w:r>
    </w:p>
    <w:p w14:paraId="3C0A1881">
      <w:pPr>
        <w:bidi w:val="0"/>
        <w:rPr>
          <w:rFonts w:hint="eastAsia"/>
          <w:lang w:val="zh-CN"/>
        </w:rPr>
      </w:pPr>
      <w:r>
        <w:rPr>
          <w:rFonts w:hint="eastAsia"/>
          <w:lang w:val="zh-CN"/>
        </w:rPr>
        <w:t>6月份，统计局组成3个统计数据质量核查工作组，对2个镇和31家四上企业（项目单位）开展统计数据质量核查，核查没有发现统计违法行为。参加南雄市2018年“12·4”国家宪法日大型系列法制宣传活动，活动派发《中华人民共和国统计法》《中华人民共和国统计法实施条例》《全国经济普查条例》法规书籍120册，发放《统计法知识》《第四次全国经济普查单位清查告知书》及经济普查宣传海报160份，接受统计法律咨询和经济普查咨询62人次。2018年，没有发生统计行政投诉、统计行政复议和统计行政诉讼案件。</w:t>
      </w:r>
    </w:p>
    <w:p w14:paraId="71D1E22B">
      <w:pPr>
        <w:pStyle w:val="4"/>
        <w:bidi w:val="0"/>
        <w:rPr>
          <w:rFonts w:hint="eastAsia"/>
          <w:lang w:val="zh-CN"/>
        </w:rPr>
      </w:pPr>
      <w:r>
        <w:rPr>
          <w:rFonts w:hint="eastAsia"/>
          <w:lang w:val="zh-CN"/>
        </w:rPr>
        <w:t>【统计业务培训】</w:t>
      </w:r>
    </w:p>
    <w:p w14:paraId="3FC70459">
      <w:pPr>
        <w:bidi w:val="0"/>
        <w:rPr>
          <w:rFonts w:hint="eastAsia"/>
          <w:lang w:val="zh-CN"/>
        </w:rPr>
      </w:pPr>
      <w:r>
        <w:rPr>
          <w:rFonts w:hint="eastAsia"/>
          <w:lang w:val="zh-CN"/>
        </w:rPr>
        <w:t>2018年，举办农业、工业、固定资产投资、房地产、建筑业、贸易业和规模以上服务业企业统计业务培训13批次，培训统计人员810人次。举办《广东高质量发展综合绩效评价体系（试行）》业务培训班1期，培训高质量发展的评价办法和指标含义，市委组织部、发改局等29个部门业务骨干参加。</w:t>
      </w:r>
    </w:p>
    <w:p w14:paraId="3895B65D">
      <w:pPr>
        <w:pStyle w:val="4"/>
        <w:bidi w:val="0"/>
        <w:rPr>
          <w:rFonts w:hint="eastAsia"/>
          <w:lang w:val="zh-CN"/>
        </w:rPr>
      </w:pPr>
      <w:r>
        <w:rPr>
          <w:rFonts w:hint="eastAsia"/>
          <w:lang w:val="zh-CN"/>
        </w:rPr>
        <w:t>【“四上”企业培育】</w:t>
      </w:r>
    </w:p>
    <w:p w14:paraId="137C92EA">
      <w:pPr>
        <w:bidi w:val="0"/>
        <w:rPr>
          <w:rFonts w:hint="eastAsia"/>
          <w:lang w:val="zh-CN"/>
        </w:rPr>
      </w:pPr>
      <w:r>
        <w:rPr>
          <w:rFonts w:hint="eastAsia"/>
          <w:lang w:val="zh-CN"/>
        </w:rPr>
        <w:t>2018年，培育“四上”企业20家，超额完成全年培育目标任务（全年任务16家）。其中，培育规上工业企业5家，资质内建筑企业4家，房地产经营开发企业4家，限上批发业企业1家，限上零售业企业2家，限上住宿业企业1家，限上餐饮业企业3家。</w:t>
      </w:r>
      <w:r>
        <w:rPr>
          <w:rFonts w:hint="eastAsia"/>
          <w:b/>
          <w:bCs/>
          <w:lang w:val="zh-CN"/>
        </w:rPr>
        <w:t>（邓荣奎）</w:t>
      </w:r>
    </w:p>
    <w:p w14:paraId="292AC46E">
      <w:pPr>
        <w:pStyle w:val="11"/>
        <w:bidi w:val="0"/>
        <w:rPr>
          <w:rFonts w:hint="eastAsia"/>
          <w:b/>
          <w:bCs/>
          <w:lang w:val="zh-CN"/>
        </w:rPr>
      </w:pPr>
      <w:r>
        <w:rPr>
          <w:rFonts w:hint="eastAsia"/>
          <w:b/>
          <w:bCs/>
          <w:lang w:val="zh-CN"/>
        </w:rPr>
        <w:t>附：2018年市统计局领导班子成员名单</w:t>
      </w:r>
    </w:p>
    <w:p w14:paraId="54171BFE">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马新路</w:t>
      </w:r>
    </w:p>
    <w:p w14:paraId="28F4AA32">
      <w:pPr>
        <w:pStyle w:val="11"/>
        <w:bidi w:val="0"/>
        <w:rPr>
          <w:rFonts w:hint="eastAsia"/>
          <w:lang w:val="zh-CN"/>
        </w:rPr>
      </w:pPr>
      <w:r>
        <w:rPr>
          <w:rFonts w:hint="eastAsia"/>
          <w:b/>
          <w:bCs/>
          <w:lang w:val="zh-CN"/>
        </w:rPr>
        <w:t>副局长：</w:t>
      </w:r>
      <w:r>
        <w:rPr>
          <w:rFonts w:hint="eastAsia"/>
          <w:lang w:val="zh-CN"/>
        </w:rPr>
        <w:t>刘宏星</w:t>
      </w:r>
      <w:r>
        <w:rPr>
          <w:rFonts w:hint="eastAsia"/>
          <w:lang w:val="en-US" w:eastAsia="zh-CN"/>
        </w:rPr>
        <w:t xml:space="preserve">  </w:t>
      </w:r>
      <w:r>
        <w:rPr>
          <w:rFonts w:hint="eastAsia"/>
          <w:lang w:val="zh-CN"/>
        </w:rPr>
        <w:t>朱金全</w:t>
      </w:r>
    </w:p>
    <w:p w14:paraId="51DD8725">
      <w:pPr>
        <w:pStyle w:val="3"/>
        <w:bidi w:val="0"/>
        <w:rPr>
          <w:rFonts w:hint="eastAsia"/>
          <w:lang w:val="zh-CN"/>
        </w:rPr>
      </w:pPr>
      <w:r>
        <w:rPr>
          <w:rFonts w:hint="eastAsia"/>
          <w:lang w:val="zh-CN"/>
        </w:rPr>
        <w:t>农村调查</w:t>
      </w:r>
    </w:p>
    <w:p w14:paraId="6840F90B">
      <w:pPr>
        <w:pStyle w:val="4"/>
        <w:bidi w:val="0"/>
        <w:rPr>
          <w:rFonts w:hint="eastAsia"/>
          <w:lang w:val="zh-CN"/>
        </w:rPr>
      </w:pPr>
      <w:r>
        <w:rPr>
          <w:rFonts w:hint="eastAsia"/>
          <w:lang w:val="zh-CN"/>
        </w:rPr>
        <w:t>【概况】</w:t>
      </w:r>
    </w:p>
    <w:p w14:paraId="51715C06">
      <w:pPr>
        <w:bidi w:val="0"/>
        <w:rPr>
          <w:rFonts w:hint="eastAsia"/>
          <w:lang w:val="zh-CN"/>
        </w:rPr>
      </w:pPr>
      <w:r>
        <w:rPr>
          <w:rFonts w:hint="eastAsia"/>
          <w:lang w:val="zh-CN"/>
        </w:rPr>
        <w:t>国家统计局南雄调查队是国家统计局的派出机构，为正科级事业单位。参公事业编制9人，2018年在职8人，挂职1人，退休2人。</w:t>
      </w:r>
    </w:p>
    <w:p w14:paraId="2B45DE38">
      <w:pPr>
        <w:pStyle w:val="4"/>
        <w:bidi w:val="0"/>
        <w:rPr>
          <w:rFonts w:hint="eastAsia"/>
          <w:lang w:val="zh-CN"/>
        </w:rPr>
      </w:pPr>
      <w:r>
        <w:rPr>
          <w:rFonts w:hint="eastAsia"/>
          <w:lang w:val="zh-CN"/>
        </w:rPr>
        <w:t>【党建工作】</w:t>
      </w:r>
    </w:p>
    <w:p w14:paraId="3F8FD714">
      <w:pPr>
        <w:bidi w:val="0"/>
        <w:rPr>
          <w:rFonts w:hint="eastAsia"/>
          <w:lang w:val="zh-CN"/>
        </w:rPr>
      </w:pPr>
      <w:r>
        <w:rPr>
          <w:rFonts w:hint="eastAsia"/>
          <w:lang w:val="zh-CN"/>
        </w:rPr>
        <w:t>2018年，南雄调查队被评为先进基层党支部。发挥党员先锋模范作用，成立党员志愿服务队，赴对口扶贫村开展帮扶活动3次，开展党员志愿宣传工作5次，累计宣传群众150余人次；开展帮助贫困户打扫卫生、关心生产生活的关怀活动，全年开展关心关怀活动5次，累计帮助困难群众24次，捐赠棉衣15件。完善党支部硬件建设，加大党员干部教育资料投入，设置党务公开栏2块，创新学习渠道，全年开展微信学习15次，撰写学习笔记和心得体会53篇。</w:t>
      </w:r>
    </w:p>
    <w:p w14:paraId="1C23549E">
      <w:pPr>
        <w:pStyle w:val="4"/>
        <w:bidi w:val="0"/>
        <w:rPr>
          <w:rFonts w:hint="eastAsia"/>
          <w:lang w:val="zh-CN"/>
        </w:rPr>
      </w:pPr>
      <w:r>
        <w:rPr>
          <w:rFonts w:hint="eastAsia"/>
          <w:lang w:val="zh-CN"/>
        </w:rPr>
        <w:t>【住户调查】</w:t>
      </w:r>
    </w:p>
    <w:p w14:paraId="57921C83">
      <w:pPr>
        <w:bidi w:val="0"/>
        <w:rPr>
          <w:rFonts w:hint="eastAsia"/>
          <w:lang w:val="zh-CN"/>
        </w:rPr>
      </w:pPr>
      <w:r>
        <w:rPr>
          <w:rFonts w:hint="eastAsia"/>
          <w:lang w:val="zh-CN"/>
        </w:rPr>
        <w:t>优化住户调查工作，利用南雄电视台等本地主流媒体进行为期一周的住户调查工作宣传，全程播放开户和培训记账工作，提升记账户信任感。创新设计台账，根据各个记账户家庭实际情况，制作南雄版住户固定收支监控台账，实现因“户”而异跟踪记账户记账情况，实现精准监控。创新调查手段，主动联系南雄市志愿者协会，将志愿者引入住户调查工作，发挥志愿者人脉资源广、社会活动能力强等优势，协助开展入户工作，解决住户调查“门难进、脸难看、话难听”等困境，切实提升记账质量。2018年，南雄队住户调查工作15个调查点，其中国家点12个，分市县点3个；城镇点7个，农村点8个，均顺利完成住户调查工作。</w:t>
      </w:r>
    </w:p>
    <w:p w14:paraId="229FEEBA">
      <w:pPr>
        <w:pStyle w:val="4"/>
        <w:bidi w:val="0"/>
        <w:rPr>
          <w:rFonts w:hint="eastAsia"/>
          <w:lang w:val="zh-CN"/>
        </w:rPr>
      </w:pPr>
      <w:r>
        <w:rPr>
          <w:rFonts w:hint="eastAsia"/>
          <w:lang w:val="zh-CN"/>
        </w:rPr>
        <w:t>【农业调查】</w:t>
      </w:r>
    </w:p>
    <w:p w14:paraId="5B2FCDD3">
      <w:pPr>
        <w:bidi w:val="0"/>
        <w:rPr>
          <w:rFonts w:hint="eastAsia"/>
          <w:lang w:val="zh-CN"/>
        </w:rPr>
      </w:pPr>
      <w:r>
        <w:rPr>
          <w:rFonts w:hint="eastAsia"/>
          <w:lang w:val="zh-CN"/>
        </w:rPr>
        <w:t>2018年给10个调查点配备铲斗式测水仪，队内配备1台高精度测水仪，开展农产量辅助调查员培训，讲解估产、测产的PDA操作方法和测水仪使用方法等；利用微信群实时在线解答辅调员在PDA操作过程中遇到的疑难问题，在线查看辅调员的PDA拍照定位、地块地物信息是否准确，确保早稻、晚稻实割实测工作数据质量。2018年，选派农业调查工作业务骨干参加总队组织的“广东青年遥感测量大赛”获得二等奖。</w:t>
      </w:r>
    </w:p>
    <w:p w14:paraId="4C1AA9D8">
      <w:pPr>
        <w:pStyle w:val="4"/>
        <w:bidi w:val="0"/>
        <w:rPr>
          <w:rFonts w:hint="eastAsia"/>
          <w:lang w:val="zh-CN"/>
        </w:rPr>
      </w:pPr>
      <w:r>
        <w:rPr>
          <w:rFonts w:hint="eastAsia"/>
          <w:lang w:val="zh-CN"/>
        </w:rPr>
        <w:t>【普法宣传】</w:t>
      </w:r>
    </w:p>
    <w:p w14:paraId="0F97AFA4">
      <w:pPr>
        <w:bidi w:val="0"/>
        <w:rPr>
          <w:rFonts w:hint="eastAsia"/>
          <w:lang w:val="zh-CN"/>
        </w:rPr>
      </w:pPr>
      <w:r>
        <w:rPr>
          <w:rFonts w:hint="eastAsia"/>
          <w:lang w:val="zh-CN"/>
        </w:rPr>
        <w:t>制作15个可移动宣传展架，组织赴农村调查点开展统计法制宣传25次，宣传人数500余人次；利用下乡调研时机，向乡镇领导讲解中央出台《统计违纪违法责任人处分处理建议办法》目的；结合相关业务积极开展统计法制培训，讲解《统计法》《统计法实施条例》8次，累计培训辅调员126人次；为做好2018年“两会”精神宣传工作，在“两会”召开后，调查队在13个调查点开展“两会”精神宣传工作24次。</w:t>
      </w:r>
    </w:p>
    <w:p w14:paraId="1CD906ED">
      <w:pPr>
        <w:pStyle w:val="4"/>
        <w:bidi w:val="0"/>
        <w:rPr>
          <w:rFonts w:hint="eastAsia"/>
          <w:lang w:val="zh-CN"/>
        </w:rPr>
      </w:pPr>
      <w:r>
        <w:rPr>
          <w:rFonts w:hint="eastAsia"/>
          <w:lang w:val="zh-CN"/>
        </w:rPr>
        <w:t>【统计执法】</w:t>
      </w:r>
    </w:p>
    <w:p w14:paraId="79DAA03B">
      <w:pPr>
        <w:bidi w:val="0"/>
        <w:rPr>
          <w:rFonts w:hint="eastAsia"/>
          <w:lang w:val="zh-CN"/>
        </w:rPr>
      </w:pPr>
      <w:r>
        <w:rPr>
          <w:rFonts w:hint="eastAsia"/>
          <w:lang w:val="zh-CN"/>
        </w:rPr>
        <w:t>2018年，南雄调查队在开展执法检查过程中，发现1家企业存在不及时回复“统计检查查询书”违法情况，在仔细研究其违法事实基础上，按照《统计法》第四十一条规定作出行政罚款的处罚决定，并督促企业完成罚款缴纳相关事宜，开出南雄调查队罚款第1单；针对发现畜禽调查工作中存在不理解不配合的具体情况，南雄调查队与韶关调查队联合对大型生猪养殖企业开展统计执法，并给予行政罚款的处罚。2018年，有2名干部通过统计执法证考试，取得统计执法资格，进一步充实统计执法工作力量。</w:t>
      </w:r>
    </w:p>
    <w:p w14:paraId="218E6A39">
      <w:pPr>
        <w:pStyle w:val="4"/>
        <w:bidi w:val="0"/>
        <w:rPr>
          <w:rFonts w:hint="eastAsia"/>
          <w:lang w:val="zh-CN"/>
        </w:rPr>
      </w:pPr>
      <w:r>
        <w:rPr>
          <w:rFonts w:hint="eastAsia"/>
          <w:lang w:val="zh-CN"/>
        </w:rPr>
        <w:t>【统计服务】</w:t>
      </w:r>
    </w:p>
    <w:p w14:paraId="16715BCA">
      <w:pPr>
        <w:bidi w:val="0"/>
        <w:rPr>
          <w:rFonts w:hint="eastAsia"/>
          <w:lang w:val="zh-CN"/>
        </w:rPr>
      </w:pPr>
      <w:r>
        <w:rPr>
          <w:rFonts w:hint="eastAsia"/>
          <w:lang w:val="zh-CN"/>
        </w:rPr>
        <w:t>2018年，南雄调查队向总队报送《“生男偏好”现象浅析》《困难群众安全温暖过冬的现状及建议》《南雄市农田水利设施建设形势向好发展，但存在问题仍然突出》《农村居民收入稳定增长，精准扶贫显成效》《农村土地确权有序推进，存在问题不可忽视》《市民企盼共享单车入驻》等多篇调查信息。为</w:t>
      </w:r>
      <w:r>
        <w:rPr>
          <w:rFonts w:hint="eastAsia"/>
          <w:lang w:val="en-US" w:eastAsia="zh-CN"/>
        </w:rPr>
        <w:t>庆祝</w:t>
      </w:r>
      <w:r>
        <w:rPr>
          <w:rFonts w:hint="eastAsia"/>
          <w:lang w:val="zh-CN"/>
        </w:rPr>
        <w:t>改革开放40周年拍摄的《一对祖孙，一段和统计调查的不了情》视频短片在南雄市电视台播出，并被总队微信公众号“广东调查与你同行”采用。</w:t>
      </w:r>
      <w:r>
        <w:rPr>
          <w:rFonts w:hint="eastAsia"/>
          <w:b/>
          <w:bCs/>
          <w:lang w:val="zh-CN"/>
        </w:rPr>
        <w:t>（梁子恩）</w:t>
      </w:r>
    </w:p>
    <w:p w14:paraId="1DC37D66">
      <w:pPr>
        <w:pStyle w:val="11"/>
        <w:bidi w:val="0"/>
        <w:rPr>
          <w:rFonts w:hint="eastAsia"/>
          <w:b/>
          <w:bCs/>
          <w:lang w:val="zh-CN"/>
        </w:rPr>
      </w:pPr>
      <w:r>
        <w:rPr>
          <w:rFonts w:hint="eastAsia"/>
          <w:b/>
          <w:bCs/>
          <w:lang w:val="zh-CN"/>
        </w:rPr>
        <w:t>附：2018年国家统计局南雄调查队领导班子成员名单</w:t>
      </w:r>
    </w:p>
    <w:p w14:paraId="37EBA0AA">
      <w:pPr>
        <w:pStyle w:val="11"/>
        <w:bidi w:val="0"/>
        <w:rPr>
          <w:rFonts w:hint="eastAsia"/>
          <w:lang w:val="zh-CN"/>
        </w:rPr>
      </w:pPr>
      <w:r>
        <w:rPr>
          <w:rFonts w:hint="eastAsia"/>
          <w:b/>
          <w:bCs/>
          <w:lang w:val="zh-CN"/>
        </w:rPr>
        <w:t>队</w:t>
      </w:r>
      <w:r>
        <w:rPr>
          <w:rFonts w:hint="eastAsia"/>
          <w:b/>
          <w:bCs/>
          <w:lang w:val="en-US" w:eastAsia="zh-CN"/>
        </w:rPr>
        <w:t xml:space="preserve">  </w:t>
      </w:r>
      <w:r>
        <w:rPr>
          <w:rFonts w:hint="eastAsia"/>
          <w:b/>
          <w:bCs/>
          <w:lang w:val="zh-CN"/>
        </w:rPr>
        <w:t>长：</w:t>
      </w:r>
      <w:r>
        <w:rPr>
          <w:rFonts w:hint="eastAsia"/>
          <w:lang w:val="zh-CN"/>
        </w:rPr>
        <w:t>陈伦明</w:t>
      </w:r>
    </w:p>
    <w:p w14:paraId="4A8CF144">
      <w:pPr>
        <w:pStyle w:val="11"/>
        <w:bidi w:val="0"/>
        <w:rPr>
          <w:rFonts w:hint="eastAsia"/>
          <w:b/>
          <w:bCs/>
          <w:lang w:val="zh-CN"/>
        </w:rPr>
      </w:pPr>
      <w:r>
        <w:rPr>
          <w:rFonts w:hint="eastAsia"/>
          <w:b/>
          <w:bCs/>
          <w:lang w:val="zh-CN"/>
        </w:rPr>
        <w:t>副队长（挂职干部）：</w:t>
      </w:r>
    </w:p>
    <w:p w14:paraId="02EA9D6E">
      <w:pPr>
        <w:pStyle w:val="11"/>
        <w:bidi w:val="0"/>
        <w:ind w:leftChars="400"/>
        <w:rPr>
          <w:rFonts w:hint="eastAsia"/>
          <w:lang w:val="zh-CN"/>
        </w:rPr>
      </w:pPr>
      <w:r>
        <w:rPr>
          <w:rFonts w:hint="eastAsia"/>
          <w:lang w:val="zh-CN"/>
        </w:rPr>
        <w:t>陈文秀（1月任职）</w:t>
      </w:r>
    </w:p>
    <w:p w14:paraId="288B52F5">
      <w:pPr>
        <w:pStyle w:val="11"/>
        <w:bidi w:val="0"/>
        <w:rPr>
          <w:rFonts w:hint="eastAsia"/>
          <w:lang w:val="zh-CN"/>
        </w:rPr>
      </w:pPr>
      <w:r>
        <w:rPr>
          <w:rFonts w:hint="eastAsia"/>
          <w:b/>
          <w:bCs/>
          <w:lang w:val="zh-CN"/>
        </w:rPr>
        <w:t>副队长级纪检员：</w:t>
      </w:r>
      <w:r>
        <w:rPr>
          <w:rFonts w:hint="eastAsia"/>
          <w:lang w:val="zh-CN"/>
        </w:rPr>
        <w:t>蔡仁生</w:t>
      </w:r>
    </w:p>
    <w:p w14:paraId="38FD9608">
      <w:pPr>
        <w:pStyle w:val="3"/>
        <w:bidi w:val="0"/>
        <w:rPr>
          <w:rFonts w:hint="eastAsia"/>
          <w:lang w:val="zh-CN"/>
        </w:rPr>
      </w:pPr>
      <w:r>
        <w:rPr>
          <w:rFonts w:hint="eastAsia"/>
          <w:lang w:val="zh-CN"/>
        </w:rPr>
        <w:t>审计</w:t>
      </w:r>
    </w:p>
    <w:p w14:paraId="14641039">
      <w:pPr>
        <w:pStyle w:val="4"/>
        <w:bidi w:val="0"/>
        <w:rPr>
          <w:rFonts w:hint="eastAsia"/>
          <w:lang w:val="zh-CN"/>
        </w:rPr>
      </w:pPr>
      <w:r>
        <w:rPr>
          <w:rFonts w:hint="eastAsia"/>
          <w:lang w:val="zh-CN"/>
        </w:rPr>
        <w:t>【概况】</w:t>
      </w:r>
    </w:p>
    <w:p w14:paraId="1596621B">
      <w:pPr>
        <w:bidi w:val="0"/>
        <w:rPr>
          <w:rFonts w:hint="eastAsia"/>
          <w:lang w:val="zh-CN"/>
        </w:rPr>
      </w:pPr>
      <w:r>
        <w:rPr>
          <w:rFonts w:hint="eastAsia"/>
          <w:lang w:val="zh-CN"/>
        </w:rPr>
        <w:t>南雄市审计局是市人民政府的组成部门，履行审计监督的职能。内设办公室、法规审理股、经济责任审计办公室、财税金融与外资审计股、行政事业与经贸审计股、农业与资源环保审计股和固定资产投资审计股7个股室。2018年年末，市审计局在职人员17人，其中行政管理人员8人，审计业务人员7人，后勤服务人员2人。2018年，完成审计项目17项和审计调查1项，查出管理不规范金额2150万元，非金额计量问题98个，移送相关部门案件线索4起，通过审计整改挽回经济损失138.8万元，上缴财政44.05万元。</w:t>
      </w:r>
    </w:p>
    <w:p w14:paraId="6743F764">
      <w:pPr>
        <w:pStyle w:val="4"/>
        <w:bidi w:val="0"/>
        <w:rPr>
          <w:rFonts w:hint="eastAsia"/>
          <w:lang w:val="zh-CN"/>
        </w:rPr>
      </w:pPr>
      <w:r>
        <w:rPr>
          <w:rFonts w:hint="eastAsia"/>
          <w:lang w:val="zh-CN"/>
        </w:rPr>
        <w:t>【队伍建设】</w:t>
      </w:r>
    </w:p>
    <w:p w14:paraId="65F5B95B">
      <w:pPr>
        <w:bidi w:val="0"/>
        <w:rPr>
          <w:rFonts w:hint="eastAsia"/>
          <w:lang w:val="zh-CN"/>
        </w:rPr>
      </w:pPr>
      <w:r>
        <w:rPr>
          <w:rFonts w:hint="eastAsia"/>
          <w:lang w:val="zh-CN"/>
        </w:rPr>
        <w:t>局党支部在2月7日进行支委补选，补选2名支部委员和重选支部书记。积极发展新党员，发展3名入党积极分子。提拔3名年轻公务员任副股长。全年收缴党费6279元，捐献党员互助金1400元、扶贫济困款3100元，开展党员志愿服务行动17次。</w:t>
      </w:r>
    </w:p>
    <w:p w14:paraId="1BD9BB1D">
      <w:pPr>
        <w:pStyle w:val="4"/>
        <w:bidi w:val="0"/>
        <w:rPr>
          <w:rFonts w:hint="eastAsia"/>
          <w:lang w:val="zh-CN"/>
        </w:rPr>
      </w:pPr>
      <w:r>
        <w:rPr>
          <w:rFonts w:hint="eastAsia"/>
          <w:lang w:val="zh-CN"/>
        </w:rPr>
        <w:t>【重大政策措施跟踪审计】</w:t>
      </w:r>
    </w:p>
    <w:p w14:paraId="697FEE6B">
      <w:pPr>
        <w:bidi w:val="0"/>
        <w:rPr>
          <w:rFonts w:hint="eastAsia"/>
          <w:lang w:val="zh-CN"/>
        </w:rPr>
      </w:pPr>
      <w:r>
        <w:rPr>
          <w:rFonts w:hint="eastAsia"/>
          <w:lang w:val="zh-CN"/>
        </w:rPr>
        <w:t>围绕稳增长、促改革、调结构、惠民生、防风险的政策目标，防范化解政府债务风险，对去杠杆行动推进和政府性债务等情况进行审计；同时，还对房地产去库存行动、简政放权、支持实体经济“新十条”落实等其他重大政策措施落实情况进行跟踪审计。</w:t>
      </w:r>
    </w:p>
    <w:p w14:paraId="40F684E4">
      <w:pPr>
        <w:pStyle w:val="4"/>
        <w:bidi w:val="0"/>
        <w:rPr>
          <w:rFonts w:hint="eastAsia"/>
          <w:lang w:val="zh-CN"/>
        </w:rPr>
      </w:pPr>
      <w:r>
        <w:rPr>
          <w:rFonts w:hint="eastAsia"/>
          <w:lang w:val="zh-CN"/>
        </w:rPr>
        <w:t>【预算执行审计】</w:t>
      </w:r>
    </w:p>
    <w:p w14:paraId="25B29940">
      <w:pPr>
        <w:bidi w:val="0"/>
        <w:rPr>
          <w:rFonts w:hint="eastAsia"/>
          <w:lang w:val="zh-CN"/>
        </w:rPr>
      </w:pPr>
      <w:r>
        <w:rPr>
          <w:rFonts w:hint="eastAsia"/>
          <w:lang w:val="zh-CN"/>
        </w:rPr>
        <w:t>扎实开展2017年度预算执行审计。组成3个审计组对2017年度本级预算执行和其他财政收支情况与交通局、商务局、机关事务局等单位部门预算执行情况全面开展审计。以完善财政管理、促进财政做大增量、盘活存量、优化支出结构、防范化解重大风险、提高财政资金使用效益为目标，进一步深化预算执行、重大公共投资项目和重点专项资金等审计，促进预算安排和资金分配更加科学、规范，促进提高财政资金使用绩效。</w:t>
      </w:r>
    </w:p>
    <w:p w14:paraId="18C4D073">
      <w:pPr>
        <w:pStyle w:val="4"/>
        <w:bidi w:val="0"/>
        <w:rPr>
          <w:rFonts w:hint="eastAsia"/>
          <w:lang w:val="zh-CN"/>
        </w:rPr>
      </w:pPr>
      <w:r>
        <w:rPr>
          <w:rFonts w:hint="eastAsia"/>
          <w:lang w:val="zh-CN"/>
        </w:rPr>
        <w:t>【经济责任审计】</w:t>
      </w:r>
    </w:p>
    <w:p w14:paraId="6B8315FD">
      <w:pPr>
        <w:bidi w:val="0"/>
        <w:rPr>
          <w:rFonts w:hint="eastAsia"/>
          <w:lang w:val="zh-CN"/>
        </w:rPr>
      </w:pPr>
      <w:r>
        <w:rPr>
          <w:rFonts w:hint="eastAsia"/>
          <w:lang w:val="zh-CN"/>
        </w:rPr>
        <w:t>2月5日，召开全市经济责任审计工作领导小组会议，总结2017年经济责任审计工作，并对2018年工作进行安排。制定《南雄市市管领导干部经济责任履行情况年度报告制度》，对商务局等单位进行任期经济责任审计，查出管理不规范金额212万元，提出审计建议28条。7月11日，邀请韶关市审计局党组书记、局长陈大川在市委理论学习中心组专题学习（扩大）会议上为全市600多位领导干部作审计知识辅导讲座。</w:t>
      </w:r>
    </w:p>
    <w:p w14:paraId="47A3F5F2">
      <w:pPr>
        <w:pStyle w:val="4"/>
        <w:bidi w:val="0"/>
        <w:rPr>
          <w:rFonts w:hint="eastAsia"/>
          <w:lang w:val="zh-CN"/>
        </w:rPr>
      </w:pPr>
      <w:r>
        <w:rPr>
          <w:rFonts w:hint="eastAsia"/>
          <w:lang w:val="zh-CN"/>
        </w:rPr>
        <w:t>【扶贫资金审计】</w:t>
      </w:r>
    </w:p>
    <w:p w14:paraId="32D04C93">
      <w:pPr>
        <w:bidi w:val="0"/>
        <w:rPr>
          <w:rFonts w:hint="eastAsia"/>
          <w:lang w:val="zh-CN"/>
        </w:rPr>
      </w:pPr>
      <w:r>
        <w:rPr>
          <w:rFonts w:hint="eastAsia"/>
          <w:lang w:val="zh-CN"/>
        </w:rPr>
        <w:t>受韶关市审计局委托，对乐昌市精准扶贫精准脱贫情况进行审计，通过对该市精准扶贫精准脱贫、贫困村创建社会主义新农村示范村以及农村人居环境整治等工作和资金使用情况进行审计，推动扶贫政策的落实，规范扶贫资金管理，维护扶贫资金安全，揭示存在突出问题，并有针对性地提出审计建议。从群众最关心、最迫切、最直接方面入手，围绕扶贫领域和农村集体“三资”领域腐败问题开展各项审计工作。</w:t>
      </w:r>
    </w:p>
    <w:p w14:paraId="0016997E">
      <w:pPr>
        <w:pStyle w:val="4"/>
        <w:bidi w:val="0"/>
        <w:rPr>
          <w:rFonts w:hint="eastAsia"/>
          <w:lang w:val="zh-CN"/>
        </w:rPr>
      </w:pPr>
      <w:r>
        <w:rPr>
          <w:rFonts w:hint="eastAsia"/>
          <w:lang w:val="zh-CN"/>
        </w:rPr>
        <w:t>【国有企业审计】</w:t>
      </w:r>
    </w:p>
    <w:p w14:paraId="1FD8AFA6">
      <w:pPr>
        <w:bidi w:val="0"/>
        <w:rPr>
          <w:rFonts w:hint="eastAsia"/>
          <w:lang w:val="zh-CN"/>
        </w:rPr>
      </w:pPr>
      <w:r>
        <w:rPr>
          <w:rFonts w:hint="eastAsia"/>
          <w:lang w:val="zh-CN"/>
        </w:rPr>
        <w:t>围绕加强国有资产监管，促进国有企业转型升级，提高国有资本经营效益，对翠屏股份有限公司和市园方公司的财务收支情况进行审计，重点关注企业在经营管理、经营效益、经营风险以及人员的薪金奖金发放、遵守中央八项规定等方面存在的问题。</w:t>
      </w:r>
    </w:p>
    <w:p w14:paraId="4AF3871B">
      <w:pPr>
        <w:pStyle w:val="4"/>
        <w:bidi w:val="0"/>
        <w:rPr>
          <w:rFonts w:hint="eastAsia"/>
          <w:lang w:val="zh-CN"/>
        </w:rPr>
      </w:pPr>
      <w:r>
        <w:rPr>
          <w:rFonts w:hint="eastAsia"/>
          <w:lang w:val="zh-CN"/>
        </w:rPr>
        <w:t>【服务社会发展】</w:t>
      </w:r>
    </w:p>
    <w:p w14:paraId="026FDF7E">
      <w:pPr>
        <w:bidi w:val="0"/>
        <w:rPr>
          <w:rFonts w:hint="eastAsia"/>
          <w:lang w:val="zh-CN"/>
        </w:rPr>
      </w:pPr>
      <w:r>
        <w:rPr>
          <w:rFonts w:hint="eastAsia"/>
          <w:lang w:val="zh-CN"/>
        </w:rPr>
        <w:t>按要求到坪田镇坪田、坪湖、新墟3个挂点联系村进行走访，了解各村党建以及精准扶贫、新农村建设等工作情况，并围绕习近平总书记参加广东代表团审议时的重要讲话和习近平总书记视察广东重要讲话精神，由党组书记、局长张政平同志和党组成员、副局长何小华同志分别为村党员干部群众上了三堂党课。到珠玑镇中心小学和南雄中学进行走访和开展教师节慰问，与市教育局及学校领导就学校建设事项进行座谈。做好挂点联系企业工作，全年8次到雄丰涂料化工有限公司和长祺化学工业有限公司进行走访，认真了解企业经营情况、安全生产、企业党建和当前的困难等各方面情况，并按要求进行上报协调。</w:t>
      </w:r>
      <w:r>
        <w:rPr>
          <w:rFonts w:hint="eastAsia"/>
          <w:b/>
          <w:bCs/>
          <w:lang w:val="zh-CN"/>
        </w:rPr>
        <w:t>（邬惠雄）</w:t>
      </w:r>
    </w:p>
    <w:p w14:paraId="23E55745">
      <w:pPr>
        <w:pStyle w:val="11"/>
        <w:bidi w:val="0"/>
        <w:rPr>
          <w:rFonts w:hint="eastAsia"/>
          <w:b/>
          <w:bCs/>
          <w:lang w:val="zh-CN"/>
        </w:rPr>
      </w:pPr>
      <w:r>
        <w:rPr>
          <w:rFonts w:hint="eastAsia"/>
          <w:b/>
          <w:bCs/>
          <w:lang w:val="zh-CN"/>
        </w:rPr>
        <w:t>附：2018年市审计局领导班子成员名单</w:t>
      </w:r>
    </w:p>
    <w:p w14:paraId="0C2944DB">
      <w:pPr>
        <w:pStyle w:val="11"/>
        <w:bidi w:val="0"/>
        <w:rPr>
          <w:rFonts w:hint="eastAsia"/>
          <w:b w:val="0"/>
          <w:bCs w:val="0"/>
          <w:lang w:val="zh-CN"/>
        </w:rPr>
      </w:pPr>
      <w:r>
        <w:rPr>
          <w:rFonts w:hint="eastAsia"/>
          <w:b/>
          <w:bCs/>
          <w:lang w:val="zh-CN"/>
        </w:rPr>
        <w:t>党组书记、局长：</w:t>
      </w:r>
      <w:r>
        <w:rPr>
          <w:rFonts w:hint="eastAsia"/>
          <w:b w:val="0"/>
          <w:bCs w:val="0"/>
          <w:lang w:val="zh-CN"/>
        </w:rPr>
        <w:t>张政平</w:t>
      </w:r>
    </w:p>
    <w:p w14:paraId="79076BD3">
      <w:pPr>
        <w:pStyle w:val="11"/>
        <w:bidi w:val="0"/>
        <w:rPr>
          <w:rFonts w:hint="eastAsia"/>
          <w:lang w:val="zh-CN"/>
        </w:rPr>
      </w:pPr>
      <w:r>
        <w:rPr>
          <w:rFonts w:hint="eastAsia"/>
          <w:b/>
          <w:bCs/>
          <w:lang w:val="zh-CN"/>
        </w:rPr>
        <w:t>党组成员、副局长：</w:t>
      </w:r>
      <w:r>
        <w:rPr>
          <w:rFonts w:hint="eastAsia"/>
          <w:lang w:val="zh-CN"/>
        </w:rPr>
        <w:t>何小华</w:t>
      </w:r>
    </w:p>
    <w:p w14:paraId="56FFFD89">
      <w:pPr>
        <w:pStyle w:val="11"/>
        <w:bidi w:val="0"/>
        <w:ind w:leftChars="900"/>
        <w:rPr>
          <w:rFonts w:hint="eastAsia"/>
          <w:lang w:val="zh-CN"/>
        </w:rPr>
      </w:pPr>
      <w:r>
        <w:rPr>
          <w:rFonts w:hint="eastAsia"/>
          <w:lang w:val="zh-CN"/>
        </w:rPr>
        <w:t>朱志康（任至1月）</w:t>
      </w:r>
    </w:p>
    <w:p w14:paraId="06EAE1C5">
      <w:pPr>
        <w:pStyle w:val="2"/>
        <w:bidi w:val="0"/>
        <w:rPr>
          <w:rFonts w:hint="eastAsia"/>
        </w:rPr>
      </w:pPr>
      <w:r>
        <w:rPr>
          <w:rFonts w:hint="eastAsia"/>
        </w:rPr>
        <w:t>财政·税收·金融</w:t>
      </w:r>
    </w:p>
    <w:p w14:paraId="3EFC8771">
      <w:pPr>
        <w:pStyle w:val="3"/>
        <w:bidi w:val="0"/>
        <w:rPr>
          <w:rFonts w:hint="eastAsia"/>
          <w:lang w:val="zh-CN"/>
        </w:rPr>
      </w:pPr>
      <w:r>
        <w:rPr>
          <w:rFonts w:hint="eastAsia"/>
          <w:lang w:val="zh-CN"/>
        </w:rPr>
        <w:t>财政</w:t>
      </w:r>
    </w:p>
    <w:p w14:paraId="1EFDCDD2">
      <w:pPr>
        <w:pStyle w:val="4"/>
        <w:bidi w:val="0"/>
        <w:rPr>
          <w:rFonts w:hint="eastAsia"/>
          <w:lang w:val="zh-CN"/>
        </w:rPr>
      </w:pPr>
      <w:r>
        <w:rPr>
          <w:rFonts w:hint="eastAsia"/>
          <w:lang w:val="zh-CN"/>
        </w:rPr>
        <w:t>【概况】</w:t>
      </w:r>
    </w:p>
    <w:p w14:paraId="79C26B0F">
      <w:pPr>
        <w:bidi w:val="0"/>
        <w:rPr>
          <w:rFonts w:hint="eastAsia"/>
          <w:lang w:val="zh-CN"/>
        </w:rPr>
      </w:pPr>
      <w:r>
        <w:rPr>
          <w:rFonts w:hint="eastAsia"/>
          <w:lang w:val="zh-CN"/>
        </w:rPr>
        <w:t>南雄市财政局内设办公室、预算股、国库股等19个股室（中心），下设政府采购办、国库支付中心、公共资产管理中心、投资评审中心4个副科级事业单位，其中行政编制119人（含参公76人），事业编制8人。政府采购办、国库支付中心、公共资产管理中心参照公务员管理。管辖雄州、珠玑等18个镇（街道）财政所。财政局党总支下设局机关党支部和老干部党支部。</w:t>
      </w:r>
    </w:p>
    <w:p w14:paraId="5C68C71F">
      <w:pPr>
        <w:pStyle w:val="4"/>
        <w:bidi w:val="0"/>
        <w:rPr>
          <w:rFonts w:hint="eastAsia"/>
          <w:lang w:val="zh-CN"/>
        </w:rPr>
      </w:pPr>
      <w:r>
        <w:rPr>
          <w:rFonts w:hint="eastAsia"/>
          <w:lang w:val="zh-CN"/>
        </w:rPr>
        <w:t>【社会民生改善】</w:t>
      </w:r>
    </w:p>
    <w:p w14:paraId="23969A81">
      <w:pPr>
        <w:bidi w:val="0"/>
        <w:rPr>
          <w:rFonts w:hint="eastAsia"/>
          <w:lang w:val="zh-CN"/>
        </w:rPr>
      </w:pPr>
      <w:r>
        <w:rPr>
          <w:rFonts w:hint="eastAsia"/>
          <w:lang w:val="zh-CN"/>
        </w:rPr>
        <w:t>2018年，全市用于教育、医疗卫生、社会保障和就业、住房保障等民生支出30.85亿元，占一般公共预算支出的82.5%；省十件民生实事支出6487万元，完成年初预算的100%。</w:t>
      </w:r>
    </w:p>
    <w:p w14:paraId="51A57E60">
      <w:pPr>
        <w:bidi w:val="0"/>
        <w:rPr>
          <w:rFonts w:hint="eastAsia"/>
          <w:lang w:val="zh-CN"/>
        </w:rPr>
      </w:pPr>
      <w:r>
        <w:rPr>
          <w:rFonts w:hint="eastAsia"/>
          <w:lang w:val="zh-CN"/>
        </w:rPr>
        <w:t>推进教育现代化建设。全年教育支出6亿元。拨付城乡义务教育公用经费6002万元；投入3368万元，推进教育现代化建设和农村寄宿制学校建设；支付山区和农村教师生活补助2690万元；安排717万元，建成特殊教育学校多功能楼、机关幼儿园总园、财贸幼儿园八一路校区；投入2396万元，扩建铺背小学和南雄中学。</w:t>
      </w:r>
    </w:p>
    <w:p w14:paraId="3047BB45">
      <w:pPr>
        <w:bidi w:val="0"/>
        <w:rPr>
          <w:rFonts w:hint="eastAsia"/>
          <w:lang w:val="zh-CN"/>
        </w:rPr>
      </w:pPr>
      <w:r>
        <w:rPr>
          <w:rFonts w:hint="eastAsia"/>
          <w:lang w:val="zh-CN"/>
        </w:rPr>
        <w:t>不断完善社会保障体系。全年累计发放城乡居民基本医疗保险补贴1.65亿元，城乡居民基本养老保险补贴1.1亿元，城乡居民最低生活保障补助4116万元。财政支付安排2426万元抚恤和各项救助；安排2647万元，为残疾人提供各项救助和生活保障；安排1506万元落实自然灾害和各项临时救助政策。</w:t>
      </w:r>
    </w:p>
    <w:p w14:paraId="6EBB2182">
      <w:pPr>
        <w:bidi w:val="0"/>
        <w:rPr>
          <w:rFonts w:hint="eastAsia"/>
          <w:lang w:val="zh-CN"/>
        </w:rPr>
      </w:pPr>
      <w:r>
        <w:rPr>
          <w:rFonts w:hint="eastAsia"/>
          <w:lang w:val="zh-CN"/>
        </w:rPr>
        <w:t>加快农田水利设施建设。全年用于农林水支出近8亿元。投入1.4亿元，建设高标农田和改造中低产田；安排6899万元用于中小河流治理和大中型水库移民项目建设；投入1000万元，用于病险山塘工程建设；投入165万元，用于小型灌区、瀑布灌区、凌江灌区等工程改造。</w:t>
      </w:r>
    </w:p>
    <w:p w14:paraId="6D4EA731">
      <w:pPr>
        <w:bidi w:val="0"/>
        <w:rPr>
          <w:rFonts w:hint="eastAsia"/>
          <w:lang w:val="zh-CN"/>
        </w:rPr>
      </w:pPr>
      <w:r>
        <w:rPr>
          <w:rFonts w:hint="eastAsia"/>
          <w:lang w:val="zh-CN"/>
        </w:rPr>
        <w:t>支持文化旅游事业发展。投入752万元，对南粤雄关与古道文物进行修缮；投入745万元，用于雄州体育馆周边环境提升和完善图书馆、档案馆的后续建设；投入622万元建设行政村（社区）基层综合性文化服务中心；投入604万元支持旅游行业发展。</w:t>
      </w:r>
    </w:p>
    <w:p w14:paraId="1490CCD3">
      <w:pPr>
        <w:pStyle w:val="4"/>
        <w:bidi w:val="0"/>
        <w:rPr>
          <w:rFonts w:hint="eastAsia"/>
          <w:lang w:val="zh-CN"/>
        </w:rPr>
      </w:pPr>
      <w:r>
        <w:rPr>
          <w:rFonts w:hint="eastAsia"/>
          <w:lang w:val="zh-CN"/>
        </w:rPr>
        <w:t>【重点领域保障】</w:t>
      </w:r>
    </w:p>
    <w:p w14:paraId="6BD5A7C6">
      <w:pPr>
        <w:bidi w:val="0"/>
        <w:rPr>
          <w:rFonts w:hint="eastAsia"/>
          <w:lang w:val="zh-CN"/>
        </w:rPr>
      </w:pPr>
      <w:r>
        <w:rPr>
          <w:rFonts w:hint="eastAsia"/>
          <w:lang w:val="zh-CN"/>
        </w:rPr>
        <w:t>助力中小企业融资。安排1000万元作为中小企业贷款风险补偿基金，充分发挥财政资金的杠杆效应和导向作用，引导鼓励金融机构加大对中小微企业的信贷支持力度。开展脱贫攻坚战，至2018年投入精准扶贫资金3.86亿元，支出率达98.5%，最大限度发挥扶贫资金的作用，助力实现1064户3262人预脱贫。推进乡村振兴战略。全年投入4.13亿元，推进68个省定贫困村创建社会主义新农村示范村和农村人居生态环境综合整改，大大改善农村人居环境。加大基层党建经费保障，提高村居“两委”干部补贴标准和办公经费补助标准，新设立村级党组织服务群众专项经费、村（社区）党组织书记绩效奖励经费，以及“两新”组织专兼职党组织书记和党建指导员补贴等。支持城市基础设施建设。筹集资金1500万元支持北城大道建设，安排4300万元改造北城区危旧房和污水管网；改造提升繁荣市场资金达300万元；投入1100万元用于城区街道亮化美化工程建设。财政投入4739万元，建设改造辖区道路，完成旅游路、资源路、产业路的改造升级；安排2716万元用于辖区内国道和省道的改造。</w:t>
      </w:r>
    </w:p>
    <w:p w14:paraId="19A5170C">
      <w:pPr>
        <w:pStyle w:val="4"/>
        <w:bidi w:val="0"/>
        <w:rPr>
          <w:rFonts w:hint="eastAsia"/>
          <w:lang w:val="zh-CN"/>
        </w:rPr>
      </w:pPr>
      <w:r>
        <w:rPr>
          <w:rFonts w:hint="eastAsia"/>
          <w:lang w:val="zh-CN"/>
        </w:rPr>
        <w:t>【财政改革成效】</w:t>
      </w:r>
    </w:p>
    <w:p w14:paraId="20243D7F">
      <w:pPr>
        <w:bidi w:val="0"/>
        <w:rPr>
          <w:rFonts w:hint="eastAsia"/>
          <w:lang w:val="zh-CN"/>
        </w:rPr>
      </w:pPr>
      <w:r>
        <w:rPr>
          <w:rFonts w:hint="eastAsia"/>
          <w:lang w:val="zh-CN"/>
        </w:rPr>
        <w:t>推动预算编制执行监督管理改革。建立财政预算项目库，组织各预算单位完成2019年项目入库申报工作，建立项目常态化入库机制，严格项目绩效目标评审，提高入库项目质量，做实做细项目库建设。通过筹措本级资金、争取省级债券、债务核销等方式积极化解政府债务，及时足额偿还到期债务。2018年政府债务余额12.13亿元，没有突破省财厅下达南雄13.86亿元债务限额，债务风险在可控范围。统筹整合各类涉农资金1.52亿元，分别投入到新农村连片示范建设、开发高标农田、拓宽农村无线宽带覆盖等19个涉农民生项目。全面实施电子化政府采购。规范批量集中采购、定点采购、电商直购、网上竞价等采购程序。全年完成政府采购972宗，采购预算7.48亿元，实际采购金额6.43亿元，节约资金1.05亿元，节约率15.56%。扩大国库集中支付覆盖面，全年完成集中支付业务2.96万宗，集中支付金额60.26亿元。加强预算执行动态监管，各预算单位纳入监控系统，实时监控财政资金动态，逐步推进财务核算信息集中监管改革，纳入监管系统的预算单位27个。</w:t>
      </w:r>
    </w:p>
    <w:p w14:paraId="5B5B365B">
      <w:pPr>
        <w:pStyle w:val="4"/>
        <w:bidi w:val="0"/>
        <w:rPr>
          <w:rFonts w:hint="eastAsia"/>
          <w:lang w:val="zh-CN"/>
        </w:rPr>
      </w:pPr>
      <w:r>
        <w:rPr>
          <w:rFonts w:hint="eastAsia"/>
          <w:lang w:val="zh-CN"/>
        </w:rPr>
        <w:t>【财政管理规范】</w:t>
      </w:r>
    </w:p>
    <w:p w14:paraId="61E07981">
      <w:pPr>
        <w:bidi w:val="0"/>
        <w:rPr>
          <w:rFonts w:hint="eastAsia"/>
          <w:lang w:val="zh-CN"/>
        </w:rPr>
      </w:pPr>
      <w:r>
        <w:rPr>
          <w:rFonts w:hint="eastAsia"/>
          <w:lang w:val="zh-CN"/>
        </w:rPr>
        <w:t>重点关注基层财政收支、银行账户、票据及财务会计的管理等，对检查发现的问题要求在规定时限内整改。推进财政扶贫资金动态监控，以财政扶贫资金动态监控平台为支撑，规范扶贫资金的分解使用，对支付项目进行检查监督。继续规范预决算公开，明确公开主体、时间、方式和内容，确保公开制度化、常态化、规范化，并贯穿财政改革和管理全过程。清理行政事业单位资产，全面摸清政府资产，加强国有资产管理，细化公务支出管理。</w:t>
      </w:r>
    </w:p>
    <w:p w14:paraId="2E7EF20D">
      <w:pPr>
        <w:bidi w:val="0"/>
        <w:jc w:val="right"/>
        <w:rPr>
          <w:rFonts w:hint="eastAsia"/>
          <w:b w:val="0"/>
          <w:bCs w:val="0"/>
          <w:lang w:val="zh-CN"/>
        </w:rPr>
      </w:pPr>
      <w:r>
        <w:rPr>
          <w:rFonts w:hint="eastAsia"/>
          <w:b w:val="0"/>
          <w:bCs w:val="0"/>
          <w:lang w:val="zh-CN"/>
        </w:rPr>
        <w:t>（刘冬花）</w:t>
      </w:r>
    </w:p>
    <w:p w14:paraId="35BB036E">
      <w:pPr>
        <w:pStyle w:val="11"/>
        <w:bidi w:val="0"/>
        <w:rPr>
          <w:rFonts w:hint="eastAsia"/>
          <w:b w:val="0"/>
          <w:bCs w:val="0"/>
          <w:lang w:val="zh-CN"/>
        </w:rPr>
      </w:pPr>
      <w:r>
        <w:rPr>
          <w:rFonts w:hint="eastAsia"/>
          <w:b w:val="0"/>
          <w:bCs w:val="0"/>
          <w:lang w:val="zh-CN"/>
        </w:rPr>
        <w:t>附：2018年市财政局领导班子成员名单</w:t>
      </w:r>
    </w:p>
    <w:p w14:paraId="649F45A6">
      <w:pPr>
        <w:pStyle w:val="11"/>
        <w:bidi w:val="0"/>
        <w:rPr>
          <w:rFonts w:hint="eastAsia"/>
          <w:lang w:val="zh-CN"/>
        </w:rPr>
      </w:pPr>
      <w:r>
        <w:rPr>
          <w:rFonts w:hint="eastAsia"/>
          <w:b/>
          <w:bCs/>
          <w:lang w:val="zh-CN"/>
        </w:rPr>
        <w:t>党组书记、局长：</w:t>
      </w:r>
      <w:r>
        <w:rPr>
          <w:rFonts w:hint="eastAsia"/>
          <w:lang w:val="zh-CN"/>
        </w:rPr>
        <w:t>姚远华</w:t>
      </w:r>
    </w:p>
    <w:p w14:paraId="66CB8085">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张成林</w:t>
      </w:r>
      <w:r>
        <w:rPr>
          <w:rFonts w:hint="eastAsia"/>
          <w:lang w:val="en-US" w:eastAsia="zh-CN"/>
        </w:rPr>
        <w:t xml:space="preserve">   </w:t>
      </w:r>
      <w:r>
        <w:rPr>
          <w:rFonts w:hint="eastAsia"/>
          <w:lang w:val="zh-CN"/>
        </w:rPr>
        <w:t>张琼丹</w:t>
      </w:r>
    </w:p>
    <w:p w14:paraId="505B0603">
      <w:pPr>
        <w:pStyle w:val="11"/>
        <w:bidi w:val="0"/>
        <w:ind w:leftChars="500"/>
        <w:rPr>
          <w:rFonts w:hint="eastAsia"/>
          <w:lang w:val="zh-CN"/>
        </w:rPr>
      </w:pPr>
      <w:r>
        <w:rPr>
          <w:rFonts w:hint="eastAsia"/>
          <w:lang w:val="zh-CN"/>
        </w:rPr>
        <w:t>刘显红</w:t>
      </w:r>
    </w:p>
    <w:p w14:paraId="5A23E9A4">
      <w:pPr>
        <w:pStyle w:val="11"/>
        <w:bidi w:val="0"/>
        <w:rPr>
          <w:rFonts w:hint="eastAsia"/>
          <w:lang w:val="zh-CN"/>
        </w:rPr>
      </w:pPr>
      <w:r>
        <w:rPr>
          <w:rFonts w:hint="eastAsia"/>
          <w:b/>
          <w:bCs/>
          <w:lang w:val="zh-CN"/>
        </w:rPr>
        <w:t>工会主席：</w:t>
      </w:r>
      <w:r>
        <w:rPr>
          <w:rFonts w:hint="eastAsia"/>
          <w:lang w:val="zh-CN"/>
        </w:rPr>
        <w:t>凌海滨</w:t>
      </w:r>
    </w:p>
    <w:p w14:paraId="545F79A3">
      <w:pPr>
        <w:pStyle w:val="11"/>
        <w:bidi w:val="0"/>
        <w:rPr>
          <w:rFonts w:hint="eastAsia"/>
          <w:b/>
          <w:bCs/>
          <w:lang w:val="zh-CN"/>
        </w:rPr>
      </w:pPr>
      <w:r>
        <w:rPr>
          <w:rFonts w:hint="eastAsia"/>
          <w:b/>
          <w:bCs/>
          <w:lang w:val="zh-CN"/>
        </w:rPr>
        <w:t>总会计师：</w:t>
      </w:r>
      <w:r>
        <w:rPr>
          <w:rFonts w:hint="eastAsia"/>
          <w:b w:val="0"/>
          <w:bCs w:val="0"/>
          <w:lang w:val="zh-CN"/>
        </w:rPr>
        <w:t>郭才赞</w:t>
      </w:r>
    </w:p>
    <w:p w14:paraId="338C15A7">
      <w:pPr>
        <w:pStyle w:val="11"/>
        <w:bidi w:val="0"/>
        <w:rPr>
          <w:rFonts w:hint="eastAsia"/>
          <w:b/>
          <w:bCs/>
          <w:lang w:val="zh-CN"/>
        </w:rPr>
      </w:pPr>
      <w:r>
        <w:rPr>
          <w:rFonts w:hint="eastAsia"/>
          <w:b/>
          <w:bCs/>
          <w:lang w:val="zh-CN"/>
        </w:rPr>
        <w:t>非税收入征收管理局局长：</w:t>
      </w:r>
    </w:p>
    <w:p w14:paraId="32D31D89">
      <w:pPr>
        <w:pStyle w:val="11"/>
        <w:bidi w:val="0"/>
        <w:ind w:leftChars="500"/>
        <w:rPr>
          <w:rFonts w:hint="eastAsia"/>
          <w:lang w:val="zh-CN"/>
        </w:rPr>
      </w:pPr>
      <w:r>
        <w:rPr>
          <w:rFonts w:hint="eastAsia"/>
          <w:lang w:val="zh-CN"/>
        </w:rPr>
        <w:t>黄卫斌</w:t>
      </w:r>
    </w:p>
    <w:p w14:paraId="13C34E19">
      <w:pPr>
        <w:pStyle w:val="3"/>
        <w:bidi w:val="0"/>
        <w:rPr>
          <w:rFonts w:hint="eastAsia"/>
          <w:lang w:val="zh-CN"/>
        </w:rPr>
      </w:pPr>
      <w:r>
        <w:rPr>
          <w:rFonts w:hint="eastAsia"/>
          <w:lang w:val="zh-CN"/>
        </w:rPr>
        <w:t>税务</w:t>
      </w:r>
    </w:p>
    <w:p w14:paraId="34924BAF">
      <w:pPr>
        <w:pStyle w:val="4"/>
        <w:bidi w:val="0"/>
        <w:rPr>
          <w:rFonts w:hint="eastAsia"/>
          <w:lang w:val="zh-CN"/>
        </w:rPr>
      </w:pPr>
      <w:r>
        <w:rPr>
          <w:rFonts w:hint="eastAsia"/>
          <w:lang w:val="zh-CN"/>
        </w:rPr>
        <w:t>【概况】</w:t>
      </w:r>
    </w:p>
    <w:p w14:paraId="2EAB9A61">
      <w:pPr>
        <w:bidi w:val="0"/>
        <w:rPr>
          <w:rFonts w:hint="eastAsia"/>
          <w:lang w:val="zh-CN"/>
        </w:rPr>
      </w:pPr>
      <w:r>
        <w:rPr>
          <w:rFonts w:hint="eastAsia"/>
          <w:lang w:val="zh-CN"/>
        </w:rPr>
        <w:t>国家税务总局南雄市税务局为国家税务总局韶关市税务局领导的直属机构，正科级。为贯彻落实国税地税征管体制改革，原南雄市国家税务局、原南雄市地方税务局机构合并，于2018年7月20日正式挂牌成立国家税务总局南雄市税务局。10月30日，8个分局挂牌，12月30日前完成社保和非税收入职责划转。机构合并后，南雄市税务局设11个内设机构、2个事业单位，级别均为正股级；设8个派出机构，级别为副科级。内设机构：办公室、税政一股、税政二股、社会保险费和非税收入股、收入核算股、纳税服务股、征收管理股、税源管理股、风险管理股、财务管理股、人事教育股。派出机构：第一税务分局（办税服务厅）、第二税务分局、雄州税务分局、珠玑税务分局、全安税务分局、澜河税务分局、黄坑税务分局、乌迳税务分局。事业单位：信息中心、规费服务中心。7月机构合并之初，全局在职干部职工216人，2018年12月底，因到龄退休等原因减少到213人。2018年，南雄市税务局被南雄市委、市政府评为“南雄市精神文明建设先进单位”。</w:t>
      </w:r>
    </w:p>
    <w:p w14:paraId="1A52D1AE">
      <w:pPr>
        <w:pStyle w:val="4"/>
        <w:bidi w:val="0"/>
        <w:rPr>
          <w:rFonts w:hint="eastAsia"/>
          <w:lang w:val="zh-CN"/>
        </w:rPr>
      </w:pPr>
      <w:r>
        <w:rPr>
          <w:rFonts w:hint="eastAsia"/>
          <w:lang w:val="zh-CN"/>
        </w:rPr>
        <w:t>【税费收入】</w:t>
      </w:r>
    </w:p>
    <w:p w14:paraId="03B4306A">
      <w:pPr>
        <w:bidi w:val="0"/>
        <w:rPr>
          <w:rFonts w:hint="eastAsia"/>
          <w:lang w:val="zh-CN"/>
        </w:rPr>
      </w:pPr>
      <w:r>
        <w:rPr>
          <w:rFonts w:hint="eastAsia"/>
          <w:lang w:val="zh-CN"/>
        </w:rPr>
        <w:t>2018年，全局组织税费收入14.36亿元，同比增收2.25亿元，增幅18.66%。其中，税收收入8.25亿元，同比增收1254万元，增幅1.54%；本级收入3.38亿元，剔除耕地占用税后，本级收入同比增收3375万元，增幅11.64%。生产经营性税收增长幅度超过30%。社保费收入5.77亿元，同比增收2.05亿元，增幅55.29%；其他规费收入3452万元，同比增收797万元，增幅30.06%。为南雄经济发展提供财力保障。</w:t>
      </w:r>
    </w:p>
    <w:p w14:paraId="4211E69C">
      <w:pPr>
        <w:pStyle w:val="4"/>
        <w:bidi w:val="0"/>
        <w:rPr>
          <w:rFonts w:hint="eastAsia"/>
          <w:lang w:val="zh-CN"/>
        </w:rPr>
      </w:pPr>
      <w:r>
        <w:rPr>
          <w:rFonts w:hint="eastAsia"/>
          <w:lang w:val="zh-CN"/>
        </w:rPr>
        <w:t>【税收征管】</w:t>
      </w:r>
    </w:p>
    <w:p w14:paraId="4DE82B92">
      <w:pPr>
        <w:bidi w:val="0"/>
        <w:rPr>
          <w:rFonts w:hint="eastAsia"/>
          <w:lang w:val="zh-CN"/>
        </w:rPr>
      </w:pPr>
      <w:r>
        <w:rPr>
          <w:rFonts w:hint="eastAsia"/>
          <w:lang w:val="zh-CN"/>
        </w:rPr>
        <w:t>提前做好重点税源的调研摸底和征收管理。强化对组织收入分析的研判力度；做好新税种“环保税”的开征和后续管理；实现个人出租房屋相关税费委托代征，进一步优化征管资源配置；加强税收疑点数据核查，强化风险防控力度。强化欠税清理，关注欠税大户的经营状况及资金情况，督促企业做出清偿计划；多举措深化落实税费优惠政策，持续优化营商环境。通过减税负，降费率，释放企业发展动能，提升企业竞争能力。推进银税互动，助力企业发展。</w:t>
      </w:r>
    </w:p>
    <w:p w14:paraId="0CED5FFB">
      <w:pPr>
        <w:pStyle w:val="4"/>
        <w:bidi w:val="0"/>
        <w:rPr>
          <w:rFonts w:hint="eastAsia"/>
          <w:lang w:val="zh-CN"/>
        </w:rPr>
      </w:pPr>
      <w:r>
        <w:rPr>
          <w:rFonts w:hint="eastAsia"/>
          <w:lang w:val="zh-CN"/>
        </w:rPr>
        <w:t>【党风廉政】</w:t>
      </w:r>
    </w:p>
    <w:p w14:paraId="7C2CF59E">
      <w:pPr>
        <w:bidi w:val="0"/>
        <w:rPr>
          <w:rFonts w:hint="eastAsia"/>
          <w:lang w:val="zh-CN"/>
        </w:rPr>
      </w:pPr>
      <w:r>
        <w:rPr>
          <w:rFonts w:hint="eastAsia"/>
          <w:lang w:val="zh-CN"/>
        </w:rPr>
        <w:t>强化廉政教育。扎实开展纪律教育学习月活动，组织党员干部观看警示教育片，参观廉政教育基地，学习党内法规，开展预防职务犯罪专题讲座，以案示警，引导党员干部严守政治纪律和政治规矩，增强遵守各项制度、各项廉政规定的自觉性。强化纪律监督。在节假日向全体干部职工推送短信、微信廉政提醒；加强“八小时以外”活动监督管理，领导带头签订“八小时以外”活动承诺书，组织副科级以上领导干部及其家属签订家庭助廉承诺书。强化作风建设。聚焦懒政不为，把握关键少数。明确规定十种违反中央八项规定、“四风”及工作纪律行为处理暂行办法。</w:t>
      </w:r>
    </w:p>
    <w:p w14:paraId="41461B41">
      <w:pPr>
        <w:bidi w:val="0"/>
        <w:jc w:val="right"/>
        <w:rPr>
          <w:rFonts w:hint="eastAsia"/>
          <w:b/>
          <w:bCs/>
          <w:lang w:val="zh-CN"/>
        </w:rPr>
      </w:pPr>
      <w:r>
        <w:rPr>
          <w:rFonts w:hint="eastAsia"/>
          <w:b/>
          <w:bCs/>
          <w:lang w:val="zh-CN"/>
        </w:rPr>
        <w:t>（杨玉杰）</w:t>
      </w:r>
    </w:p>
    <w:p w14:paraId="291DA259">
      <w:pPr>
        <w:pStyle w:val="11"/>
        <w:bidi w:val="0"/>
        <w:rPr>
          <w:rFonts w:hint="eastAsia"/>
          <w:b/>
          <w:bCs/>
          <w:lang w:val="zh-CN"/>
        </w:rPr>
      </w:pPr>
      <w:r>
        <w:rPr>
          <w:rFonts w:hint="eastAsia"/>
          <w:b/>
          <w:bCs/>
          <w:lang w:val="zh-CN"/>
        </w:rPr>
        <w:t>附：2018年国家税务总局南雄市税务局领导班子成员名单</w:t>
      </w:r>
    </w:p>
    <w:p w14:paraId="4E9566C6">
      <w:pPr>
        <w:pStyle w:val="11"/>
        <w:bidi w:val="0"/>
        <w:rPr>
          <w:rFonts w:hint="eastAsia"/>
          <w:lang w:val="zh-CN"/>
        </w:rPr>
      </w:pPr>
      <w:r>
        <w:rPr>
          <w:rFonts w:hint="eastAsia"/>
          <w:b/>
          <w:bCs/>
          <w:lang w:val="zh-CN"/>
        </w:rPr>
        <w:t>党委书记、局长：</w:t>
      </w:r>
      <w:r>
        <w:rPr>
          <w:rFonts w:hint="eastAsia"/>
          <w:lang w:val="zh-CN"/>
        </w:rPr>
        <w:t>戴国成</w:t>
      </w:r>
    </w:p>
    <w:p w14:paraId="147E47AA">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谢中东</w:t>
      </w:r>
      <w:r>
        <w:rPr>
          <w:rFonts w:hint="eastAsia"/>
          <w:lang w:val="en-US" w:eastAsia="zh-CN"/>
        </w:rPr>
        <w:t xml:space="preserve">   </w:t>
      </w:r>
      <w:r>
        <w:rPr>
          <w:rFonts w:hint="eastAsia"/>
          <w:lang w:val="zh-CN"/>
        </w:rPr>
        <w:t>肖祝林</w:t>
      </w:r>
    </w:p>
    <w:p w14:paraId="3D0C5F82">
      <w:pPr>
        <w:pStyle w:val="11"/>
        <w:bidi w:val="0"/>
        <w:ind w:leftChars="500"/>
        <w:rPr>
          <w:rFonts w:hint="eastAsia"/>
          <w:lang w:val="zh-CN"/>
        </w:rPr>
      </w:pPr>
      <w:r>
        <w:rPr>
          <w:rFonts w:hint="eastAsia"/>
          <w:lang w:val="zh-CN"/>
        </w:rPr>
        <w:t>郭慧虹</w:t>
      </w:r>
    </w:p>
    <w:p w14:paraId="3C92E81E">
      <w:pPr>
        <w:pStyle w:val="11"/>
        <w:bidi w:val="0"/>
        <w:ind w:leftChars="500"/>
        <w:rPr>
          <w:rFonts w:hint="eastAsia"/>
          <w:lang w:val="zh-CN"/>
        </w:rPr>
      </w:pPr>
      <w:r>
        <w:rPr>
          <w:rFonts w:hint="eastAsia"/>
          <w:lang w:val="zh-CN"/>
        </w:rPr>
        <w:t>熊树忠（1月任职）</w:t>
      </w:r>
    </w:p>
    <w:p w14:paraId="2C9C1960">
      <w:pPr>
        <w:pStyle w:val="11"/>
        <w:bidi w:val="0"/>
        <w:ind w:leftChars="500"/>
        <w:rPr>
          <w:rFonts w:hint="eastAsia"/>
          <w:lang w:val="zh-CN"/>
        </w:rPr>
      </w:pPr>
      <w:r>
        <w:rPr>
          <w:rFonts w:hint="eastAsia"/>
          <w:lang w:val="zh-CN"/>
        </w:rPr>
        <w:t>尹强才</w:t>
      </w:r>
      <w:r>
        <w:rPr>
          <w:rFonts w:hint="eastAsia"/>
          <w:lang w:val="en-US" w:eastAsia="zh-CN"/>
        </w:rPr>
        <w:t xml:space="preserve">   </w:t>
      </w:r>
      <w:r>
        <w:rPr>
          <w:rFonts w:hint="eastAsia"/>
          <w:lang w:val="zh-CN"/>
        </w:rPr>
        <w:t>赖正辉</w:t>
      </w:r>
    </w:p>
    <w:p w14:paraId="79B110D8">
      <w:pPr>
        <w:pStyle w:val="11"/>
        <w:bidi w:val="0"/>
        <w:ind w:leftChars="500"/>
        <w:rPr>
          <w:rFonts w:hint="eastAsia"/>
          <w:b w:val="0"/>
          <w:bCs w:val="0"/>
          <w:lang w:val="zh-CN"/>
        </w:rPr>
      </w:pPr>
      <w:r>
        <w:rPr>
          <w:rFonts w:hint="eastAsia"/>
          <w:b w:val="0"/>
          <w:bCs w:val="0"/>
          <w:lang w:val="zh-CN"/>
        </w:rPr>
        <w:t>胡世英</w:t>
      </w:r>
    </w:p>
    <w:p w14:paraId="56FDC724">
      <w:pPr>
        <w:pStyle w:val="11"/>
        <w:bidi w:val="0"/>
        <w:rPr>
          <w:rFonts w:hint="eastAsia"/>
          <w:lang w:val="zh-CN"/>
        </w:rPr>
      </w:pPr>
      <w:r>
        <w:rPr>
          <w:rFonts w:hint="eastAsia"/>
          <w:b/>
          <w:bCs/>
          <w:lang w:val="zh-CN"/>
        </w:rPr>
        <w:t>纪检组长：</w:t>
      </w:r>
      <w:r>
        <w:rPr>
          <w:rFonts w:hint="eastAsia"/>
          <w:lang w:val="zh-CN"/>
        </w:rPr>
        <w:t>朱文有</w:t>
      </w:r>
    </w:p>
    <w:p w14:paraId="572CD6B8">
      <w:pPr>
        <w:pStyle w:val="11"/>
        <w:bidi w:val="0"/>
        <w:rPr>
          <w:rFonts w:hint="eastAsia"/>
          <w:lang w:val="zh-CN"/>
        </w:rPr>
      </w:pPr>
      <w:r>
        <w:rPr>
          <w:rFonts w:hint="eastAsia"/>
          <w:b/>
          <w:bCs/>
          <w:lang w:val="zh-CN"/>
        </w:rPr>
        <w:t>总经济师：</w:t>
      </w:r>
      <w:r>
        <w:rPr>
          <w:rFonts w:hint="eastAsia"/>
          <w:lang w:val="zh-CN"/>
        </w:rPr>
        <w:t>卢</w:t>
      </w:r>
      <w:r>
        <w:rPr>
          <w:rFonts w:hint="eastAsia"/>
          <w:lang w:val="en-US" w:eastAsia="zh-CN"/>
        </w:rPr>
        <w:t xml:space="preserve">  </w:t>
      </w:r>
      <w:r>
        <w:rPr>
          <w:rFonts w:hint="eastAsia"/>
          <w:lang w:val="zh-CN"/>
        </w:rPr>
        <w:t>刚</w:t>
      </w:r>
    </w:p>
    <w:p w14:paraId="0FBB469E">
      <w:pPr>
        <w:pStyle w:val="3"/>
        <w:bidi w:val="0"/>
        <w:rPr>
          <w:rFonts w:hint="eastAsia"/>
          <w:lang w:val="zh-CN"/>
        </w:rPr>
      </w:pPr>
      <w:r>
        <w:rPr>
          <w:rFonts w:hint="eastAsia"/>
          <w:lang w:val="zh-CN"/>
        </w:rPr>
        <w:t>中国人民银行南雄市支行</w:t>
      </w:r>
    </w:p>
    <w:p w14:paraId="745EA04F">
      <w:pPr>
        <w:pStyle w:val="4"/>
        <w:bidi w:val="0"/>
        <w:rPr>
          <w:rFonts w:hint="eastAsia"/>
          <w:lang w:val="zh-CN"/>
        </w:rPr>
      </w:pPr>
      <w:r>
        <w:rPr>
          <w:rFonts w:hint="eastAsia"/>
          <w:lang w:val="zh-CN"/>
        </w:rPr>
        <w:t>【概况】</w:t>
      </w:r>
    </w:p>
    <w:p w14:paraId="449835A0">
      <w:pPr>
        <w:bidi w:val="0"/>
        <w:rPr>
          <w:rFonts w:hint="eastAsia"/>
          <w:lang w:val="zh-CN"/>
        </w:rPr>
      </w:pPr>
      <w:r>
        <w:rPr>
          <w:rFonts w:hint="eastAsia"/>
          <w:lang w:val="zh-CN"/>
        </w:rPr>
        <w:t>中国人民银行南雄市支行在职人员22人，其中行长1人，副行长1人，科员20人。内设4个职能部门，分别是办公室、综合业务股、会计国库股和外汇管理股，依法履行中央银行职能，负责对南雄市金融机构贯彻执行货币政策，防范系统性金融风险及其支付结算、票据清算，经理国库、反洗钱、征信、反假货币、现金、外汇等业务管理和金融服务工作。</w:t>
      </w:r>
    </w:p>
    <w:p w14:paraId="35D82BB1">
      <w:pPr>
        <w:pStyle w:val="4"/>
        <w:bidi w:val="0"/>
        <w:rPr>
          <w:rFonts w:hint="eastAsia"/>
          <w:lang w:val="zh-CN"/>
        </w:rPr>
      </w:pPr>
      <w:r>
        <w:rPr>
          <w:rFonts w:hint="eastAsia"/>
          <w:lang w:val="zh-CN"/>
        </w:rPr>
        <w:t>【风险防范】</w:t>
      </w:r>
    </w:p>
    <w:p w14:paraId="4D0A92AD">
      <w:pPr>
        <w:bidi w:val="0"/>
        <w:rPr>
          <w:rFonts w:hint="eastAsia"/>
          <w:lang w:val="zh-CN"/>
        </w:rPr>
      </w:pPr>
      <w:r>
        <w:rPr>
          <w:rFonts w:hint="eastAsia"/>
          <w:lang w:val="zh-CN"/>
        </w:rPr>
        <w:t>加大辖内金融风险防范力度，强化与市金融办、经信局、公安局等相关部门的沟通联系，完善监管信息共享机制，参与处置与防范非法集资、互联网金融等非法金融活动，推进辖区金融风险防范工作有序开展。完善县域毗邻地区金融稳定协作机制。作为协作机制承办单位，与郴州汝城、安仁县、赣州大余、崇义县和韶关仁化县人民银行签订湘赣粤“红三角”金融稳定协作协议，共同维护区域金融良好秩序。支持农信社改制农商行工作。在清收不良贷款、增资扩股、改善各项经营指标等工作开展督导，推动市政府出台农信社改制配套措施和制度。南雄联社已通过省银保监局审核批准筹建农商行。</w:t>
      </w:r>
    </w:p>
    <w:p w14:paraId="11330490">
      <w:pPr>
        <w:pStyle w:val="4"/>
        <w:bidi w:val="0"/>
        <w:rPr>
          <w:rFonts w:hint="eastAsia"/>
          <w:lang w:val="zh-CN"/>
        </w:rPr>
      </w:pPr>
      <w:r>
        <w:rPr>
          <w:rFonts w:hint="eastAsia"/>
          <w:lang w:val="zh-CN"/>
        </w:rPr>
        <w:t>【金融服务】</w:t>
      </w:r>
    </w:p>
    <w:p w14:paraId="0E7A15D9">
      <w:pPr>
        <w:bidi w:val="0"/>
        <w:rPr>
          <w:rFonts w:hint="eastAsia"/>
          <w:lang w:val="zh-CN"/>
        </w:rPr>
      </w:pPr>
      <w:r>
        <w:rPr>
          <w:rFonts w:hint="eastAsia"/>
          <w:lang w:val="zh-CN"/>
        </w:rPr>
        <w:t>推进移动支付便民工程。组织辖区各金融机构到市电子商务中心开展“支付先看云闪付，快捷安全又省心”为主题的“云闪付”APP业务培训，辖内农村金融服务站及助农取款点特约商户83人参加培训，推动移动支付的深入广泛应用。督导银行机构建立移动支付示范个体商圈17个，商圈发生交易量72.3万笔，交易金额达89.2万元。同时，推动“银医通”、二维码支付、“E”缴费等移动支付缴费项目。开展金融知识宣传。联合市金融办、市经信局等政府职能部门组织金融机构开展金融消费者权益保护、人民币反假、反洗钱、征信、国债、防范电信诈骗、识别金融虚假广告等金融知识宣传活动。共参与人员220人次，派发各类资料2万余份，现场接受咨询1000余人次。开展国债巡查4次，优化企业开户服务督导8次。推进反洗钱监管和金融系统扫黑除恶专项斗争。参加中心支行组织开展的辖区金融机构反洗钱评级工作，提高反洗钱工作水平。加大扫黑除恶宣传力度，努力营造家喻户晓、全面参与的良好氛围。2018年摸排移交线索3条，为南雄市垂直单位第一家报送线索单位。</w:t>
      </w:r>
    </w:p>
    <w:p w14:paraId="199520D2">
      <w:pPr>
        <w:pStyle w:val="4"/>
        <w:bidi w:val="0"/>
        <w:rPr>
          <w:rFonts w:hint="eastAsia"/>
          <w:lang w:val="zh-CN"/>
        </w:rPr>
      </w:pPr>
      <w:r>
        <w:rPr>
          <w:rFonts w:hint="eastAsia"/>
          <w:lang w:val="zh-CN"/>
        </w:rPr>
        <w:t>【普惠金融】</w:t>
      </w:r>
    </w:p>
    <w:p w14:paraId="55B22D6D">
      <w:pPr>
        <w:bidi w:val="0"/>
        <w:rPr>
          <w:rFonts w:hint="eastAsia"/>
          <w:lang w:val="zh-CN"/>
        </w:rPr>
      </w:pPr>
      <w:r>
        <w:rPr>
          <w:rFonts w:hint="eastAsia"/>
          <w:lang w:val="zh-CN"/>
        </w:rPr>
        <w:t>按照中心支行金融精准脱贫行动计划要求及支行工作部署，加大对涉农金融机构培训力度，引导督促涉农金融机构加大小额扶贫贷款发放，进一步推进扶贫小额信贷业务发展。累计发放扶贫小额信贷400笔，贷款余额为1464.42万元；发放扶贫企业贷款4笔，金额1400万元。南雄支行负责的金融扶贫工作考核为韶关全辖第一名。在古市镇修仁卫生站建立首个智能POS支付点试点后，在各金融服务站、助农取款点全面推广运用。各助农取款点取款3.9万笔，交易金额863万元；查询24万笔，协助农民处理相关业务91件。扎实做好支行在油山镇古城村定点扶贫工作，按照“一户一策”原则为贫困户制定精准帮扶措施，为19户贫困户申请危房改造项目，完善文化广场的文体设施，提高村民幸福感。支行驻村青年干部作为南雄市“扶贫扶志”宣讲团成员，到江头、湖口、水口等镇开展宣讲20余场。</w:t>
      </w:r>
    </w:p>
    <w:p w14:paraId="64BF0F00">
      <w:pPr>
        <w:pStyle w:val="4"/>
        <w:bidi w:val="0"/>
        <w:rPr>
          <w:rFonts w:hint="eastAsia"/>
          <w:lang w:val="zh-CN"/>
        </w:rPr>
      </w:pPr>
      <w:r>
        <w:rPr>
          <w:rFonts w:hint="eastAsia"/>
          <w:lang w:val="zh-CN"/>
        </w:rPr>
        <w:t>【外汇服务】</w:t>
      </w:r>
    </w:p>
    <w:p w14:paraId="521C4D96">
      <w:pPr>
        <w:bidi w:val="0"/>
        <w:rPr>
          <w:rFonts w:hint="eastAsia"/>
          <w:lang w:val="zh-CN"/>
        </w:rPr>
      </w:pPr>
      <w:r>
        <w:rPr>
          <w:rFonts w:hint="eastAsia"/>
          <w:lang w:val="zh-CN"/>
        </w:rPr>
        <w:t>深入企业开展“外汇服务百企行”活动，加强外汇政策宣传引导，及时解决企业遇到的问题，积极推动全口径跨境融资业务发展，有效缓解企业融资难问题。2018年全年共办理全口径跨境融资业务5笔，金额1.54亿元，同比增加1.24亿元，同比增长410%。继续做好辖区跨境人民币业务宣传工作，扩大跨境人民币结算规模，提高跨境人民币结算占比。2018年辖区办理跨境人民币收支业务56笔，金额1.64亿元，同比增长340%。做好外汇柜台和年度存量权益数据报送工作，积极督促当地外商投资企业做好2017年年度存量权益数据报送工作，全年完成存量权益数据报送74家的94.87%，占比率在韶关辖区排名第一。</w:t>
      </w:r>
    </w:p>
    <w:p w14:paraId="73F7E52E">
      <w:pPr>
        <w:bidi w:val="0"/>
        <w:jc w:val="right"/>
        <w:rPr>
          <w:rFonts w:hint="eastAsia"/>
          <w:b/>
          <w:bCs/>
          <w:lang w:val="zh-CN"/>
        </w:rPr>
      </w:pPr>
      <w:r>
        <w:rPr>
          <w:rFonts w:hint="eastAsia"/>
          <w:b/>
          <w:bCs/>
          <w:lang w:val="zh-CN"/>
        </w:rPr>
        <w:t>（吴俊杰）</w:t>
      </w:r>
    </w:p>
    <w:p w14:paraId="498301FA">
      <w:pPr>
        <w:pStyle w:val="11"/>
        <w:bidi w:val="0"/>
        <w:rPr>
          <w:rFonts w:hint="eastAsia"/>
          <w:b/>
          <w:bCs/>
          <w:lang w:val="zh-CN"/>
        </w:rPr>
      </w:pPr>
      <w:r>
        <w:rPr>
          <w:rFonts w:hint="eastAsia"/>
          <w:b/>
          <w:bCs/>
          <w:lang w:val="zh-CN"/>
        </w:rPr>
        <w:t>附：2018年人民银行南雄市支行领导班子成员名单：</w:t>
      </w:r>
    </w:p>
    <w:p w14:paraId="0F8AA493">
      <w:pPr>
        <w:pStyle w:val="11"/>
        <w:bidi w:val="0"/>
        <w:rPr>
          <w:rFonts w:hint="eastAsia"/>
          <w:lang w:val="zh-CN"/>
        </w:rPr>
      </w:pPr>
      <w:r>
        <w:rPr>
          <w:rFonts w:hint="eastAsia"/>
          <w:b/>
          <w:bCs/>
          <w:lang w:val="zh-CN"/>
        </w:rPr>
        <w:t>行</w:t>
      </w:r>
      <w:r>
        <w:rPr>
          <w:rFonts w:hint="eastAsia"/>
          <w:b/>
          <w:bCs/>
          <w:lang w:val="en-US" w:eastAsia="zh-CN"/>
        </w:rPr>
        <w:t xml:space="preserve">  </w:t>
      </w:r>
      <w:r>
        <w:rPr>
          <w:rFonts w:hint="eastAsia"/>
          <w:b/>
          <w:bCs/>
          <w:lang w:val="zh-CN"/>
        </w:rPr>
        <w:t>长：</w:t>
      </w:r>
      <w:r>
        <w:rPr>
          <w:rFonts w:hint="eastAsia"/>
          <w:lang w:val="zh-CN"/>
        </w:rPr>
        <w:t>肖钊华（任至7月）</w:t>
      </w:r>
    </w:p>
    <w:p w14:paraId="555D696F">
      <w:pPr>
        <w:pStyle w:val="11"/>
        <w:bidi w:val="0"/>
        <w:ind w:leftChars="400"/>
        <w:rPr>
          <w:rFonts w:hint="eastAsia"/>
          <w:lang w:val="zh-CN"/>
        </w:rPr>
      </w:pPr>
      <w:r>
        <w:rPr>
          <w:rFonts w:hint="eastAsia"/>
          <w:lang w:val="zh-CN"/>
        </w:rPr>
        <w:t>陈厚新（7月任职）</w:t>
      </w:r>
    </w:p>
    <w:p w14:paraId="55AA45EA">
      <w:pPr>
        <w:pStyle w:val="11"/>
        <w:bidi w:val="0"/>
        <w:rPr>
          <w:rFonts w:hint="eastAsia"/>
          <w:lang w:val="zh-CN"/>
        </w:rPr>
      </w:pPr>
      <w:r>
        <w:rPr>
          <w:rFonts w:hint="eastAsia"/>
          <w:b/>
          <w:bCs/>
          <w:lang w:val="zh-CN"/>
        </w:rPr>
        <w:t>副行长：</w:t>
      </w:r>
      <w:r>
        <w:rPr>
          <w:rFonts w:hint="eastAsia"/>
          <w:lang w:val="zh-CN"/>
        </w:rPr>
        <w:t>刘小珊（任至5月）</w:t>
      </w:r>
    </w:p>
    <w:p w14:paraId="37A724EF">
      <w:pPr>
        <w:pStyle w:val="11"/>
        <w:bidi w:val="0"/>
        <w:ind w:leftChars="400"/>
        <w:rPr>
          <w:rFonts w:hint="eastAsia"/>
          <w:lang w:val="zh-CN"/>
        </w:rPr>
      </w:pPr>
      <w:r>
        <w:rPr>
          <w:rFonts w:hint="eastAsia"/>
          <w:lang w:val="zh-CN"/>
        </w:rPr>
        <w:t>梁汉杰（5月任职）</w:t>
      </w:r>
    </w:p>
    <w:p w14:paraId="721BBC79">
      <w:pPr>
        <w:pStyle w:val="3"/>
        <w:bidi w:val="0"/>
        <w:rPr>
          <w:rFonts w:hint="eastAsia"/>
          <w:lang w:val="zh-CN"/>
        </w:rPr>
      </w:pPr>
      <w:r>
        <w:rPr>
          <w:rFonts w:hint="eastAsia"/>
          <w:lang w:val="zh-CN"/>
        </w:rPr>
        <w:t>中国银行股份有限公司南雄支行</w:t>
      </w:r>
    </w:p>
    <w:p w14:paraId="0C612EEB">
      <w:pPr>
        <w:pStyle w:val="4"/>
        <w:bidi w:val="0"/>
        <w:rPr>
          <w:rFonts w:hint="eastAsia"/>
          <w:lang w:val="zh-CN"/>
        </w:rPr>
      </w:pPr>
      <w:r>
        <w:rPr>
          <w:rFonts w:hint="eastAsia"/>
          <w:lang w:val="zh-CN"/>
        </w:rPr>
        <w:t>【概况】</w:t>
      </w:r>
    </w:p>
    <w:p w14:paraId="432EBE83">
      <w:pPr>
        <w:bidi w:val="0"/>
        <w:rPr>
          <w:rFonts w:hint="eastAsia"/>
          <w:lang w:val="zh-CN"/>
        </w:rPr>
      </w:pPr>
      <w:r>
        <w:rPr>
          <w:rFonts w:hint="eastAsia"/>
          <w:lang w:val="zh-CN"/>
        </w:rPr>
        <w:t>中国银行股份有限公司韶关南雄支行，简称中国银行韶关南雄支行，全行在职员工13人，内设营业部和业务发展部。依附式ATM自助设备4台，离行式ATM自助设备3台，支行先后新增3台智能柜员机，能为客户提供开户、挂失、转账汇款、激活、投资理财等各项金融服务。中国银行为客户提供丰富的金融产品，主要办理本外币存款、发放贷款、办理票据承兑与贴现、代理外汇买卖、从事银行卡业务、提供信用证服务及担保、代理保险兼业业务。南雄中行积极推动业务转型，提高经营收入，夯实发展基础，扎实推进区域卓越银行建设，努力提升网点经营效益，深入推进精细化管理，秉承以客户为中心的服务理念，强化服务规范、丰富服务内涵、创新服务品牌、提升客户满意度，积极拓展县域市场，不断强化风险管控，使支行在当地的竞争力和盈利能力不断提升，坚持科技引领、创新驱动、转型求实、变革图强，助力中国银行建设成为新时代全球一流银行。</w:t>
      </w:r>
    </w:p>
    <w:p w14:paraId="66D3E436">
      <w:pPr>
        <w:pStyle w:val="4"/>
        <w:bidi w:val="0"/>
        <w:rPr>
          <w:rFonts w:hint="eastAsia"/>
          <w:lang w:val="zh-CN"/>
        </w:rPr>
      </w:pPr>
      <w:r>
        <w:rPr>
          <w:rFonts w:hint="eastAsia"/>
          <w:lang w:val="zh-CN"/>
        </w:rPr>
        <w:t>【存贷业务】</w:t>
      </w:r>
    </w:p>
    <w:p w14:paraId="17E71FC8">
      <w:pPr>
        <w:bidi w:val="0"/>
        <w:rPr>
          <w:rFonts w:hint="eastAsia"/>
          <w:lang w:val="zh-CN"/>
        </w:rPr>
      </w:pPr>
      <w:r>
        <w:rPr>
          <w:rFonts w:hint="eastAsia"/>
          <w:lang w:val="zh-CN"/>
        </w:rPr>
        <w:t>重点支持南雄中小企业和工业园项目，积极扶持中小企业、民营企业发展。大力拓展信用卡分期业务，增加市场份额，2018年，各项存款人民币余额7.4亿元，其中人民币储蓄存款余额4.42亿元，人民币企业存款3.24亿元。对公授信余额达8699万元，零售贷款余额4.42亿元。中国银行韶关南雄支行自2017年11月挂牌成立“住房按揭特色支行”以来，住房按揭贷款投放连续两年超1亿元，南雄中行在合规经营的前提下，用高效、优质服务吸引客户，打造出当地特色住房按揭品牌。</w:t>
      </w:r>
    </w:p>
    <w:p w14:paraId="40481B70">
      <w:pPr>
        <w:bidi w:val="0"/>
        <w:jc w:val="right"/>
        <w:rPr>
          <w:rFonts w:hint="eastAsia"/>
          <w:b/>
          <w:bCs/>
          <w:lang w:val="zh-CN"/>
        </w:rPr>
      </w:pPr>
      <w:r>
        <w:rPr>
          <w:rFonts w:hint="eastAsia"/>
          <w:b/>
          <w:bCs/>
          <w:lang w:val="zh-CN"/>
        </w:rPr>
        <w:t>（纪燕萍）</w:t>
      </w:r>
    </w:p>
    <w:p w14:paraId="28D672A6">
      <w:pPr>
        <w:pStyle w:val="11"/>
        <w:bidi w:val="0"/>
        <w:rPr>
          <w:rFonts w:hint="eastAsia"/>
          <w:b/>
          <w:bCs/>
          <w:lang w:val="zh-CN"/>
        </w:rPr>
      </w:pPr>
      <w:r>
        <w:rPr>
          <w:rFonts w:hint="eastAsia"/>
          <w:b/>
          <w:bCs/>
          <w:lang w:val="zh-CN"/>
        </w:rPr>
        <w:t>附：2018年中国银行南雄支行领导班子成员名单</w:t>
      </w:r>
    </w:p>
    <w:p w14:paraId="68F82F87">
      <w:pPr>
        <w:pStyle w:val="11"/>
        <w:bidi w:val="0"/>
        <w:rPr>
          <w:rFonts w:hint="eastAsia"/>
          <w:lang w:val="zh-CN"/>
        </w:rPr>
      </w:pPr>
      <w:r>
        <w:rPr>
          <w:rFonts w:hint="eastAsia"/>
          <w:b/>
          <w:bCs/>
          <w:lang w:val="zh-CN"/>
        </w:rPr>
        <w:t>行</w:t>
      </w:r>
      <w:r>
        <w:rPr>
          <w:rFonts w:hint="eastAsia"/>
          <w:b/>
          <w:bCs/>
          <w:lang w:val="en-US" w:eastAsia="zh-CN"/>
        </w:rPr>
        <w:t xml:space="preserve">  </w:t>
      </w:r>
      <w:r>
        <w:rPr>
          <w:rFonts w:hint="eastAsia"/>
          <w:b/>
          <w:bCs/>
          <w:lang w:val="zh-CN"/>
        </w:rPr>
        <w:t>长：</w:t>
      </w:r>
      <w:r>
        <w:rPr>
          <w:rFonts w:hint="eastAsia"/>
          <w:lang w:val="zh-CN"/>
        </w:rPr>
        <w:t>聂郁安</w:t>
      </w:r>
    </w:p>
    <w:p w14:paraId="481A9F77">
      <w:pPr>
        <w:pStyle w:val="11"/>
        <w:bidi w:val="0"/>
        <w:rPr>
          <w:rFonts w:hint="eastAsia"/>
          <w:lang w:val="zh-CN"/>
        </w:rPr>
      </w:pPr>
      <w:r>
        <w:rPr>
          <w:rFonts w:hint="eastAsia"/>
          <w:b/>
          <w:bCs/>
          <w:lang w:val="zh-CN"/>
        </w:rPr>
        <w:t>副行长：</w:t>
      </w:r>
      <w:r>
        <w:rPr>
          <w:rFonts w:hint="eastAsia"/>
          <w:lang w:val="zh-CN"/>
        </w:rPr>
        <w:t>龚小萍</w:t>
      </w:r>
      <w:r>
        <w:rPr>
          <w:rFonts w:hint="eastAsia"/>
          <w:lang w:val="en-US" w:eastAsia="zh-CN"/>
        </w:rPr>
        <w:t xml:space="preserve">   </w:t>
      </w:r>
      <w:r>
        <w:rPr>
          <w:rFonts w:hint="eastAsia"/>
          <w:lang w:val="zh-CN"/>
        </w:rPr>
        <w:t>纪燕萍</w:t>
      </w:r>
    </w:p>
    <w:p w14:paraId="245091C8">
      <w:pPr>
        <w:pStyle w:val="3"/>
        <w:bidi w:val="0"/>
        <w:rPr>
          <w:rFonts w:hint="eastAsia"/>
          <w:lang w:val="zh-CN"/>
        </w:rPr>
      </w:pPr>
      <w:r>
        <w:rPr>
          <w:rFonts w:hint="eastAsia"/>
          <w:lang w:val="zh-CN"/>
        </w:rPr>
        <w:t>中国建设银行股份有限公司南雄支行</w:t>
      </w:r>
    </w:p>
    <w:p w14:paraId="5D854EFC">
      <w:pPr>
        <w:pStyle w:val="4"/>
        <w:bidi w:val="0"/>
        <w:rPr>
          <w:rFonts w:hint="eastAsia"/>
          <w:lang w:val="zh-CN"/>
        </w:rPr>
      </w:pPr>
      <w:r>
        <w:rPr>
          <w:rFonts w:hint="eastAsia"/>
          <w:lang w:val="zh-CN"/>
        </w:rPr>
        <w:t>【概况】</w:t>
      </w:r>
    </w:p>
    <w:p w14:paraId="2F01DD67">
      <w:pPr>
        <w:bidi w:val="0"/>
        <w:rPr>
          <w:rFonts w:hint="eastAsia"/>
          <w:lang w:val="zh-CN"/>
        </w:rPr>
      </w:pPr>
      <w:r>
        <w:rPr>
          <w:rFonts w:hint="eastAsia"/>
          <w:lang w:val="zh-CN"/>
        </w:rPr>
        <w:t>中国建设银行股份有限公司南雄支行（以下简称建行南雄支行）是中国建设银行股份有限公司韶关市分行辖属支行，位于南雄市大成街，全行在职员工17人，营业网点1个，自助银行4处，自助设备10台。建行南雄支行着力解决民营企业融资难困境，在同业中率先起航普惠金融。为进一步扶持南雄市辖内中小微企业可持续发展，继续提升政银企三方良好格局，建行南雄支行推出一系列特色信贷产品，尽快实现银企、银政、政企的“三赢”局面。</w:t>
      </w:r>
    </w:p>
    <w:p w14:paraId="02F12CB9">
      <w:pPr>
        <w:pStyle w:val="4"/>
        <w:bidi w:val="0"/>
        <w:rPr>
          <w:rFonts w:hint="eastAsia"/>
          <w:lang w:val="zh-CN"/>
        </w:rPr>
      </w:pPr>
      <w:r>
        <w:rPr>
          <w:rFonts w:hint="eastAsia"/>
          <w:lang w:val="zh-CN"/>
        </w:rPr>
        <w:t>【特色业务】</w:t>
      </w:r>
    </w:p>
    <w:p w14:paraId="41F6343E">
      <w:pPr>
        <w:bidi w:val="0"/>
        <w:rPr>
          <w:rFonts w:hint="eastAsia"/>
          <w:lang w:val="zh-CN"/>
        </w:rPr>
      </w:pPr>
      <w:r>
        <w:rPr>
          <w:rFonts w:hint="eastAsia"/>
          <w:lang w:val="zh-CN"/>
        </w:rPr>
        <w:t>建行南雄支行为解决当地中小微企业的融资困境，推出“云税贷”，这个贷款是建行与国家税务局合作，专门为小微企业提供的“因税获贷”纯信用贷款。借款人可以足不出户、随时随地通过建行网银、手机银行申请，最快只需3分钟资金即可到账，无须任何抵质押。2018年发放“云税贷”33笔，金额1500万元。</w:t>
      </w:r>
    </w:p>
    <w:p w14:paraId="408A3319">
      <w:pPr>
        <w:pStyle w:val="4"/>
        <w:bidi w:val="0"/>
        <w:rPr>
          <w:rFonts w:hint="eastAsia"/>
          <w:lang w:val="zh-CN"/>
        </w:rPr>
      </w:pPr>
      <w:r>
        <w:rPr>
          <w:rFonts w:hint="eastAsia"/>
          <w:lang w:val="zh-CN"/>
        </w:rPr>
        <w:t>【存贷业务】</w:t>
      </w:r>
    </w:p>
    <w:p w14:paraId="2F2C4B55">
      <w:pPr>
        <w:bidi w:val="0"/>
        <w:rPr>
          <w:rFonts w:hint="eastAsia"/>
          <w:lang w:val="zh-CN"/>
        </w:rPr>
      </w:pPr>
      <w:r>
        <w:rPr>
          <w:rFonts w:hint="eastAsia"/>
          <w:lang w:val="zh-CN"/>
        </w:rPr>
        <w:t>建行南雄支行以市场为导向、以客户为中心，为客户提供金融产品，有本外币存款、各类贷款、个人理财、企业理财、票据业务、结算业务、信用卡分期业务、银行卡业务、电子银行业务、外汇业务等各种金融服务。2018年存款余额15.19亿元，企业存款余额8.9亿元，个人存款6.29亿元；各项贷款余额9.28亿元，其中公司类贷款4.15亿元，个人类贷款5.13亿元。</w:t>
      </w:r>
    </w:p>
    <w:p w14:paraId="64BC97CA">
      <w:pPr>
        <w:bidi w:val="0"/>
        <w:jc w:val="right"/>
        <w:rPr>
          <w:rFonts w:hint="eastAsia"/>
          <w:b/>
          <w:bCs/>
          <w:lang w:val="zh-CN"/>
        </w:rPr>
      </w:pPr>
      <w:r>
        <w:rPr>
          <w:rFonts w:hint="eastAsia"/>
          <w:b/>
          <w:bCs/>
          <w:lang w:val="zh-CN"/>
        </w:rPr>
        <w:t>（黄清华）</w:t>
      </w:r>
    </w:p>
    <w:p w14:paraId="26F9DBD0">
      <w:pPr>
        <w:pStyle w:val="11"/>
        <w:bidi w:val="0"/>
        <w:rPr>
          <w:rFonts w:hint="eastAsia"/>
          <w:b/>
          <w:bCs/>
          <w:lang w:val="zh-CN"/>
        </w:rPr>
      </w:pPr>
      <w:r>
        <w:rPr>
          <w:rFonts w:hint="eastAsia"/>
          <w:b/>
          <w:bCs/>
          <w:lang w:val="zh-CN"/>
        </w:rPr>
        <w:t>附：2018年中国建设银行南雄支行领导成员名单</w:t>
      </w:r>
    </w:p>
    <w:p w14:paraId="752DCF04">
      <w:pPr>
        <w:pStyle w:val="11"/>
        <w:bidi w:val="0"/>
        <w:rPr>
          <w:rFonts w:hint="eastAsia"/>
          <w:lang w:val="zh-CN"/>
        </w:rPr>
      </w:pPr>
      <w:r>
        <w:rPr>
          <w:rFonts w:hint="eastAsia"/>
          <w:b/>
          <w:bCs/>
          <w:lang w:val="zh-CN"/>
        </w:rPr>
        <w:t>行</w:t>
      </w:r>
      <w:r>
        <w:rPr>
          <w:rFonts w:hint="eastAsia"/>
          <w:b/>
          <w:bCs/>
          <w:lang w:val="en-US" w:eastAsia="zh-CN"/>
        </w:rPr>
        <w:t xml:space="preserve">  </w:t>
      </w:r>
      <w:r>
        <w:rPr>
          <w:rFonts w:hint="eastAsia"/>
          <w:b/>
          <w:bCs/>
          <w:lang w:val="zh-CN"/>
        </w:rPr>
        <w:t>长：</w:t>
      </w:r>
      <w:r>
        <w:rPr>
          <w:rFonts w:hint="eastAsia"/>
          <w:lang w:val="zh-CN"/>
        </w:rPr>
        <w:t>刘世海</w:t>
      </w:r>
    </w:p>
    <w:p w14:paraId="6922979E">
      <w:pPr>
        <w:pStyle w:val="11"/>
        <w:bidi w:val="0"/>
        <w:rPr>
          <w:rFonts w:hint="eastAsia"/>
          <w:lang w:val="zh-CN"/>
        </w:rPr>
      </w:pPr>
      <w:r>
        <w:rPr>
          <w:rFonts w:hint="eastAsia"/>
          <w:b/>
          <w:bCs/>
          <w:lang w:val="zh-CN"/>
        </w:rPr>
        <w:t>副行长：</w:t>
      </w:r>
      <w:r>
        <w:rPr>
          <w:rFonts w:hint="eastAsia"/>
          <w:lang w:val="zh-CN"/>
        </w:rPr>
        <w:t>贾真（任至10月）</w:t>
      </w:r>
    </w:p>
    <w:p w14:paraId="0060A327">
      <w:pPr>
        <w:pStyle w:val="11"/>
        <w:bidi w:val="0"/>
        <w:ind w:leftChars="400"/>
        <w:rPr>
          <w:rFonts w:hint="eastAsia"/>
          <w:lang w:val="zh-CN"/>
        </w:rPr>
      </w:pPr>
      <w:r>
        <w:rPr>
          <w:rFonts w:hint="eastAsia"/>
          <w:lang w:val="zh-CN"/>
        </w:rPr>
        <w:t>黄清华（10月任职）</w:t>
      </w:r>
    </w:p>
    <w:p w14:paraId="6C61F12C">
      <w:pPr>
        <w:pStyle w:val="11"/>
        <w:bidi w:val="0"/>
        <w:ind w:leftChars="400"/>
        <w:rPr>
          <w:rFonts w:hint="eastAsia"/>
          <w:lang w:val="zh-CN"/>
        </w:rPr>
      </w:pPr>
      <w:r>
        <w:rPr>
          <w:rFonts w:hint="eastAsia"/>
          <w:lang w:val="zh-CN"/>
        </w:rPr>
        <w:t>刘丽珍</w:t>
      </w:r>
    </w:p>
    <w:p w14:paraId="0E341E05">
      <w:pPr>
        <w:pStyle w:val="3"/>
        <w:bidi w:val="0"/>
        <w:rPr>
          <w:rFonts w:hint="eastAsia"/>
          <w:lang w:val="zh-CN"/>
        </w:rPr>
      </w:pPr>
      <w:r>
        <w:rPr>
          <w:rFonts w:hint="eastAsia"/>
          <w:lang w:val="zh-CN"/>
        </w:rPr>
        <w:t>中国农业银行股份有限公司南雄市支行</w:t>
      </w:r>
    </w:p>
    <w:p w14:paraId="192FA4C8">
      <w:pPr>
        <w:pStyle w:val="4"/>
        <w:bidi w:val="0"/>
        <w:rPr>
          <w:rFonts w:hint="eastAsia"/>
          <w:lang w:val="zh-CN"/>
        </w:rPr>
      </w:pPr>
      <w:r>
        <w:rPr>
          <w:rFonts w:hint="eastAsia"/>
          <w:lang w:val="zh-CN"/>
        </w:rPr>
        <w:t>【概况】</w:t>
      </w:r>
    </w:p>
    <w:p w14:paraId="6CBB36DE">
      <w:pPr>
        <w:bidi w:val="0"/>
        <w:rPr>
          <w:rFonts w:hint="eastAsia"/>
          <w:lang w:val="zh-CN"/>
        </w:rPr>
      </w:pPr>
      <w:r>
        <w:rPr>
          <w:rFonts w:hint="eastAsia"/>
          <w:lang w:val="zh-CN"/>
        </w:rPr>
        <w:t>中国农业银行股份有限公司南雄市支行简称中国农业银行南雄市支行，是中国农业银行股份有限公司韶关分行辖属的一级建制支行。在职员工73人，内设运营财会部、综合管理部、风险管理部和客户部2个职能部门，辖属支行营业部1个和雄州、雄东、沿江3个二级支行。在城区教育路、龙祥园和全安镇设立离行式自助银行各1个。在湖口、乌迳两中心乡镇分别设立农村金融服务站各1个，全行投放自助存取款设备17台和超级柜台16台，为客户提供更多的方便。</w:t>
      </w:r>
    </w:p>
    <w:p w14:paraId="49A12438">
      <w:pPr>
        <w:pStyle w:val="4"/>
        <w:bidi w:val="0"/>
        <w:rPr>
          <w:rFonts w:hint="eastAsia"/>
          <w:lang w:val="zh-CN"/>
        </w:rPr>
      </w:pPr>
      <w:r>
        <w:rPr>
          <w:rFonts w:hint="eastAsia"/>
          <w:lang w:val="zh-CN"/>
        </w:rPr>
        <w:t>【存贷业务】</w:t>
      </w:r>
    </w:p>
    <w:p w14:paraId="474D8599">
      <w:pPr>
        <w:bidi w:val="0"/>
        <w:rPr>
          <w:rFonts w:hint="eastAsia"/>
          <w:lang w:val="zh-CN"/>
        </w:rPr>
      </w:pPr>
      <w:r>
        <w:rPr>
          <w:rFonts w:hint="eastAsia"/>
          <w:lang w:val="zh-CN"/>
        </w:rPr>
        <w:t>2018年年底，各项存款余额为17.26亿元，比年初增加2.49亿元。其中：个人存款12.57亿元，比年初增加1.17亿元；对公存款4.69亿元，比年初增加1.32亿元。各项贷款余额21.05亿元，比年初增加1.9亿元，贷存比124%，居当地同业首位。其中：法人贷款10.89亿元；个人贷款10.16亿元，个人住房贷款余额7.29亿元。</w:t>
      </w:r>
    </w:p>
    <w:p w14:paraId="1D35319B">
      <w:pPr>
        <w:bidi w:val="0"/>
        <w:rPr>
          <w:rFonts w:hint="eastAsia"/>
          <w:lang w:val="zh-CN"/>
        </w:rPr>
      </w:pPr>
      <w:r>
        <w:rPr>
          <w:rFonts w:hint="eastAsia"/>
          <w:lang w:val="zh-CN"/>
        </w:rPr>
        <w:t>在稳增长、调结构、控风险的基础上，农行优化贷款结构，优先支持当地重点企业、重点项目和民生工程需求。先后向重点项目贷款发放6.97亿元；中小（微）和民营企业贷款累计发放1.29亿元；个人住房贷款全年累计发放2.02亿元；支持医疗事业发展，累计发放贷款1500万元。</w:t>
      </w:r>
    </w:p>
    <w:p w14:paraId="1482C262">
      <w:pPr>
        <w:pStyle w:val="4"/>
        <w:bidi w:val="0"/>
        <w:rPr>
          <w:rFonts w:hint="eastAsia"/>
          <w:lang w:val="zh-CN"/>
        </w:rPr>
      </w:pPr>
      <w:r>
        <w:rPr>
          <w:rFonts w:hint="eastAsia"/>
          <w:lang w:val="zh-CN"/>
        </w:rPr>
        <w:t>【“三农”服务】</w:t>
      </w:r>
    </w:p>
    <w:p w14:paraId="75AE977C">
      <w:pPr>
        <w:bidi w:val="0"/>
        <w:rPr>
          <w:rFonts w:hint="eastAsia"/>
          <w:lang w:val="zh-CN"/>
        </w:rPr>
      </w:pPr>
      <w:r>
        <w:rPr>
          <w:rFonts w:hint="eastAsia"/>
          <w:lang w:val="zh-CN"/>
        </w:rPr>
        <w:t>全力支持和服务“三农”经济发展，助力乡村振兴战略，全年累计投放农户贷款1.05亿元。优化城乡支付结算环境，进一步提升服务水平。该行在原有4个网点、3个自助银行、2个金融服务站和108个“惠农通”助农取款点的基础上，推进智能化改造和专业市场版APP、农户版APP等新型收单方式，进一步改善城乡金融服务网络和支付结算条件，让用户足不出户就能享受到便利的金融服务，有效地满足客户金融服务需求。创新贷款方式，加大对客户消费贷款的支持。运用互联网大数据模型，加快构建“互联网+”的新型服务体系，推广微易贷、银税通、数据网贷贷款方式，以及推出“便捷贷”“网捷贷”“快农贷”等线上办贷渠道，着力实现贷款转型，加大对客户消费贷款的支持。同时，对小微民企信贷产品和“惠农e通”统一平台下的“惠农e付”网络支付结算、“惠农e商”电商金融、“惠农e贷”网络融资三大业务，通过线上线下一体化服务，把农行支付结算和融资服务嵌入各乡镇和农村产供销流程，构建具有南雄特色的差异化电商金融服务体系。</w:t>
      </w:r>
    </w:p>
    <w:p w14:paraId="0A144844">
      <w:pPr>
        <w:pStyle w:val="4"/>
        <w:bidi w:val="0"/>
        <w:rPr>
          <w:rFonts w:hint="eastAsia"/>
          <w:lang w:val="zh-CN"/>
        </w:rPr>
      </w:pPr>
      <w:r>
        <w:rPr>
          <w:rFonts w:hint="eastAsia"/>
          <w:lang w:val="zh-CN"/>
        </w:rPr>
        <w:t>【精准扶贫】</w:t>
      </w:r>
    </w:p>
    <w:p w14:paraId="01C98868">
      <w:pPr>
        <w:bidi w:val="0"/>
        <w:rPr>
          <w:rFonts w:hint="eastAsia"/>
          <w:b/>
          <w:bCs/>
          <w:lang w:val="zh-CN"/>
        </w:rPr>
      </w:pPr>
      <w:r>
        <w:rPr>
          <w:rFonts w:hint="eastAsia"/>
          <w:lang w:val="zh-CN"/>
        </w:rPr>
        <w:t>持续大力支持当地政府重点光伏产业扶贫项目（南雄黄坑围背光伏电站5500千瓦）建设，每年可带动380人脱贫，推动由输血型扶贫向造血型扶贫的转变。向建档立卡贫困户发放金融扶贫小额贷款，年内累计投放34笔，金额95.5万元，实现农行4个包干乡镇的应贷尽贷全覆盖，为进一步做好金融精准扶贫工作奠定基础。</w:t>
      </w:r>
      <w:r>
        <w:rPr>
          <w:rFonts w:hint="eastAsia"/>
          <w:b/>
          <w:bCs/>
          <w:lang w:val="zh-CN"/>
        </w:rPr>
        <w:t>（董书罗）</w:t>
      </w:r>
    </w:p>
    <w:p w14:paraId="6B4B1725">
      <w:pPr>
        <w:pStyle w:val="11"/>
        <w:bidi w:val="0"/>
        <w:rPr>
          <w:rFonts w:hint="eastAsia"/>
          <w:b/>
          <w:bCs/>
          <w:lang w:val="zh-CN"/>
        </w:rPr>
      </w:pPr>
      <w:r>
        <w:rPr>
          <w:rFonts w:hint="eastAsia"/>
          <w:b/>
          <w:bCs/>
          <w:lang w:val="zh-CN"/>
        </w:rPr>
        <w:t>附：2018年中国农业银行南雄支行领导班子成员名单</w:t>
      </w:r>
    </w:p>
    <w:p w14:paraId="22C60070">
      <w:pPr>
        <w:pStyle w:val="11"/>
        <w:bidi w:val="0"/>
        <w:rPr>
          <w:rFonts w:hint="eastAsia"/>
          <w:lang w:val="zh-CN"/>
        </w:rPr>
      </w:pPr>
      <w:r>
        <w:rPr>
          <w:rFonts w:hint="eastAsia"/>
          <w:b/>
          <w:bCs/>
          <w:lang w:val="zh-CN"/>
        </w:rPr>
        <w:t>行</w:t>
      </w:r>
      <w:r>
        <w:rPr>
          <w:rFonts w:hint="eastAsia"/>
          <w:b/>
          <w:bCs/>
          <w:lang w:val="en-US" w:eastAsia="zh-CN"/>
        </w:rPr>
        <w:t xml:space="preserve">    </w:t>
      </w:r>
      <w:r>
        <w:rPr>
          <w:rFonts w:hint="eastAsia"/>
          <w:b/>
          <w:bCs/>
          <w:lang w:val="zh-CN"/>
        </w:rPr>
        <w:t>长：</w:t>
      </w:r>
      <w:r>
        <w:rPr>
          <w:rFonts w:hint="eastAsia"/>
          <w:lang w:val="zh-CN"/>
        </w:rPr>
        <w:t>蔺伦</w:t>
      </w:r>
    </w:p>
    <w:p w14:paraId="435519EE">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行</w:t>
      </w:r>
      <w:r>
        <w:rPr>
          <w:rFonts w:hint="eastAsia"/>
          <w:b/>
          <w:bCs/>
          <w:lang w:val="en-US" w:eastAsia="zh-CN"/>
        </w:rPr>
        <w:t xml:space="preserve"> </w:t>
      </w:r>
      <w:r>
        <w:rPr>
          <w:rFonts w:hint="eastAsia"/>
          <w:b/>
          <w:bCs/>
          <w:lang w:val="zh-CN"/>
        </w:rPr>
        <w:t>长：</w:t>
      </w:r>
      <w:r>
        <w:rPr>
          <w:rFonts w:hint="eastAsia"/>
          <w:lang w:val="zh-CN"/>
        </w:rPr>
        <w:t>岑柏盛</w:t>
      </w:r>
    </w:p>
    <w:p w14:paraId="5ED2CCA3">
      <w:pPr>
        <w:pStyle w:val="11"/>
        <w:bidi w:val="0"/>
        <w:ind w:leftChars="500"/>
        <w:rPr>
          <w:rFonts w:hint="eastAsia"/>
          <w:lang w:val="zh-CN"/>
        </w:rPr>
      </w:pPr>
      <w:r>
        <w:rPr>
          <w:rFonts w:hint="eastAsia"/>
          <w:lang w:val="zh-CN"/>
        </w:rPr>
        <w:t>王</w:t>
      </w:r>
      <w:r>
        <w:rPr>
          <w:rFonts w:hint="eastAsia"/>
          <w:lang w:val="en-US" w:eastAsia="zh-CN"/>
        </w:rPr>
        <w:t xml:space="preserve">  </w:t>
      </w:r>
      <w:r>
        <w:rPr>
          <w:rFonts w:hint="eastAsia"/>
          <w:lang w:val="zh-CN"/>
        </w:rPr>
        <w:t>斌</w:t>
      </w:r>
    </w:p>
    <w:p w14:paraId="3B6F863A">
      <w:pPr>
        <w:pStyle w:val="11"/>
        <w:bidi w:val="0"/>
        <w:rPr>
          <w:rFonts w:hint="eastAsia"/>
          <w:lang w:val="zh-CN"/>
        </w:rPr>
      </w:pPr>
      <w:r>
        <w:rPr>
          <w:rFonts w:hint="eastAsia"/>
          <w:b/>
          <w:bCs/>
          <w:lang w:val="zh-CN"/>
        </w:rPr>
        <w:t>纪委书记：</w:t>
      </w:r>
      <w:r>
        <w:rPr>
          <w:rFonts w:hint="eastAsia"/>
          <w:lang w:val="zh-CN"/>
        </w:rPr>
        <w:t>罗海燕</w:t>
      </w:r>
    </w:p>
    <w:p w14:paraId="1F2B3997">
      <w:pPr>
        <w:pStyle w:val="3"/>
        <w:bidi w:val="0"/>
        <w:rPr>
          <w:rFonts w:hint="eastAsia"/>
          <w:lang w:val="zh-CN"/>
        </w:rPr>
      </w:pPr>
      <w:r>
        <w:rPr>
          <w:rFonts w:hint="eastAsia"/>
          <w:lang w:val="zh-CN"/>
        </w:rPr>
        <w:t>中国工商银行股份有限公司南雄支行</w:t>
      </w:r>
    </w:p>
    <w:p w14:paraId="0074C43B">
      <w:pPr>
        <w:pStyle w:val="4"/>
        <w:bidi w:val="0"/>
        <w:rPr>
          <w:rFonts w:hint="eastAsia"/>
          <w:lang w:val="zh-CN"/>
        </w:rPr>
      </w:pPr>
      <w:r>
        <w:rPr>
          <w:rFonts w:hint="eastAsia"/>
          <w:lang w:val="zh-CN"/>
        </w:rPr>
        <w:t>【概况】</w:t>
      </w:r>
    </w:p>
    <w:p w14:paraId="12C45C20">
      <w:pPr>
        <w:bidi w:val="0"/>
        <w:rPr>
          <w:rFonts w:hint="eastAsia"/>
          <w:lang w:val="zh-CN"/>
        </w:rPr>
      </w:pPr>
      <w:r>
        <w:rPr>
          <w:rFonts w:hint="eastAsia"/>
          <w:lang w:val="zh-CN"/>
        </w:rPr>
        <w:t>中国工商银行股份有限公司南雄支行辖属1个营业部和1个二级支行（建设支行），全行在编员工26人，辖内网点ATM自助银行设施11台（其中：金叶大道自助设备2台，乐华陶瓷厂1台），为客户提供专业、高效和便捷的金融服务。</w:t>
      </w:r>
    </w:p>
    <w:p w14:paraId="7EE42273">
      <w:pPr>
        <w:pStyle w:val="4"/>
        <w:bidi w:val="0"/>
        <w:rPr>
          <w:rFonts w:hint="eastAsia"/>
          <w:lang w:val="zh-CN"/>
        </w:rPr>
      </w:pPr>
      <w:r>
        <w:rPr>
          <w:rFonts w:hint="eastAsia"/>
          <w:lang w:val="zh-CN"/>
        </w:rPr>
        <w:t>【主要业务】</w:t>
      </w:r>
    </w:p>
    <w:p w14:paraId="44E30DD5">
      <w:pPr>
        <w:bidi w:val="0"/>
        <w:rPr>
          <w:rFonts w:hint="eastAsia"/>
          <w:lang w:val="zh-CN"/>
        </w:rPr>
      </w:pPr>
      <w:r>
        <w:rPr>
          <w:rFonts w:hint="eastAsia"/>
          <w:lang w:val="zh-CN"/>
        </w:rPr>
        <w:t>中国工商银行股份有限公司南雄支行金融产品丰富，办理人民币存款、贷款、结算业务；办理票据贴现业务；代理发行金融债券；代理发行、代理兑付、销售政府债券；代理收付款项；代理证券资金清算业务（银证转账）；保险兼业代理业务；办理外币储蓄存款；办理外汇存款、外汇贷款、外汇汇款、外汇兑换；国际结算；经营中国银行业监督管理委员会依照法律、行政法规和其他规定批准的业务。截至2018年年末，本外币各项存款余额11.56亿元，本外币各项贷款余额4.93亿元，实现拨备前账面利润2583万元。年度实现安全运营无事故。</w:t>
      </w:r>
      <w:r>
        <w:rPr>
          <w:rFonts w:hint="eastAsia"/>
          <w:b/>
          <w:bCs/>
          <w:lang w:val="zh-CN"/>
        </w:rPr>
        <w:t>（陈志坚）</w:t>
      </w:r>
    </w:p>
    <w:p w14:paraId="68FCFEAF">
      <w:pPr>
        <w:pStyle w:val="11"/>
        <w:bidi w:val="0"/>
        <w:rPr>
          <w:rFonts w:hint="eastAsia"/>
          <w:b/>
          <w:bCs/>
          <w:lang w:val="zh-CN"/>
        </w:rPr>
      </w:pPr>
      <w:r>
        <w:rPr>
          <w:rFonts w:hint="eastAsia"/>
          <w:b/>
          <w:bCs/>
          <w:lang w:val="zh-CN"/>
        </w:rPr>
        <w:t>附：2018年中国工商银行南雄支行领导班子成员名单</w:t>
      </w:r>
    </w:p>
    <w:p w14:paraId="5D1E5AD7">
      <w:pPr>
        <w:pStyle w:val="11"/>
        <w:bidi w:val="0"/>
        <w:rPr>
          <w:rFonts w:hint="eastAsia"/>
          <w:lang w:val="zh-CN"/>
        </w:rPr>
      </w:pPr>
      <w:r>
        <w:rPr>
          <w:rFonts w:hint="eastAsia"/>
          <w:b/>
          <w:bCs/>
          <w:lang w:val="zh-CN"/>
        </w:rPr>
        <w:t>行</w:t>
      </w:r>
      <w:r>
        <w:rPr>
          <w:rFonts w:hint="eastAsia"/>
          <w:b/>
          <w:bCs/>
          <w:lang w:val="en-US" w:eastAsia="zh-CN"/>
        </w:rPr>
        <w:t xml:space="preserve">  </w:t>
      </w:r>
      <w:r>
        <w:rPr>
          <w:rFonts w:hint="eastAsia"/>
          <w:b/>
          <w:bCs/>
          <w:lang w:val="zh-CN"/>
        </w:rPr>
        <w:t>长：</w:t>
      </w:r>
      <w:r>
        <w:rPr>
          <w:rFonts w:hint="eastAsia"/>
          <w:lang w:val="zh-CN"/>
        </w:rPr>
        <w:t>赖国庆</w:t>
      </w:r>
    </w:p>
    <w:p w14:paraId="13467385">
      <w:pPr>
        <w:pStyle w:val="11"/>
        <w:bidi w:val="0"/>
        <w:rPr>
          <w:rFonts w:hint="eastAsia"/>
          <w:lang w:val="zh-CN"/>
        </w:rPr>
      </w:pPr>
      <w:r>
        <w:rPr>
          <w:rFonts w:hint="eastAsia"/>
          <w:b/>
          <w:bCs/>
          <w:lang w:val="zh-CN"/>
        </w:rPr>
        <w:t>副行长：</w:t>
      </w:r>
      <w:r>
        <w:rPr>
          <w:rFonts w:hint="eastAsia"/>
          <w:lang w:val="zh-CN"/>
        </w:rPr>
        <w:t>叶宏昌</w:t>
      </w:r>
      <w:r>
        <w:rPr>
          <w:rFonts w:hint="eastAsia"/>
          <w:lang w:val="en-US" w:eastAsia="zh-CN"/>
        </w:rPr>
        <w:t xml:space="preserve">   </w:t>
      </w:r>
      <w:r>
        <w:rPr>
          <w:rFonts w:hint="eastAsia"/>
          <w:lang w:val="zh-CN"/>
        </w:rPr>
        <w:t>钟建雄</w:t>
      </w:r>
    </w:p>
    <w:p w14:paraId="34DCECBF">
      <w:pPr>
        <w:pStyle w:val="3"/>
        <w:bidi w:val="0"/>
        <w:rPr>
          <w:rFonts w:hint="eastAsia"/>
          <w:lang w:val="zh-CN"/>
        </w:rPr>
      </w:pPr>
      <w:r>
        <w:rPr>
          <w:rFonts w:hint="eastAsia"/>
          <w:lang w:val="zh-CN"/>
        </w:rPr>
        <w:t>南雄市农村信用合作联社</w:t>
      </w:r>
    </w:p>
    <w:p w14:paraId="4C74346C">
      <w:pPr>
        <w:pStyle w:val="4"/>
        <w:bidi w:val="0"/>
        <w:rPr>
          <w:rFonts w:hint="eastAsia"/>
          <w:lang w:val="zh-CN"/>
        </w:rPr>
      </w:pPr>
      <w:r>
        <w:rPr>
          <w:rFonts w:hint="eastAsia"/>
          <w:lang w:val="zh-CN"/>
        </w:rPr>
        <w:t>【概况】</w:t>
      </w:r>
    </w:p>
    <w:p w14:paraId="7BFCE75B">
      <w:pPr>
        <w:bidi w:val="0"/>
        <w:rPr>
          <w:rFonts w:hint="eastAsia"/>
          <w:lang w:val="zh-CN"/>
        </w:rPr>
      </w:pPr>
      <w:r>
        <w:rPr>
          <w:rFonts w:hint="eastAsia"/>
          <w:lang w:val="zh-CN"/>
        </w:rPr>
        <w:t>南雄市农村信用合作联社（简称南雄联社），内设11个职能部门（分别是办公室、人力资源部、内审监察部、运营部、合规与风险管理部、授信管理部、金融业务部、安全保卫部、小企业贷款专营中心、不良资产清收保全部、改革办）；辖内设立网点21个，其中1个联社营业部，5个基层信用社（分别是雄州信用社、全安信用社、珠玑信用社、黄坑信用社、乌迳信用社），15个分社（分别是城东分社、新城分社、雄中分社、坪田分社、界址分社、南亩分社、大塘分社、水口分社、湖口分社、邓坊分社、古市分社、百顺分社、河南分社、黎口分社、主田分社）。南雄联社从业人员219人，其中获得专业技术职称的80多人。</w:t>
      </w:r>
    </w:p>
    <w:p w14:paraId="5B9D489E">
      <w:pPr>
        <w:pStyle w:val="4"/>
        <w:bidi w:val="0"/>
        <w:rPr>
          <w:rFonts w:hint="eastAsia"/>
          <w:lang w:val="zh-CN"/>
        </w:rPr>
      </w:pPr>
      <w:r>
        <w:rPr>
          <w:rFonts w:hint="eastAsia"/>
          <w:lang w:val="zh-CN"/>
        </w:rPr>
        <w:t>【业务发展】</w:t>
      </w:r>
    </w:p>
    <w:p w14:paraId="0E540F44">
      <w:pPr>
        <w:bidi w:val="0"/>
        <w:rPr>
          <w:rFonts w:hint="eastAsia"/>
          <w:lang w:val="zh-CN"/>
        </w:rPr>
      </w:pPr>
      <w:r>
        <w:rPr>
          <w:rFonts w:hint="eastAsia"/>
          <w:lang w:val="zh-CN"/>
        </w:rPr>
        <w:t>2018年资产总额68.09亿元。各项存款余额62.46亿元，市场占比40.64%，存款规模继续保持辖内各金融机构第一；各项贷款余额13.74亿元，市场占比23.38%，贷款规模位居辖内各金融机构第二。全年实现财务总收入2.4亿元，其中贷款利息收入1.16亿元，占比48.44%；中间业务收入379万元，占比1.58%。利润总额3233万元，净利润2471万元。南雄联社累计发放银行卡39.98万张，发卡存量38.05万张，卡内余额9.45亿元。手银网银存量3.83万户，存量净增1.25万户；短信通存量4.26万户，存量净增0.67万户；商户交易笔数（发卡方+收单方）41.78万笔；移动缴费签约学校42间，缴费金额496万元。</w:t>
      </w:r>
    </w:p>
    <w:p w14:paraId="5AF155AB">
      <w:pPr>
        <w:pStyle w:val="4"/>
        <w:bidi w:val="0"/>
        <w:rPr>
          <w:rFonts w:hint="eastAsia"/>
          <w:lang w:val="zh-CN"/>
        </w:rPr>
      </w:pPr>
      <w:r>
        <w:rPr>
          <w:rFonts w:hint="eastAsia"/>
          <w:lang w:val="zh-CN"/>
        </w:rPr>
        <w:t>【社会责任】</w:t>
      </w:r>
    </w:p>
    <w:p w14:paraId="01F95A8B">
      <w:pPr>
        <w:bidi w:val="0"/>
        <w:rPr>
          <w:rFonts w:hint="eastAsia"/>
          <w:lang w:val="zh-CN"/>
        </w:rPr>
      </w:pPr>
      <w:r>
        <w:rPr>
          <w:rFonts w:hint="eastAsia"/>
          <w:lang w:val="zh-CN"/>
        </w:rPr>
        <w:t>利用普惠金融，助力“三农”经济，改善便民服务。2018年发放贷款5.22亿元，其中涉农贷款4.19亿元，小微企业贷款3.25亿元。创新金融扶贫形式，助力产业扶贫，采取“托管代种代养”模式，推动当地葡萄、百香果、生态猪等三大特色产业上规模、上水平、上效益。帮助214户贫困户建档立卡，发放贫困户扶贫小额贷款793万元。增设助农取款服务点，设立助农取款服务点51个；投放自助设备56台，其中ATM机12台，存取款一体机24台，BST机20台，POS商户存量277户。同时，将经营成果回馈社会，中间业务收费实行打折和免费优惠，为“老、弱、病、残”等特殊客户提供上门服务76人次。</w:t>
      </w:r>
    </w:p>
    <w:p w14:paraId="34B50DD0">
      <w:pPr>
        <w:pStyle w:val="4"/>
        <w:bidi w:val="0"/>
        <w:rPr>
          <w:rFonts w:hint="eastAsia"/>
          <w:lang w:val="zh-CN"/>
        </w:rPr>
      </w:pPr>
      <w:r>
        <w:rPr>
          <w:rFonts w:hint="eastAsia"/>
          <w:lang w:val="zh-CN"/>
        </w:rPr>
        <w:t>【企业改革】</w:t>
      </w:r>
    </w:p>
    <w:p w14:paraId="52BD3639">
      <w:pPr>
        <w:bidi w:val="0"/>
        <w:rPr>
          <w:rFonts w:hint="eastAsia"/>
          <w:lang w:val="zh-CN"/>
        </w:rPr>
      </w:pPr>
      <w:r>
        <w:rPr>
          <w:rFonts w:hint="eastAsia"/>
          <w:lang w:val="zh-CN"/>
        </w:rPr>
        <w:t>南雄联社以2018年6月30日为清产核资基准日，启动改制农商行工作。7月5日，韶关市人民政府组织举行推进韶关地区农合机构改制组建农商银行工作战略签约仪式，南雄联社与广州农村商业银行股份有限公司、南雄市人民政府、广东省农村信用社联合社、中国银行业监督管理委员会韶关监管分局相关代表签订《全面推进韶关地区农合机构改制组建农商银行工作战略合作协议》，12月29日，获取广东银保监局的筹建批复。</w:t>
      </w:r>
    </w:p>
    <w:p w14:paraId="55A7DF2E">
      <w:pPr>
        <w:bidi w:val="0"/>
        <w:jc w:val="right"/>
        <w:rPr>
          <w:rFonts w:hint="eastAsia"/>
          <w:b/>
          <w:bCs/>
          <w:lang w:val="zh-CN"/>
        </w:rPr>
      </w:pPr>
      <w:r>
        <w:rPr>
          <w:rFonts w:hint="eastAsia"/>
          <w:b/>
          <w:bCs/>
          <w:lang w:val="zh-CN"/>
        </w:rPr>
        <w:t>（邓报兵）</w:t>
      </w:r>
    </w:p>
    <w:p w14:paraId="6AFF4BE7">
      <w:pPr>
        <w:pStyle w:val="11"/>
        <w:bidi w:val="0"/>
        <w:rPr>
          <w:rFonts w:hint="eastAsia"/>
          <w:b/>
          <w:bCs/>
          <w:lang w:val="zh-CN"/>
        </w:rPr>
      </w:pPr>
      <w:r>
        <w:rPr>
          <w:rFonts w:hint="eastAsia"/>
          <w:b/>
          <w:bCs/>
          <w:lang w:val="zh-CN"/>
        </w:rPr>
        <w:t>附：2018年市信用合作联社领导班子成员名单</w:t>
      </w:r>
    </w:p>
    <w:p w14:paraId="363757EF">
      <w:pPr>
        <w:pStyle w:val="11"/>
        <w:bidi w:val="0"/>
        <w:rPr>
          <w:rFonts w:hint="eastAsia"/>
          <w:lang w:val="zh-CN"/>
        </w:rPr>
      </w:pPr>
      <w:r>
        <w:rPr>
          <w:rFonts w:hint="eastAsia"/>
          <w:b/>
          <w:bCs/>
          <w:lang w:val="zh-CN"/>
        </w:rPr>
        <w:t>党委书记、理事长：</w:t>
      </w:r>
      <w:r>
        <w:rPr>
          <w:rFonts w:hint="eastAsia"/>
          <w:lang w:val="zh-CN"/>
        </w:rPr>
        <w:t>赖建辉</w:t>
      </w:r>
    </w:p>
    <w:p w14:paraId="48C7FF5E">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叶楚绵</w:t>
      </w:r>
    </w:p>
    <w:p w14:paraId="1B447D77">
      <w:pPr>
        <w:pStyle w:val="11"/>
        <w:bidi w:val="0"/>
        <w:rPr>
          <w:rFonts w:hint="eastAsia"/>
          <w:lang w:val="zh-CN"/>
        </w:rPr>
      </w:pPr>
      <w:r>
        <w:rPr>
          <w:rFonts w:hint="eastAsia"/>
          <w:b/>
          <w:bCs/>
          <w:lang w:val="zh-CN"/>
        </w:rPr>
        <w:t>监事长：</w:t>
      </w:r>
      <w:r>
        <w:rPr>
          <w:rFonts w:hint="eastAsia"/>
          <w:lang w:val="zh-CN"/>
        </w:rPr>
        <w:t>潘昌研</w:t>
      </w:r>
    </w:p>
    <w:p w14:paraId="7DD93DCA">
      <w:pPr>
        <w:pStyle w:val="11"/>
        <w:bidi w:val="0"/>
        <w:rPr>
          <w:rFonts w:hint="eastAsia"/>
          <w:lang w:val="zh-CN"/>
        </w:rPr>
      </w:pPr>
      <w:r>
        <w:rPr>
          <w:rFonts w:hint="eastAsia"/>
          <w:b/>
          <w:bCs/>
          <w:lang w:val="zh-CN"/>
        </w:rPr>
        <w:t>副主任：</w:t>
      </w:r>
      <w:r>
        <w:rPr>
          <w:rFonts w:hint="eastAsia"/>
          <w:lang w:val="zh-CN"/>
        </w:rPr>
        <w:t>邱传军</w:t>
      </w:r>
      <w:r>
        <w:rPr>
          <w:rFonts w:hint="eastAsia"/>
          <w:lang w:val="en-US" w:eastAsia="zh-CN"/>
        </w:rPr>
        <w:t xml:space="preserve">   </w:t>
      </w:r>
      <w:r>
        <w:rPr>
          <w:rFonts w:hint="eastAsia"/>
          <w:lang w:val="zh-CN"/>
        </w:rPr>
        <w:t>陈道玉</w:t>
      </w:r>
    </w:p>
    <w:p w14:paraId="67458183">
      <w:pPr>
        <w:pStyle w:val="3"/>
        <w:bidi w:val="0"/>
        <w:rPr>
          <w:rFonts w:hint="eastAsia"/>
          <w:lang w:val="zh-CN"/>
        </w:rPr>
      </w:pPr>
      <w:r>
        <w:rPr>
          <w:rFonts w:hint="eastAsia"/>
          <w:lang w:val="zh-CN"/>
        </w:rPr>
        <w:t>中国人民财产保险股份有限公司南雄支公司</w:t>
      </w:r>
    </w:p>
    <w:p w14:paraId="11E513A6">
      <w:pPr>
        <w:pStyle w:val="4"/>
        <w:bidi w:val="0"/>
        <w:rPr>
          <w:rFonts w:hint="eastAsia"/>
          <w:lang w:val="zh-CN"/>
        </w:rPr>
      </w:pPr>
      <w:r>
        <w:rPr>
          <w:rFonts w:hint="eastAsia"/>
          <w:lang w:val="zh-CN"/>
        </w:rPr>
        <w:t>【概况】</w:t>
      </w:r>
    </w:p>
    <w:p w14:paraId="54491050">
      <w:pPr>
        <w:bidi w:val="0"/>
        <w:rPr>
          <w:rFonts w:hint="eastAsia"/>
          <w:lang w:val="zh-CN"/>
        </w:rPr>
      </w:pPr>
      <w:r>
        <w:rPr>
          <w:rFonts w:hint="eastAsia"/>
          <w:lang w:val="zh-CN"/>
        </w:rPr>
        <w:t>中国人民财产保险股份有限公司（PICCP&amp;C，简称“中国人保财险”）是经国务院同意、中国保监会批准，于2003年7月由中国人民保险集团公司发起设立的、目前中国内地最大的非寿险公司。业务范围涉及：车辆保险、财产保险，责任保险、意外健康险、工程险、农业保险、信用保证保险、货运险等。南雄支公司建立了延伸至各乡镇、村委会的服务网络，在全市设有3个营销服务部和18个三农保险服务站，拥有一支70多人的高素质专业员工队伍和协保员队伍。在业务规模、服务网络、专业技术和人才队伍等方面尽显特色，能为客户提供全天候、全方位、专业化、差异化的高品质保险服务。</w:t>
      </w:r>
    </w:p>
    <w:p w14:paraId="5A65CB40">
      <w:pPr>
        <w:pStyle w:val="4"/>
        <w:bidi w:val="0"/>
        <w:rPr>
          <w:rFonts w:hint="eastAsia"/>
          <w:lang w:val="zh-CN"/>
        </w:rPr>
      </w:pPr>
      <w:r>
        <w:rPr>
          <w:rFonts w:hint="eastAsia"/>
          <w:lang w:val="zh-CN"/>
        </w:rPr>
        <w:t>【保险业绩】</w:t>
      </w:r>
    </w:p>
    <w:p w14:paraId="65A02B04">
      <w:pPr>
        <w:bidi w:val="0"/>
        <w:rPr>
          <w:rFonts w:hint="eastAsia"/>
          <w:lang w:val="zh-CN"/>
        </w:rPr>
      </w:pPr>
      <w:r>
        <w:rPr>
          <w:rFonts w:hint="eastAsia"/>
          <w:lang w:val="zh-CN"/>
        </w:rPr>
        <w:t>2018年，公司全险种累计保费5852.56万元，同比增长17.69%，车险市场份额占全市行业市场份额约为50.68%，牢固占据市场主导地位。其中车险保费3513.46万元，占全险种保费60%；商业非车险保费691.45万元；农险保费1647.65万元。2018年全险种赔案5738件，赔款支出2610万元。</w:t>
      </w:r>
    </w:p>
    <w:p w14:paraId="6FF6D9AF">
      <w:pPr>
        <w:pStyle w:val="4"/>
        <w:bidi w:val="0"/>
        <w:rPr>
          <w:rFonts w:hint="eastAsia"/>
          <w:lang w:val="zh-CN"/>
        </w:rPr>
      </w:pPr>
      <w:r>
        <w:rPr>
          <w:rFonts w:hint="eastAsia"/>
          <w:lang w:val="zh-CN"/>
        </w:rPr>
        <w:t>【服务民生】</w:t>
      </w:r>
    </w:p>
    <w:p w14:paraId="26A6EE37">
      <w:pPr>
        <w:bidi w:val="0"/>
        <w:rPr>
          <w:rFonts w:hint="eastAsia"/>
          <w:lang w:val="zh-CN"/>
        </w:rPr>
      </w:pPr>
      <w:r>
        <w:rPr>
          <w:rFonts w:hint="eastAsia"/>
          <w:lang w:val="zh-CN"/>
        </w:rPr>
        <w:t>公司与市农业局、市畜牧局等职能部门加强合作，开展各类政策性农业保险，投入服务民生，助力“三农”发展，提供空中救援等服务保障，恪守“人民保险，服务人民”的宗旨，通过有效的保险保障、全面的风险管理和及时的保险赔付，为南雄经济建设、社会发展、人民福祉保驾护航。</w:t>
      </w:r>
    </w:p>
    <w:p w14:paraId="0B28417C">
      <w:pPr>
        <w:pStyle w:val="4"/>
        <w:bidi w:val="0"/>
        <w:rPr>
          <w:rFonts w:hint="eastAsia"/>
          <w:lang w:val="zh-CN"/>
        </w:rPr>
      </w:pPr>
      <w:r>
        <w:rPr>
          <w:rFonts w:hint="eastAsia"/>
          <w:lang w:val="zh-CN"/>
        </w:rPr>
        <w:t>【精准扶贫】</w:t>
      </w:r>
    </w:p>
    <w:p w14:paraId="2B613D65">
      <w:pPr>
        <w:bidi w:val="0"/>
        <w:jc w:val="right"/>
        <w:rPr>
          <w:rFonts w:hint="eastAsia"/>
          <w:lang w:val="zh-CN"/>
        </w:rPr>
      </w:pPr>
      <w:r>
        <w:rPr>
          <w:rFonts w:hint="eastAsia"/>
          <w:lang w:val="zh-CN"/>
        </w:rPr>
        <w:t>响应市政府号召，参与百顺镇村委会辖区的精准扶贫，公司将此项工作列入议事日程，组织有关人员入村住户，着力办实事好事，用好扶贫政策，帮助改善困难户的居住条件。自筹资金7万多元，配合镇政府及相关部门，支持挂点的基础建设，完成溪头村安装路灯二期工程，帮扶修桥修路，改善村的交通状况。</w:t>
      </w:r>
      <w:r>
        <w:rPr>
          <w:rFonts w:hint="eastAsia"/>
          <w:b/>
          <w:bCs/>
          <w:lang w:val="zh-CN"/>
        </w:rPr>
        <w:t>（张青青）</w:t>
      </w:r>
    </w:p>
    <w:p w14:paraId="7A08BD0B">
      <w:pPr>
        <w:pStyle w:val="11"/>
        <w:bidi w:val="0"/>
        <w:rPr>
          <w:rFonts w:hint="eastAsia"/>
          <w:b/>
          <w:bCs/>
          <w:lang w:val="zh-CN"/>
        </w:rPr>
      </w:pPr>
      <w:r>
        <w:rPr>
          <w:rFonts w:hint="eastAsia"/>
          <w:b/>
          <w:bCs/>
          <w:lang w:val="zh-CN"/>
        </w:rPr>
        <w:t>附：2018年中国人民财产保险南雄支公司领导班子成员名单</w:t>
      </w:r>
    </w:p>
    <w:p w14:paraId="46C64F5E">
      <w:pPr>
        <w:pStyle w:val="11"/>
        <w:bidi w:val="0"/>
        <w:rPr>
          <w:rFonts w:hint="eastAsia"/>
          <w:lang w:val="zh-CN"/>
        </w:rPr>
      </w:pPr>
      <w:r>
        <w:rPr>
          <w:rFonts w:hint="eastAsia"/>
          <w:b/>
          <w:bCs/>
          <w:lang w:val="zh-CN"/>
        </w:rPr>
        <w:t>总</w:t>
      </w:r>
      <w:r>
        <w:rPr>
          <w:rFonts w:hint="eastAsia"/>
          <w:b/>
          <w:bCs/>
          <w:lang w:val="en-US" w:eastAsia="zh-CN"/>
        </w:rPr>
        <w:t xml:space="preserve">  </w:t>
      </w:r>
      <w:r>
        <w:rPr>
          <w:rFonts w:hint="eastAsia"/>
          <w:b/>
          <w:bCs/>
          <w:lang w:val="zh-CN"/>
        </w:rPr>
        <w:t>经</w:t>
      </w:r>
      <w:r>
        <w:rPr>
          <w:rFonts w:hint="eastAsia"/>
          <w:b/>
          <w:bCs/>
          <w:lang w:val="en-US" w:eastAsia="zh-CN"/>
        </w:rPr>
        <w:t xml:space="preserve">  </w:t>
      </w:r>
      <w:r>
        <w:rPr>
          <w:rFonts w:hint="eastAsia"/>
          <w:b/>
          <w:bCs/>
          <w:lang w:val="zh-CN"/>
        </w:rPr>
        <w:t>理：</w:t>
      </w:r>
      <w:r>
        <w:rPr>
          <w:rFonts w:hint="eastAsia"/>
          <w:lang w:val="zh-CN"/>
        </w:rPr>
        <w:t>黄信峰</w:t>
      </w:r>
    </w:p>
    <w:p w14:paraId="2B05F1D2">
      <w:pPr>
        <w:pStyle w:val="11"/>
        <w:bidi w:val="0"/>
        <w:rPr>
          <w:rFonts w:hint="eastAsia"/>
          <w:lang w:val="zh-CN"/>
        </w:rPr>
      </w:pPr>
      <w:r>
        <w:rPr>
          <w:rFonts w:hint="eastAsia"/>
          <w:b/>
          <w:bCs/>
          <w:lang w:val="zh-CN"/>
        </w:rPr>
        <w:t>总经理助理：</w:t>
      </w:r>
      <w:r>
        <w:rPr>
          <w:rFonts w:hint="eastAsia"/>
          <w:lang w:val="zh-CN"/>
        </w:rPr>
        <w:t>陈世华</w:t>
      </w:r>
    </w:p>
    <w:p w14:paraId="1EC5476B">
      <w:pPr>
        <w:pStyle w:val="11"/>
        <w:bidi w:val="0"/>
        <w:rPr>
          <w:rFonts w:hint="eastAsia"/>
          <w:lang w:val="zh-CN"/>
        </w:rPr>
      </w:pPr>
      <w:r>
        <w:rPr>
          <w:rFonts w:hint="eastAsia"/>
          <w:b/>
          <w:bCs/>
          <w:lang w:val="zh-CN"/>
        </w:rPr>
        <w:t>见</w:t>
      </w:r>
      <w:r>
        <w:rPr>
          <w:rFonts w:hint="eastAsia"/>
          <w:b/>
          <w:bCs/>
          <w:lang w:val="en-US" w:eastAsia="zh-CN"/>
        </w:rPr>
        <w:t xml:space="preserve"> </w:t>
      </w:r>
      <w:r>
        <w:rPr>
          <w:rFonts w:hint="eastAsia"/>
          <w:b/>
          <w:bCs/>
          <w:lang w:val="zh-CN"/>
        </w:rPr>
        <w:t>习</w:t>
      </w:r>
      <w:r>
        <w:rPr>
          <w:rFonts w:hint="eastAsia"/>
          <w:b/>
          <w:bCs/>
          <w:lang w:val="en-US" w:eastAsia="zh-CN"/>
        </w:rPr>
        <w:t xml:space="preserve"> </w:t>
      </w:r>
      <w:r>
        <w:rPr>
          <w:rFonts w:hint="eastAsia"/>
          <w:b/>
          <w:bCs/>
          <w:lang w:val="zh-CN"/>
        </w:rPr>
        <w:t>经理：</w:t>
      </w:r>
      <w:r>
        <w:rPr>
          <w:rFonts w:hint="eastAsia"/>
          <w:lang w:val="zh-CN"/>
        </w:rPr>
        <w:t>李治华</w:t>
      </w:r>
    </w:p>
    <w:p w14:paraId="14F5F291">
      <w:pPr>
        <w:pStyle w:val="3"/>
        <w:bidi w:val="0"/>
        <w:rPr>
          <w:rFonts w:hint="eastAsia"/>
          <w:lang w:val="zh-CN"/>
        </w:rPr>
      </w:pPr>
      <w:r>
        <w:rPr>
          <w:rFonts w:hint="eastAsia"/>
          <w:lang w:val="zh-CN"/>
        </w:rPr>
        <w:t>中国人寿保险股份有限公司南雄市支公司</w:t>
      </w:r>
    </w:p>
    <w:p w14:paraId="53689738">
      <w:pPr>
        <w:pStyle w:val="4"/>
        <w:bidi w:val="0"/>
        <w:rPr>
          <w:rFonts w:hint="eastAsia"/>
          <w:lang w:val="zh-CN"/>
        </w:rPr>
      </w:pPr>
      <w:r>
        <w:rPr>
          <w:rFonts w:hint="eastAsia"/>
          <w:lang w:val="zh-CN"/>
        </w:rPr>
        <w:t>【概况】</w:t>
      </w:r>
    </w:p>
    <w:p w14:paraId="1D253CF8">
      <w:pPr>
        <w:bidi w:val="0"/>
        <w:rPr>
          <w:rFonts w:hint="eastAsia"/>
          <w:lang w:val="zh-CN"/>
        </w:rPr>
      </w:pPr>
      <w:r>
        <w:rPr>
          <w:rFonts w:hint="eastAsia"/>
          <w:lang w:val="zh-CN"/>
        </w:rPr>
        <w:t>中国人寿保险股份有限公司南雄市支公司，内设经理室、综合部、个人保险业务部、团体保险业务部、银行保险业务部和客户服务中心6个部门，辖属设有7个营销服务网点（乌迳镇营业部、黄坑镇营销服务部、湖口镇营销服务部、水口镇营销服务部、珠玑镇营销服务部、第一营销服务部、雄州营销服务部），公司拥有干部员工14人，个人代理人员441人。</w:t>
      </w:r>
    </w:p>
    <w:p w14:paraId="6515DED6">
      <w:pPr>
        <w:pStyle w:val="4"/>
        <w:bidi w:val="0"/>
        <w:rPr>
          <w:rFonts w:hint="eastAsia"/>
          <w:lang w:val="zh-CN"/>
        </w:rPr>
      </w:pPr>
      <w:r>
        <w:rPr>
          <w:rFonts w:hint="eastAsia"/>
          <w:lang w:val="zh-CN"/>
        </w:rPr>
        <w:t>【经营业务】</w:t>
      </w:r>
    </w:p>
    <w:p w14:paraId="0683AFC8">
      <w:pPr>
        <w:bidi w:val="0"/>
        <w:rPr>
          <w:rFonts w:hint="eastAsia"/>
          <w:lang w:val="zh-CN"/>
        </w:rPr>
      </w:pPr>
      <w:r>
        <w:rPr>
          <w:rFonts w:hint="eastAsia"/>
          <w:lang w:val="zh-CN"/>
        </w:rPr>
        <w:t>中国人寿保险股份有限公司南雄市支公司向个人及团体提供人寿、年金、健康、意外伤害和车辆保险产品，涵盖生存、养老、疾病、医疗、身故、残疾等多种保障范围，满足客户在人身保险领域的保险保障和投资理财需求。2018年度承保人数5.86万人，承担风险保险金额278.64亿元，完成总保险费收入9026万元，其中个人保险业务部实现保险费收入7581万元，团体保险业务部实现保险费收入483万；银行保险业务部实现保险费收入962万元，赔付支出保险费4187万元，其中死亡给付245万元，医疗给付170万元，赔款支出231万元，年金给付399万元，满期给付3142万元。</w:t>
      </w:r>
    </w:p>
    <w:p w14:paraId="6D3B282D">
      <w:pPr>
        <w:pStyle w:val="4"/>
        <w:bidi w:val="0"/>
        <w:rPr>
          <w:rFonts w:hint="eastAsia"/>
          <w:lang w:val="zh-CN"/>
        </w:rPr>
      </w:pPr>
      <w:r>
        <w:rPr>
          <w:rFonts w:hint="eastAsia"/>
          <w:lang w:val="zh-CN"/>
        </w:rPr>
        <w:t>【保险产品】</w:t>
      </w:r>
    </w:p>
    <w:p w14:paraId="1EA586C7">
      <w:pPr>
        <w:bidi w:val="0"/>
        <w:rPr>
          <w:rFonts w:hint="eastAsia"/>
          <w:lang w:val="zh-CN"/>
        </w:rPr>
      </w:pPr>
      <w:r>
        <w:rPr>
          <w:rFonts w:hint="eastAsia"/>
          <w:lang w:val="zh-CN"/>
        </w:rPr>
        <w:t>2018年主要以国寿盛世尊享年金保险（分红型）、国寿鑫享鸿福年金保险、国寿鑫享金生年金保险、国寿防癌疾病保险、康宁万能保险、国寿如意随行两全保险等为个人代理业务主打产品。同时为单位和个人提供国寿绿洲意外伤害保险、国寿绿洲附加意外伤害团体医疗保险、银龄安康保险及专门为扶贫工作队员、贫困户开发扶贫保险等意外保障。并推出鑫禧宝年金保险、鑫富宝年金保险等银行网点代理业务，与各大商业银行签订代理销售合作协议。</w:t>
      </w:r>
    </w:p>
    <w:p w14:paraId="5E2D87B7">
      <w:pPr>
        <w:bidi w:val="0"/>
        <w:jc w:val="right"/>
        <w:rPr>
          <w:rFonts w:hint="eastAsia"/>
          <w:b/>
          <w:bCs/>
          <w:lang w:val="zh-CN"/>
        </w:rPr>
      </w:pPr>
      <w:r>
        <w:rPr>
          <w:rFonts w:hint="eastAsia"/>
          <w:b/>
          <w:bCs/>
          <w:lang w:val="zh-CN"/>
        </w:rPr>
        <w:t>（黎盛维）</w:t>
      </w:r>
    </w:p>
    <w:p w14:paraId="74D35CFB">
      <w:pPr>
        <w:pStyle w:val="11"/>
        <w:bidi w:val="0"/>
        <w:rPr>
          <w:rFonts w:hint="eastAsia"/>
          <w:lang w:val="zh-CN"/>
        </w:rPr>
      </w:pPr>
      <w:r>
        <w:rPr>
          <w:rFonts w:hint="eastAsia"/>
          <w:b/>
          <w:bCs/>
          <w:lang w:val="zh-CN"/>
        </w:rPr>
        <w:t>附：2018年中国人寿保险南雄支公司领导班子成员名单</w:t>
      </w:r>
    </w:p>
    <w:p w14:paraId="27F80CBB">
      <w:pPr>
        <w:pStyle w:val="11"/>
        <w:bidi w:val="0"/>
        <w:rPr>
          <w:rFonts w:hint="eastAsia"/>
          <w:lang w:val="zh-CN"/>
        </w:rPr>
      </w:pPr>
      <w:r>
        <w:rPr>
          <w:rFonts w:hint="eastAsia"/>
          <w:b/>
          <w:bCs/>
          <w:lang w:val="zh-CN"/>
        </w:rPr>
        <w:t>总</w:t>
      </w:r>
      <w:r>
        <w:rPr>
          <w:rFonts w:hint="eastAsia"/>
          <w:b/>
          <w:bCs/>
          <w:lang w:val="en-US" w:eastAsia="zh-CN"/>
        </w:rPr>
        <w:t xml:space="preserve">  </w:t>
      </w:r>
      <w:r>
        <w:rPr>
          <w:rFonts w:hint="eastAsia"/>
          <w:b/>
          <w:bCs/>
          <w:lang w:val="zh-CN"/>
        </w:rPr>
        <w:t>经</w:t>
      </w:r>
      <w:r>
        <w:rPr>
          <w:rFonts w:hint="eastAsia"/>
          <w:b/>
          <w:bCs/>
          <w:lang w:val="en-US" w:eastAsia="zh-CN"/>
        </w:rPr>
        <w:t xml:space="preserve">  </w:t>
      </w:r>
      <w:r>
        <w:rPr>
          <w:rFonts w:hint="eastAsia"/>
          <w:b/>
          <w:bCs/>
          <w:lang w:val="zh-CN"/>
        </w:rPr>
        <w:t>理：</w:t>
      </w:r>
      <w:r>
        <w:rPr>
          <w:rFonts w:hint="eastAsia"/>
          <w:lang w:val="zh-CN"/>
        </w:rPr>
        <w:t>沈新荣</w:t>
      </w:r>
    </w:p>
    <w:p w14:paraId="513F2747">
      <w:pPr>
        <w:pStyle w:val="11"/>
        <w:bidi w:val="0"/>
        <w:rPr>
          <w:rFonts w:hint="eastAsia"/>
          <w:lang w:val="zh-CN"/>
        </w:rPr>
      </w:pPr>
      <w:r>
        <w:rPr>
          <w:rFonts w:hint="eastAsia"/>
          <w:b/>
          <w:bCs/>
          <w:lang w:val="zh-CN"/>
        </w:rPr>
        <w:t>总经理助理：</w:t>
      </w:r>
      <w:r>
        <w:rPr>
          <w:rFonts w:hint="eastAsia"/>
          <w:lang w:val="zh-CN"/>
        </w:rPr>
        <w:t>潘希权</w:t>
      </w:r>
    </w:p>
    <w:p w14:paraId="3AB56E1C">
      <w:pPr>
        <w:pStyle w:val="2"/>
        <w:bidi w:val="0"/>
        <w:rPr>
          <w:rFonts w:hint="eastAsia"/>
        </w:rPr>
      </w:pPr>
      <w:r>
        <w:rPr>
          <w:rFonts w:hint="eastAsia"/>
        </w:rPr>
        <w:t>工业·重点企业</w:t>
      </w:r>
    </w:p>
    <w:p w14:paraId="33579AF0">
      <w:pPr>
        <w:pStyle w:val="3"/>
        <w:bidi w:val="0"/>
        <w:rPr>
          <w:rFonts w:hint="eastAsia"/>
          <w:lang w:val="zh-CN"/>
        </w:rPr>
      </w:pPr>
      <w:r>
        <w:rPr>
          <w:rFonts w:hint="eastAsia"/>
          <w:lang w:val="zh-CN"/>
        </w:rPr>
        <w:t>商贸服务</w:t>
      </w:r>
    </w:p>
    <w:p w14:paraId="531653EE">
      <w:pPr>
        <w:pStyle w:val="4"/>
        <w:bidi w:val="0"/>
        <w:rPr>
          <w:rFonts w:hint="eastAsia"/>
          <w:lang w:val="zh-CN"/>
        </w:rPr>
      </w:pPr>
      <w:r>
        <w:rPr>
          <w:rFonts w:hint="eastAsia"/>
          <w:lang w:val="zh-CN"/>
        </w:rPr>
        <w:t>【概况】</w:t>
      </w:r>
    </w:p>
    <w:p w14:paraId="333F51B3">
      <w:pPr>
        <w:bidi w:val="0"/>
        <w:rPr>
          <w:rFonts w:hint="eastAsia"/>
          <w:lang w:val="zh-CN"/>
        </w:rPr>
      </w:pPr>
      <w:r>
        <w:rPr>
          <w:rFonts w:hint="eastAsia"/>
          <w:lang w:val="zh-CN"/>
        </w:rPr>
        <w:t>南雄市经济和信息化局是南雄市工业、商贸和信息化的业务主管部门，前身是南雄市经济贸易局。挂市科学技术局、市知识产权局、市地震局牌子。设9个内设机构，分别为办公室、民营经济发展股（中小企业局、中小企业服务中心）、经济运行股、科技能源股、信息管理股（无线电管理办公室）、科技业务股、知识产权股、地震工作办公室、大数据管理股；设3个事业单位，分别为节能监察中心、科学技术开发服务中心、电子商务公共服务中心。总编制33名，其中行政编制19名，事业编制12名，后勤2名。</w:t>
      </w:r>
    </w:p>
    <w:p w14:paraId="2183D097">
      <w:pPr>
        <w:pStyle w:val="4"/>
        <w:bidi w:val="0"/>
        <w:rPr>
          <w:rFonts w:hint="eastAsia"/>
          <w:lang w:val="zh-CN"/>
        </w:rPr>
      </w:pPr>
      <w:r>
        <w:rPr>
          <w:rFonts w:hint="eastAsia"/>
          <w:lang w:val="zh-CN"/>
        </w:rPr>
        <w:t>【经济运行】</w:t>
      </w:r>
    </w:p>
    <w:p w14:paraId="63DEEB17">
      <w:pPr>
        <w:bidi w:val="0"/>
        <w:rPr>
          <w:rFonts w:hint="eastAsia"/>
          <w:lang w:val="zh-CN"/>
        </w:rPr>
      </w:pPr>
      <w:r>
        <w:rPr>
          <w:rFonts w:hint="eastAsia"/>
          <w:lang w:val="zh-CN"/>
        </w:rPr>
        <w:t>2018年全市工业增加值15.6亿元，同比增长15.2%，其中规上工业实现工业增加值11.6亿元，同比增长23.4%；工业用电3.6亿度，增长72.5%。新增规上企业5家。</w:t>
      </w:r>
    </w:p>
    <w:p w14:paraId="3976C39F">
      <w:pPr>
        <w:pStyle w:val="4"/>
        <w:bidi w:val="0"/>
        <w:rPr>
          <w:rFonts w:hint="eastAsia"/>
          <w:lang w:val="zh-CN"/>
        </w:rPr>
      </w:pPr>
      <w:r>
        <w:rPr>
          <w:rFonts w:hint="eastAsia"/>
          <w:lang w:val="zh-CN"/>
        </w:rPr>
        <w:t>【经济运行监测】</w:t>
      </w:r>
    </w:p>
    <w:p w14:paraId="18B71901">
      <w:pPr>
        <w:bidi w:val="0"/>
        <w:rPr>
          <w:rFonts w:hint="eastAsia"/>
          <w:lang w:val="zh-CN"/>
        </w:rPr>
      </w:pPr>
      <w:r>
        <w:rPr>
          <w:rFonts w:hint="eastAsia"/>
          <w:lang w:val="zh-CN"/>
        </w:rPr>
        <w:t>建立重点企业运行监测台账，每月对企业的经济指标运行情况进行监测，同时增加企业生产、利润、营业成本、用工指标的监测，增强运行分析的针对性和指导性，促进全市工业经济发展。2018年全市新增规模以上工业企业5家。</w:t>
      </w:r>
    </w:p>
    <w:p w14:paraId="51A07B4D">
      <w:pPr>
        <w:pStyle w:val="4"/>
        <w:bidi w:val="0"/>
        <w:rPr>
          <w:rFonts w:hint="eastAsia"/>
          <w:lang w:val="zh-CN"/>
        </w:rPr>
      </w:pPr>
      <w:r>
        <w:rPr>
          <w:rFonts w:hint="eastAsia"/>
          <w:lang w:val="zh-CN"/>
        </w:rPr>
        <w:t>【中小企业发展】</w:t>
      </w:r>
    </w:p>
    <w:p w14:paraId="38E40F30">
      <w:pPr>
        <w:bidi w:val="0"/>
        <w:rPr>
          <w:rFonts w:hint="eastAsia"/>
          <w:lang w:val="zh-CN"/>
        </w:rPr>
      </w:pPr>
      <w:r>
        <w:rPr>
          <w:rFonts w:hint="eastAsia"/>
          <w:lang w:val="zh-CN"/>
        </w:rPr>
        <w:t>2018年统筹890万元对25家企业进行扶持奖励。完成14个项目备案，工业投资完成额14.95亿元，其中工业技术改造项目投资完成额3.35亿元。获上级扶持资金516.21万元，组织2家服务机构申报韶关市中小企业公共服务示范平台并获认定。组织20家中小企业进行网上运行监测申报工作。建立企业融资信贷评估体系。出台《南雄市中小微企业贷款风险补偿基金管理办法》，成立“贷管会”并开设1000万元风险补偿基金，向银行推荐15家企业，6家银行正在审核中，4家企业获贷款资金1150万元。抓实14家倍增计划企业和36家高质量实体经济企业。按照“一企一策”原则，对14家入选倍增计划企业开展精准帮扶。同时对首批36家高质量实体经济示范企业跟踪监测，建立信息共享机制。</w:t>
      </w:r>
    </w:p>
    <w:p w14:paraId="7CA2332B">
      <w:pPr>
        <w:pStyle w:val="4"/>
        <w:bidi w:val="0"/>
        <w:rPr>
          <w:rFonts w:hint="eastAsia"/>
          <w:lang w:val="zh-CN"/>
        </w:rPr>
      </w:pPr>
      <w:r>
        <w:rPr>
          <w:rFonts w:hint="eastAsia"/>
          <w:lang w:val="zh-CN"/>
        </w:rPr>
        <w:t>【企业提质增效】</w:t>
      </w:r>
    </w:p>
    <w:p w14:paraId="161C430E">
      <w:pPr>
        <w:bidi w:val="0"/>
        <w:rPr>
          <w:rFonts w:hint="eastAsia"/>
          <w:lang w:val="zh-CN"/>
        </w:rPr>
      </w:pPr>
      <w:r>
        <w:rPr>
          <w:rFonts w:hint="eastAsia"/>
          <w:lang w:val="zh-CN"/>
        </w:rPr>
        <w:t>继续履行“统筹协调、跟进落实、督查督办”的职责，健全工作机制，执行“一企一档”、每周召开产业攻坚工作例会、重要事项形成会议纪要等制度。制定产业攻坚督查督办工作方案，将产业攻坚工作列入机关绩效考核内容。2018年来形成专题会议纪要21期，及时解决26家企业反映的106个问题。</w:t>
      </w:r>
    </w:p>
    <w:p w14:paraId="6936A964">
      <w:pPr>
        <w:pStyle w:val="4"/>
        <w:bidi w:val="0"/>
        <w:rPr>
          <w:rFonts w:hint="eastAsia"/>
          <w:lang w:val="zh-CN"/>
        </w:rPr>
      </w:pPr>
      <w:r>
        <w:rPr>
          <w:rFonts w:hint="eastAsia"/>
          <w:lang w:val="zh-CN"/>
        </w:rPr>
        <w:t>【督办重点项目】</w:t>
      </w:r>
    </w:p>
    <w:p w14:paraId="122C93EA">
      <w:pPr>
        <w:bidi w:val="0"/>
        <w:rPr>
          <w:rFonts w:hint="eastAsia"/>
          <w:lang w:val="zh-CN"/>
        </w:rPr>
      </w:pPr>
      <w:r>
        <w:rPr>
          <w:rFonts w:hint="eastAsia"/>
          <w:lang w:val="zh-CN"/>
        </w:rPr>
        <w:t>实行建设项目定时报告制度，做好跟踪服务，帮助企业解决项目建设中存在的具体困难和问题。绿洲生态植物纤维餐具项目，完成投资2.2亿元，11月进行试产；投资3000万元的罗曼钢琴项目完成新厂房建设；完成电商示范企业5家、电商示范村18个；新增入园企业10家，年销售额增长15％。</w:t>
      </w:r>
    </w:p>
    <w:p w14:paraId="50F42EE0">
      <w:pPr>
        <w:pStyle w:val="4"/>
        <w:bidi w:val="0"/>
        <w:rPr>
          <w:rFonts w:hint="eastAsia"/>
          <w:lang w:val="zh-CN"/>
        </w:rPr>
      </w:pPr>
      <w:r>
        <w:rPr>
          <w:rFonts w:hint="eastAsia"/>
          <w:lang w:val="zh-CN"/>
        </w:rPr>
        <w:t>【电商产业发展】</w:t>
      </w:r>
    </w:p>
    <w:p w14:paraId="48CCABC2">
      <w:pPr>
        <w:bidi w:val="0"/>
        <w:rPr>
          <w:rFonts w:hint="eastAsia"/>
          <w:lang w:val="zh-CN"/>
        </w:rPr>
      </w:pPr>
      <w:r>
        <w:rPr>
          <w:rFonts w:hint="eastAsia"/>
          <w:lang w:val="zh-CN"/>
        </w:rPr>
        <w:t>做大做强电子商务产业园，入驻电商中心66家企业，成功孵化电商企业13家，金友、康绿宝、文华等10几家企业积极自建电商平台。建立村级电商服务站237个，镇级电商服务站28个。68个省定贫困村有67个建设完成农村电商服务站，带动贫困户农产品上行销售额达2700多万元，贫困户实现增收972万元，户均增收1.23万元，人均增收3400元。电商运营力度不断加大。全市在淘宝、天猫开设多类网店700多家，活跃卖家600多家，登记注册电商企业291家，电商从业人员6200人。2018年开展电商培训9期375人次，全市电商交易额达14.9亿元，入驻园区企业网络销售额达4.2亿元，农产品上行8540万元。阿里巴巴农村淘宝“村小二”被评为广东省农村“电商优秀县域”。</w:t>
      </w:r>
    </w:p>
    <w:p w14:paraId="7DAA4B65">
      <w:pPr>
        <w:pStyle w:val="4"/>
        <w:bidi w:val="0"/>
        <w:rPr>
          <w:rFonts w:hint="eastAsia"/>
          <w:lang w:val="zh-CN"/>
        </w:rPr>
      </w:pPr>
      <w:r>
        <w:rPr>
          <w:rFonts w:hint="eastAsia"/>
          <w:lang w:val="zh-CN"/>
        </w:rPr>
        <w:t>【信息基础建设】</w:t>
      </w:r>
    </w:p>
    <w:p w14:paraId="3DD4F373">
      <w:pPr>
        <w:bidi w:val="0"/>
        <w:rPr>
          <w:rFonts w:hint="eastAsia"/>
          <w:lang w:val="zh-CN"/>
        </w:rPr>
      </w:pPr>
      <w:r>
        <w:rPr>
          <w:rFonts w:hint="eastAsia"/>
          <w:lang w:val="zh-CN"/>
        </w:rPr>
        <w:t>大力推进光纤网络和移动网络建设进度，推动“村村通光纤”和“4G下乡”工程，普及偏远山村地区光纤及移动网络。并结合行业扶贫，解决贫困村村民“有网络信号”问题。全市208个行政村（含68个省定贫困村）全部连通光纤。移动4G网络覆盖201个行政村的1402个自然村。</w:t>
      </w:r>
    </w:p>
    <w:p w14:paraId="572A33A7">
      <w:pPr>
        <w:pStyle w:val="4"/>
        <w:bidi w:val="0"/>
        <w:rPr>
          <w:rFonts w:hint="eastAsia"/>
          <w:lang w:val="zh-CN"/>
        </w:rPr>
      </w:pPr>
      <w:r>
        <w:rPr>
          <w:rFonts w:hint="eastAsia"/>
          <w:lang w:val="zh-CN"/>
        </w:rPr>
        <w:t>【节能降耗增益】</w:t>
      </w:r>
    </w:p>
    <w:p w14:paraId="3295D9D7">
      <w:pPr>
        <w:bidi w:val="0"/>
        <w:rPr>
          <w:rFonts w:hint="eastAsia"/>
          <w:lang w:val="zh-CN"/>
        </w:rPr>
      </w:pPr>
      <w:r>
        <w:rPr>
          <w:rFonts w:hint="eastAsia"/>
          <w:lang w:val="zh-CN"/>
        </w:rPr>
        <w:t>2018年组织3家“广东省万家企业”每月按时完成能耗上报，组织26家市内重点用能企业按时完成韶关市能耗统计上报和审核工作。通过2家企业清洁生产任务，淘汰落后变压器，完成浈江电业变压器技改工作，促进帽子峰林场、雄洲水电、绿洲公司技改。</w:t>
      </w:r>
    </w:p>
    <w:p w14:paraId="2A4377C5">
      <w:pPr>
        <w:pStyle w:val="4"/>
        <w:bidi w:val="0"/>
        <w:rPr>
          <w:rFonts w:hint="eastAsia"/>
          <w:lang w:val="zh-CN"/>
        </w:rPr>
      </w:pPr>
      <w:r>
        <w:rPr>
          <w:rFonts w:hint="eastAsia"/>
          <w:lang w:val="zh-CN"/>
        </w:rPr>
        <w:t>【水泥建材】</w:t>
      </w:r>
    </w:p>
    <w:p w14:paraId="1CC66382">
      <w:pPr>
        <w:bidi w:val="0"/>
        <w:rPr>
          <w:rFonts w:hint="eastAsia"/>
          <w:b/>
          <w:bCs/>
          <w:lang w:val="zh-CN"/>
        </w:rPr>
      </w:pPr>
      <w:r>
        <w:rPr>
          <w:rFonts w:hint="eastAsia"/>
          <w:lang w:val="zh-CN"/>
        </w:rPr>
        <w:t>2018年彤置富水泥生产、销售合格熟料产品160万吨，实现现金收入4.8亿元、利润6500万元、税金近1000万元，安排社会就业280多人。</w:t>
      </w:r>
      <w:r>
        <w:rPr>
          <w:rFonts w:hint="eastAsia"/>
          <w:b/>
          <w:bCs/>
          <w:lang w:val="zh-CN"/>
        </w:rPr>
        <w:t>（陈连连）</w:t>
      </w:r>
    </w:p>
    <w:p w14:paraId="02CCB8E9">
      <w:pPr>
        <w:pStyle w:val="11"/>
        <w:bidi w:val="0"/>
        <w:rPr>
          <w:rFonts w:hint="eastAsia"/>
          <w:b/>
          <w:bCs/>
          <w:lang w:val="zh-CN"/>
        </w:rPr>
      </w:pPr>
      <w:r>
        <w:rPr>
          <w:rFonts w:hint="eastAsia"/>
          <w:b/>
          <w:bCs/>
          <w:lang w:val="zh-CN"/>
        </w:rPr>
        <w:t>附：2018年市经信局领导班子成员名单</w:t>
      </w:r>
    </w:p>
    <w:p w14:paraId="705819EE">
      <w:pPr>
        <w:pStyle w:val="11"/>
        <w:bidi w:val="0"/>
        <w:rPr>
          <w:rFonts w:hint="eastAsia"/>
          <w:lang w:val="zh-CN"/>
        </w:rPr>
      </w:pPr>
      <w:r>
        <w:rPr>
          <w:rFonts w:hint="eastAsia"/>
          <w:b/>
          <w:bCs/>
          <w:lang w:val="zh-CN"/>
        </w:rPr>
        <w:t>党组书记、局长：</w:t>
      </w:r>
      <w:r>
        <w:rPr>
          <w:rFonts w:hint="eastAsia"/>
          <w:lang w:val="zh-CN"/>
        </w:rPr>
        <w:t>林绍发</w:t>
      </w:r>
    </w:p>
    <w:p w14:paraId="092884E8">
      <w:pPr>
        <w:pStyle w:val="11"/>
        <w:bidi w:val="0"/>
        <w:rPr>
          <w:rFonts w:hint="eastAsia"/>
          <w:lang w:val="zh-CN"/>
        </w:rPr>
      </w:pPr>
      <w:r>
        <w:rPr>
          <w:rFonts w:hint="eastAsia"/>
          <w:b/>
          <w:bCs/>
          <w:lang w:val="zh-CN"/>
        </w:rPr>
        <w:t>副局长：</w:t>
      </w:r>
      <w:r>
        <w:rPr>
          <w:rFonts w:hint="eastAsia"/>
          <w:lang w:val="zh-CN"/>
        </w:rPr>
        <w:t>陈</w:t>
      </w:r>
      <w:r>
        <w:rPr>
          <w:rFonts w:hint="eastAsia"/>
          <w:lang w:val="en-US" w:eastAsia="zh-CN"/>
        </w:rPr>
        <w:t xml:space="preserve">  </w:t>
      </w:r>
      <w:r>
        <w:rPr>
          <w:rFonts w:hint="eastAsia"/>
          <w:lang w:val="zh-CN"/>
        </w:rPr>
        <w:t>军</w:t>
      </w:r>
      <w:r>
        <w:rPr>
          <w:rFonts w:hint="eastAsia"/>
          <w:lang w:val="en-US" w:eastAsia="zh-CN"/>
        </w:rPr>
        <w:t xml:space="preserve">   </w:t>
      </w:r>
      <w:r>
        <w:rPr>
          <w:rFonts w:hint="eastAsia"/>
          <w:lang w:val="zh-CN"/>
        </w:rPr>
        <w:t>叶珍凤</w:t>
      </w:r>
    </w:p>
    <w:p w14:paraId="7CC352C3">
      <w:pPr>
        <w:pStyle w:val="11"/>
        <w:bidi w:val="0"/>
        <w:ind w:leftChars="400"/>
        <w:rPr>
          <w:rFonts w:hint="eastAsia"/>
          <w:lang w:val="zh-CN"/>
        </w:rPr>
      </w:pPr>
      <w:r>
        <w:rPr>
          <w:rFonts w:hint="eastAsia"/>
          <w:lang w:val="zh-CN"/>
        </w:rPr>
        <w:t>周</w:t>
      </w:r>
      <w:r>
        <w:rPr>
          <w:rFonts w:hint="eastAsia"/>
          <w:lang w:val="en-US" w:eastAsia="zh-CN"/>
        </w:rPr>
        <w:t xml:space="preserve">  </w:t>
      </w:r>
      <w:r>
        <w:rPr>
          <w:rFonts w:hint="eastAsia"/>
          <w:lang w:val="zh-CN"/>
        </w:rPr>
        <w:t>华</w:t>
      </w:r>
      <w:r>
        <w:rPr>
          <w:rFonts w:hint="eastAsia"/>
          <w:lang w:val="en-US" w:eastAsia="zh-CN"/>
        </w:rPr>
        <w:t xml:space="preserve">   </w:t>
      </w:r>
      <w:r>
        <w:rPr>
          <w:rFonts w:hint="eastAsia"/>
          <w:lang w:val="zh-CN"/>
        </w:rPr>
        <w:t>李</w:t>
      </w:r>
      <w:r>
        <w:rPr>
          <w:rFonts w:hint="eastAsia"/>
          <w:lang w:val="en-US" w:eastAsia="zh-CN"/>
        </w:rPr>
        <w:t xml:space="preserve">  </w:t>
      </w:r>
      <w:r>
        <w:rPr>
          <w:rFonts w:hint="eastAsia"/>
          <w:lang w:val="zh-CN"/>
        </w:rPr>
        <w:t>宇</w:t>
      </w:r>
    </w:p>
    <w:p w14:paraId="624ECBA0">
      <w:pPr>
        <w:pStyle w:val="11"/>
        <w:bidi w:val="0"/>
        <w:rPr>
          <w:rFonts w:hint="eastAsia"/>
          <w:b/>
          <w:bCs/>
          <w:lang w:val="zh-CN"/>
        </w:rPr>
      </w:pPr>
      <w:r>
        <w:rPr>
          <w:rFonts w:hint="eastAsia"/>
          <w:b/>
          <w:bCs/>
          <w:lang w:val="zh-CN"/>
        </w:rPr>
        <w:t>副主任科员：</w:t>
      </w:r>
    </w:p>
    <w:p w14:paraId="017DE405">
      <w:pPr>
        <w:pStyle w:val="11"/>
        <w:bidi w:val="0"/>
        <w:ind w:leftChars="400"/>
        <w:rPr>
          <w:rFonts w:hint="eastAsia"/>
          <w:lang w:val="zh-CN"/>
        </w:rPr>
      </w:pPr>
      <w:r>
        <w:rPr>
          <w:rFonts w:hint="eastAsia"/>
          <w:lang w:val="zh-CN"/>
        </w:rPr>
        <w:t>陈连连（2月任职）</w:t>
      </w:r>
    </w:p>
    <w:p w14:paraId="6DD5F4A4">
      <w:pPr>
        <w:pStyle w:val="3"/>
        <w:bidi w:val="0"/>
        <w:rPr>
          <w:rFonts w:hint="eastAsia"/>
          <w:lang w:val="zh-CN"/>
        </w:rPr>
      </w:pPr>
      <w:r>
        <w:rPr>
          <w:rFonts w:hint="eastAsia"/>
          <w:lang w:val="zh-CN"/>
        </w:rPr>
        <w:t>电力供应与生产</w:t>
      </w:r>
    </w:p>
    <w:p w14:paraId="7B9624FF">
      <w:pPr>
        <w:pStyle w:val="4"/>
        <w:bidi w:val="0"/>
        <w:rPr>
          <w:rFonts w:hint="eastAsia"/>
          <w:lang w:val="zh-CN"/>
        </w:rPr>
      </w:pPr>
      <w:r>
        <w:rPr>
          <w:rFonts w:hint="eastAsia"/>
          <w:lang w:val="zh-CN"/>
        </w:rPr>
        <w:t>【概况】</w:t>
      </w:r>
    </w:p>
    <w:p w14:paraId="4AE53271">
      <w:pPr>
        <w:bidi w:val="0"/>
        <w:rPr>
          <w:rFonts w:hint="eastAsia"/>
          <w:lang w:val="zh-CN"/>
        </w:rPr>
      </w:pPr>
      <w:r>
        <w:rPr>
          <w:rFonts w:hint="eastAsia"/>
          <w:lang w:val="zh-CN"/>
        </w:rPr>
        <w:t>2018年，南雄市供电局在册员工442人，下设办公室等9个职能部门，1个二级机构以及18个基层供电所。同年10月，机构优化设置后，下设6个职能部门、1个二级机构以及13个供电所。全年投资农村电网建设1.27亿元，完成售电量7.06亿千瓦时，同比增长38.8%；全年10千伏线路永久性故障停电次数83次，同比下降71.8%；市辖变电站10座，主变容量685.45兆伏安，其中220千伏变电站1座，110千伏变电站5座，35千伏变电站4座；35千伏及以上输电线路16回共375.2千米，配电变压器2071台，容量42.3万千伏安，10千伏配电线路74回1738千米，配变2162台，总容量52.3万千伏安（其中公变1400台，容量29.4万千伏安；专变762台，容量23.1万千伏安）；供电区域2326平方千米，供电客户17.56万户，用电容量103.86万千伏安。2018年度南雄供电局获得“韶关供电局2018年度安全生产先进单位”荣誉称号。</w:t>
      </w:r>
    </w:p>
    <w:p w14:paraId="3EAB9D8F">
      <w:pPr>
        <w:pStyle w:val="4"/>
        <w:bidi w:val="0"/>
        <w:rPr>
          <w:rFonts w:hint="eastAsia"/>
          <w:lang w:val="zh-CN"/>
        </w:rPr>
      </w:pPr>
      <w:r>
        <w:rPr>
          <w:rFonts w:hint="eastAsia"/>
          <w:lang w:val="zh-CN"/>
        </w:rPr>
        <w:t>【安全管理】</w:t>
      </w:r>
    </w:p>
    <w:p w14:paraId="0183E7B7">
      <w:pPr>
        <w:bidi w:val="0"/>
        <w:rPr>
          <w:rFonts w:hint="eastAsia"/>
          <w:lang w:val="zh-CN"/>
        </w:rPr>
      </w:pPr>
      <w:r>
        <w:rPr>
          <w:rFonts w:hint="eastAsia"/>
          <w:lang w:val="zh-CN"/>
        </w:rPr>
        <w:t>做好安全生产风险管控，梳理主要风险22项，明确管控措施70项，有效管控作业风险2905项。做好配网设备隐患专项排查，发现并整改隐患331项。开展城乡涉电设施安全专项整治，发现城乡涉电设施设备安全隐患1970项，隐患整改完成率达100%。组织开展10千伏重复跳闸线路全覆盖机巡普查，累计完成机巡线路26回，巡视线路长度1200千米，并建立“一线一册”缺陷台账，着力解决线路重复跳闸治理问题。完成防雷改造配网线路10千伏主干线38回、支线782回，累计改造线路1600千米。积极做好线行树障清理，10千伏线路因雷击、树障引起的永久性故障同比减少63.2%。完成自动化终端调整22台，新增、更换配变187台，安装、验收及调试分界开关34台，全面提升电网智能化水平。开展用户故障出门治理，全年用户故障出门同比下降64%。2018年，南雄电网最高负荷首次突破100兆瓦，全网连续安全运行超过2555天，全年有效杜绝配网5级以上事件发生，电力供应得到有效保障。</w:t>
      </w:r>
    </w:p>
    <w:p w14:paraId="328226E2">
      <w:pPr>
        <w:pStyle w:val="4"/>
        <w:bidi w:val="0"/>
        <w:rPr>
          <w:rFonts w:hint="eastAsia"/>
          <w:lang w:val="zh-CN"/>
        </w:rPr>
      </w:pPr>
      <w:r>
        <w:rPr>
          <w:rFonts w:hint="eastAsia"/>
          <w:lang w:val="zh-CN"/>
        </w:rPr>
        <w:t>【电网建设】</w:t>
      </w:r>
    </w:p>
    <w:p w14:paraId="308CF00C">
      <w:pPr>
        <w:bidi w:val="0"/>
        <w:rPr>
          <w:rFonts w:hint="eastAsia"/>
          <w:lang w:val="zh-CN"/>
        </w:rPr>
      </w:pPr>
      <w:r>
        <w:rPr>
          <w:rFonts w:hint="eastAsia"/>
          <w:lang w:val="zh-CN"/>
        </w:rPr>
        <w:t>完成2018至2022年滚动项目库修编，累计修编线路台区项目群162个，统筹子项目547个，完成配网项目储备1243个，投资估算达3.9亿元。全面推进“一镇一册”“一村一方案”，完成规划10千伏公用配电线路73回，配变台区1400个。积极推进城区配网网格化管理，将城区规划成9个片区，形成“手拉手”联络方式，供电可靠性得到有效提高。顺利完成36个贫困村电网建设，全年完成电网建设项目211个，电网投资投产完成率达100%，惠及全市13个乡镇村民。</w:t>
      </w:r>
    </w:p>
    <w:p w14:paraId="20C78216">
      <w:pPr>
        <w:pStyle w:val="4"/>
        <w:bidi w:val="0"/>
        <w:rPr>
          <w:rFonts w:hint="eastAsia"/>
          <w:lang w:val="zh-CN"/>
        </w:rPr>
      </w:pPr>
      <w:r>
        <w:rPr>
          <w:rFonts w:hint="eastAsia"/>
          <w:lang w:val="zh-CN"/>
        </w:rPr>
        <w:t>【客户服务】</w:t>
      </w:r>
    </w:p>
    <w:p w14:paraId="1BBC6B42">
      <w:pPr>
        <w:bidi w:val="0"/>
        <w:rPr>
          <w:rFonts w:hint="eastAsia"/>
          <w:lang w:val="zh-CN"/>
        </w:rPr>
      </w:pPr>
      <w:r>
        <w:rPr>
          <w:rFonts w:hint="eastAsia"/>
          <w:lang w:val="zh-CN"/>
        </w:rPr>
        <w:t>主动服务客户，精简业扩办电流程，报装流程及办电环节精简为3个，全年中压业扩办理平均用时52.1天，同比减少26天；低压业扩办理平均用时5.67天，同比减少8.39天，大幅度提升业扩办电效率。业扩项目工程延伸率达100%。持续强化政企沟通联动，全面推进“一所一册”特色服务，组织各供电所走访辖区村委会，从严落实双向沟通机制，征求意见建议280余条。落实五保户、低保户用电优惠政策，为全市5423户五保户、低保户减免电量31.9万千瓦时，减免电费近19.5万元；承接国家电价降价工作要求，完成全市电价下降调整达4次；通过落实优惠政策、实施电价下调、清理临时接电费等措施，为用户节约成本近764.4万元。抢滩布点充电站，建成投运电动车充电桩达10个。实现全市全量用户100%自动抄表，电子化结算率达100%。实现计量自动化系统全市台区电压监测全覆盖。大力实施转供电和带电作业，全年配网带电作业259次，同比增加138次，转供电比例达100%，开展10千伏带电作业车保供电作业15次。圆满完成“两会”、高考等14次保供电工作任务，出动人员3569人次，车辆856辆次。顺利完成棉土窝矿“三供一业”小区、北山片自供区接管。扎实做好110千伏里彤线资产接收工作，接收客户资产达1039.67万元。在地方政府公共服务满意度评价调查中获第一名。</w:t>
      </w:r>
    </w:p>
    <w:p w14:paraId="7FED57A7">
      <w:pPr>
        <w:pStyle w:val="4"/>
        <w:bidi w:val="0"/>
        <w:rPr>
          <w:rFonts w:hint="eastAsia"/>
          <w:lang w:val="zh-CN"/>
        </w:rPr>
      </w:pPr>
      <w:r>
        <w:rPr>
          <w:rFonts w:hint="eastAsia"/>
          <w:lang w:val="zh-CN"/>
        </w:rPr>
        <w:t>【党建引领】</w:t>
      </w:r>
    </w:p>
    <w:p w14:paraId="6FF93961">
      <w:pPr>
        <w:bidi w:val="0"/>
        <w:rPr>
          <w:rFonts w:hint="eastAsia"/>
          <w:lang w:val="zh-CN"/>
        </w:rPr>
      </w:pPr>
      <w:r>
        <w:rPr>
          <w:rFonts w:hint="eastAsia"/>
          <w:lang w:val="zh-CN"/>
        </w:rPr>
        <w:t>深入学习贯彻习近平新时代中国特色社会主义思想和党的十九大精神，规范基层党组织设置，实现部门和供电所党支部100%全覆盖，按时完成党、团支部换届选举工作。深入推进“一区双岗”创建活动，结合机关、安全生产，设置客户服务党员责任区26个。开展主题党日活动，突显党支部、党员在“急难险重”任务中的示范引领作用。打造灯火志愿服务品牌，开展志愿服务104次，覆盖全市18个乡镇。深入开展“扫雷”行动，实施纪检监察人员“走村入所”26次。受理信访局、政府服务热线、人大论坛等转来群众意见和建议44件，及时答复率和满意率均达100%。狠抓人才队伍建设，开展青年岗位练兵25次，练兵384人次，在韶关供电局2018年首届配电自动化技能竞赛中，荣获团体二等奖，青年员工在南方电网公司“精益杯”乡镇供电所安全生产技术比武中，获得营销专业个人三等奖。稳步推进模范“职工小家”建设，创建三星级11个、四星级5个，申报五星级模范职工小家1个。2018年度，局工会荣获南方电网公司“三星级模范职工之家”荣誉称号，同时获得韶关市2018年度“优秀纳税大户”称号。</w:t>
      </w:r>
    </w:p>
    <w:p w14:paraId="69E6FA1D">
      <w:pPr>
        <w:bidi w:val="0"/>
        <w:jc w:val="right"/>
        <w:rPr>
          <w:rFonts w:hint="eastAsia"/>
          <w:b/>
          <w:bCs/>
          <w:lang w:val="zh-CN"/>
        </w:rPr>
      </w:pPr>
      <w:r>
        <w:rPr>
          <w:rFonts w:hint="eastAsia"/>
          <w:b/>
          <w:bCs/>
          <w:lang w:val="zh-CN"/>
        </w:rPr>
        <w:t>（李</w:t>
      </w:r>
      <w:r>
        <w:rPr>
          <w:rFonts w:hint="eastAsia"/>
          <w:b/>
          <w:bCs/>
          <w:lang w:val="en-US" w:eastAsia="zh-CN"/>
        </w:rPr>
        <w:t xml:space="preserve">  </w:t>
      </w:r>
      <w:r>
        <w:rPr>
          <w:rFonts w:hint="eastAsia"/>
          <w:b/>
          <w:bCs/>
          <w:lang w:val="zh-CN"/>
        </w:rPr>
        <w:t>京）</w:t>
      </w:r>
    </w:p>
    <w:p w14:paraId="18D0A100">
      <w:pPr>
        <w:pStyle w:val="11"/>
        <w:bidi w:val="0"/>
        <w:rPr>
          <w:rFonts w:hint="eastAsia"/>
          <w:b/>
          <w:bCs/>
          <w:lang w:val="zh-CN"/>
        </w:rPr>
      </w:pPr>
      <w:r>
        <w:rPr>
          <w:rFonts w:hint="eastAsia"/>
          <w:b/>
          <w:bCs/>
          <w:lang w:val="zh-CN"/>
        </w:rPr>
        <w:t>附：2018年市供电局领导班子成员名单</w:t>
      </w:r>
    </w:p>
    <w:p w14:paraId="25C46447">
      <w:pPr>
        <w:pStyle w:val="11"/>
        <w:bidi w:val="0"/>
        <w:rPr>
          <w:rFonts w:hint="eastAsia"/>
          <w:lang w:val="zh-CN"/>
        </w:rPr>
      </w:pPr>
      <w:r>
        <w:rPr>
          <w:rFonts w:hint="eastAsia"/>
          <w:b/>
          <w:bCs/>
          <w:lang w:val="zh-CN"/>
        </w:rPr>
        <w:t>党委书记、执行董事：</w:t>
      </w:r>
      <w:r>
        <w:rPr>
          <w:rFonts w:hint="eastAsia"/>
          <w:lang w:val="zh-CN"/>
        </w:rPr>
        <w:t>罗劲松</w:t>
      </w:r>
    </w:p>
    <w:p w14:paraId="43B04989">
      <w:pPr>
        <w:pStyle w:val="11"/>
        <w:bidi w:val="0"/>
        <w:rPr>
          <w:rFonts w:hint="eastAsia"/>
          <w:lang w:val="zh-CN"/>
        </w:rPr>
      </w:pPr>
      <w:r>
        <w:rPr>
          <w:rFonts w:hint="eastAsia"/>
          <w:b/>
          <w:bCs/>
          <w:lang w:val="zh-CN"/>
        </w:rPr>
        <w:t>局长（总经理）：</w:t>
      </w:r>
      <w:r>
        <w:rPr>
          <w:rFonts w:hint="eastAsia"/>
          <w:lang w:val="zh-CN"/>
        </w:rPr>
        <w:t>刘奕琛</w:t>
      </w:r>
    </w:p>
    <w:p w14:paraId="4AAAD632">
      <w:pPr>
        <w:pStyle w:val="11"/>
        <w:bidi w:val="0"/>
        <w:rPr>
          <w:rFonts w:hint="eastAsia"/>
          <w:lang w:val="zh-CN"/>
        </w:rPr>
      </w:pPr>
      <w:r>
        <w:rPr>
          <w:rFonts w:hint="eastAsia"/>
          <w:b/>
          <w:bCs/>
          <w:lang w:val="zh-CN"/>
        </w:rPr>
        <w:t>副局长：</w:t>
      </w:r>
      <w:r>
        <w:rPr>
          <w:rFonts w:hint="eastAsia"/>
          <w:lang w:val="zh-CN"/>
        </w:rPr>
        <w:t>叶志勇</w:t>
      </w:r>
      <w:r>
        <w:rPr>
          <w:rFonts w:hint="eastAsia"/>
          <w:lang w:val="en-US" w:eastAsia="zh-CN"/>
        </w:rPr>
        <w:t xml:space="preserve">   </w:t>
      </w:r>
      <w:r>
        <w:rPr>
          <w:rFonts w:hint="eastAsia"/>
          <w:lang w:val="zh-CN"/>
        </w:rPr>
        <w:t>刘文峰</w:t>
      </w:r>
    </w:p>
    <w:p w14:paraId="57C5600B">
      <w:pPr>
        <w:pStyle w:val="11"/>
        <w:bidi w:val="0"/>
        <w:rPr>
          <w:rFonts w:hint="eastAsia"/>
          <w:lang w:val="zh-CN"/>
        </w:rPr>
      </w:pPr>
      <w:r>
        <w:rPr>
          <w:rFonts w:hint="eastAsia"/>
          <w:b/>
          <w:bCs/>
          <w:lang w:val="zh-CN"/>
        </w:rPr>
        <w:t>副局长、工会主席：</w:t>
      </w:r>
      <w:r>
        <w:rPr>
          <w:rFonts w:hint="eastAsia"/>
          <w:lang w:val="zh-CN"/>
        </w:rPr>
        <w:t>李海翔</w:t>
      </w:r>
    </w:p>
    <w:p w14:paraId="3CF3C1DD">
      <w:pPr>
        <w:pStyle w:val="11"/>
        <w:bidi w:val="0"/>
        <w:rPr>
          <w:rFonts w:hint="eastAsia"/>
          <w:lang w:val="zh-CN"/>
        </w:rPr>
      </w:pPr>
      <w:r>
        <w:rPr>
          <w:rFonts w:hint="eastAsia"/>
          <w:b/>
          <w:bCs/>
          <w:lang w:val="zh-CN"/>
        </w:rPr>
        <w:t>纪委书记：</w:t>
      </w:r>
      <w:r>
        <w:rPr>
          <w:rFonts w:hint="eastAsia"/>
          <w:lang w:val="zh-CN"/>
        </w:rPr>
        <w:t>赵丙铭</w:t>
      </w:r>
    </w:p>
    <w:p w14:paraId="1275BD66">
      <w:pPr>
        <w:pStyle w:val="3"/>
        <w:bidi w:val="0"/>
        <w:rPr>
          <w:rFonts w:hint="eastAsia"/>
          <w:lang w:val="zh-CN"/>
        </w:rPr>
      </w:pPr>
      <w:r>
        <w:rPr>
          <w:rFonts w:hint="eastAsia"/>
          <w:lang w:val="zh-CN"/>
        </w:rPr>
        <w:t>南雄产业转移工业园</w:t>
      </w:r>
    </w:p>
    <w:p w14:paraId="554573C0">
      <w:pPr>
        <w:pStyle w:val="4"/>
        <w:bidi w:val="0"/>
        <w:rPr>
          <w:rFonts w:hint="eastAsia"/>
          <w:lang w:val="zh-CN"/>
        </w:rPr>
      </w:pPr>
      <w:r>
        <w:rPr>
          <w:rFonts w:hint="eastAsia"/>
          <w:lang w:val="zh-CN"/>
        </w:rPr>
        <w:t>【概况】</w:t>
      </w:r>
    </w:p>
    <w:p w14:paraId="5072AF31">
      <w:pPr>
        <w:bidi w:val="0"/>
        <w:rPr>
          <w:rFonts w:hint="eastAsia"/>
          <w:lang w:val="zh-CN"/>
        </w:rPr>
      </w:pPr>
      <w:r>
        <w:rPr>
          <w:rFonts w:hint="eastAsia"/>
          <w:lang w:val="zh-CN"/>
        </w:rPr>
        <w:t>南雄产业转移工业园于2010年3月被认定为省级产业转移工业园，为第一批省市共建循环经济产业基地，园区规划总面积约733.33公顷，以精细化工、新材料、电气机械和器材制造等为主导产业。市政府设南雄产业转移工业园管理委员会，为管理的公益一类事业单位，不定级别，核实编制人员31人，现有在编人员29人，内设机构为党政办公室、基建室、企业发展室、融资服务室和统计信息室。</w:t>
      </w:r>
    </w:p>
    <w:p w14:paraId="0ED7CAF0">
      <w:pPr>
        <w:pStyle w:val="4"/>
        <w:bidi w:val="0"/>
        <w:rPr>
          <w:rFonts w:hint="eastAsia"/>
          <w:lang w:val="zh-CN"/>
        </w:rPr>
      </w:pPr>
      <w:r>
        <w:rPr>
          <w:rFonts w:hint="eastAsia"/>
          <w:lang w:val="zh-CN"/>
        </w:rPr>
        <w:t>【产业规模】</w:t>
      </w:r>
    </w:p>
    <w:p w14:paraId="0942D407">
      <w:pPr>
        <w:bidi w:val="0"/>
        <w:rPr>
          <w:rFonts w:hint="eastAsia"/>
          <w:lang w:val="zh-CN"/>
        </w:rPr>
      </w:pPr>
      <w:r>
        <w:rPr>
          <w:rFonts w:hint="eastAsia"/>
          <w:lang w:val="zh-CN"/>
        </w:rPr>
        <w:t>入驻园区企业106家，其中生产经营型企业96家，试投产企业85家，高新技术企业23家，省、市工程技术研究中心13家，挂牌上市企业4家，创建广东省名牌产品5个。精细化工产业集聚程度位居全省前列。完成规上工业总产值23.3亿元，实现规上工业增加值4.36亿元，完成固定资产投资16.2亿元，入库税收1.45亿元。</w:t>
      </w:r>
    </w:p>
    <w:p w14:paraId="6856F21F">
      <w:pPr>
        <w:pStyle w:val="4"/>
        <w:bidi w:val="0"/>
        <w:rPr>
          <w:rFonts w:hint="eastAsia"/>
          <w:lang w:val="zh-CN"/>
        </w:rPr>
      </w:pPr>
      <w:r>
        <w:rPr>
          <w:rFonts w:hint="eastAsia"/>
          <w:lang w:val="zh-CN"/>
        </w:rPr>
        <w:t>【扩能增效】</w:t>
      </w:r>
    </w:p>
    <w:p w14:paraId="167472CE">
      <w:pPr>
        <w:bidi w:val="0"/>
        <w:rPr>
          <w:rFonts w:hint="eastAsia"/>
          <w:lang w:val="zh-CN"/>
        </w:rPr>
      </w:pPr>
      <w:r>
        <w:rPr>
          <w:rFonts w:hint="eastAsia"/>
          <w:lang w:val="zh-CN"/>
        </w:rPr>
        <w:t>园区大力推动项目建设，力促扩能增效，在建的项目有碳谷新材料、华电等13个；增资扩产或技改项目的有自由能、衡光等企业。重点扶持纳入“韶关市倍增计划企业”的邦固、自由能、阳普等10家企业，着重培育成为龙头企业，这10家企业完成工业总产值7.6亿元，较2017年同期增长15.7%，效益较为明显。进一步盘活工业用地，提高土地节约集约利用效益，专门成立工业企业闲置和低效用地清理处置工作领导小组，统筹处置闲置和低效用地清理工作，完成广东三七漆实业有限公司、南雄科田化工有限公司、广东德鑫翔远高新材料有限公司、粤宝丽化学有限公司（东升地坪）4家企业置换工作。</w:t>
      </w:r>
    </w:p>
    <w:p w14:paraId="07DD6C2A">
      <w:pPr>
        <w:pStyle w:val="4"/>
        <w:bidi w:val="0"/>
        <w:rPr>
          <w:rFonts w:hint="eastAsia"/>
          <w:lang w:val="zh-CN"/>
        </w:rPr>
      </w:pPr>
      <w:r>
        <w:rPr>
          <w:rFonts w:hint="eastAsia"/>
          <w:lang w:val="zh-CN"/>
        </w:rPr>
        <w:t>【科技兴企】</w:t>
      </w:r>
    </w:p>
    <w:p w14:paraId="76FCCB57">
      <w:pPr>
        <w:bidi w:val="0"/>
        <w:rPr>
          <w:rFonts w:hint="eastAsia"/>
          <w:lang w:val="zh-CN"/>
        </w:rPr>
      </w:pPr>
      <w:r>
        <w:rPr>
          <w:rFonts w:hint="eastAsia"/>
          <w:lang w:val="zh-CN"/>
        </w:rPr>
        <w:t>开展申报广东省高新技术产业开发区、广东省知名品牌示范区创建工作。申报广东省高新区通过省第一轮评估，正待省科技厅专家到园区进行现场考核验收。创建省知名品牌示范区，完成申报资料汇编。建设科技创新平台取得实质性突破，园区企业广东衡光新材料科技有限公司与中科院韩布兴院士签订合作协议，成立广东南雄衡光绿色高性能材料院士工作站，实现韶关市工业类院士工作站零的突破，为南雄及韶关地区发展绿色新材料产业提供强有力技术支撑。投资1.5亿元的中科院南雄新型特种精细化学品专业孵化器项目完成基础设施建设，并进行设备采购和招商工作，签约引进一家化工企业项目入孵，利用中科院孵化平台，提供新产品研究开发技术支撑。</w:t>
      </w:r>
    </w:p>
    <w:p w14:paraId="5923DC14">
      <w:pPr>
        <w:pStyle w:val="4"/>
        <w:bidi w:val="0"/>
        <w:rPr>
          <w:rFonts w:hint="eastAsia"/>
          <w:lang w:val="zh-CN"/>
        </w:rPr>
      </w:pPr>
      <w:r>
        <w:rPr>
          <w:rFonts w:hint="eastAsia"/>
          <w:lang w:val="zh-CN"/>
        </w:rPr>
        <w:t>【基础设施】</w:t>
      </w:r>
    </w:p>
    <w:p w14:paraId="020C5DFD">
      <w:pPr>
        <w:bidi w:val="0"/>
        <w:rPr>
          <w:rFonts w:hint="eastAsia"/>
          <w:lang w:val="zh-CN"/>
        </w:rPr>
      </w:pPr>
      <w:r>
        <w:rPr>
          <w:rFonts w:hint="eastAsia"/>
          <w:lang w:val="zh-CN"/>
        </w:rPr>
        <w:t>南雄市投资近2000万元的人才驿站揭牌成立，配备职工之家、体育场馆、人才公寓、园区餐厅、阅览室等。投资2865万元的园区污水管网升级改造工程完工。新建消防综合楼完成主体部分。</w:t>
      </w:r>
    </w:p>
    <w:p w14:paraId="0175A074">
      <w:pPr>
        <w:pStyle w:val="4"/>
        <w:bidi w:val="0"/>
        <w:rPr>
          <w:rFonts w:hint="eastAsia"/>
          <w:lang w:val="zh-CN"/>
        </w:rPr>
      </w:pPr>
      <w:r>
        <w:rPr>
          <w:rFonts w:hint="eastAsia"/>
          <w:lang w:val="zh-CN"/>
        </w:rPr>
        <w:t>【管理服务】</w:t>
      </w:r>
    </w:p>
    <w:p w14:paraId="185A14AB">
      <w:pPr>
        <w:bidi w:val="0"/>
        <w:rPr>
          <w:rFonts w:hint="eastAsia"/>
          <w:lang w:val="zh-CN"/>
        </w:rPr>
      </w:pPr>
      <w:r>
        <w:rPr>
          <w:rFonts w:hint="eastAsia"/>
          <w:lang w:val="zh-CN"/>
        </w:rPr>
        <w:t>落实《南雄市工业企业发展扶持办法》，对企业从投资、技改、融资、创新、上市、物流、引进人才等方面进行扶持，2018年园区25家企业获得859.89万元专项扶持资金。对重点龙头企业，实行“一周一报”“一企一策”工作制度，及时跟进项目投资，提升服务和管理水平。在安全生产管理方面，严格安全生产程序，落实安全工作责任制，加强对工作检查督导，排查安全隐患251项，责成相关企业整改。此外，紧密配合环保部门，通过检查发现需要整改的121项，针对存在问题园区企业逐项整改，为园区创造安全优良的生产环境。</w:t>
      </w:r>
    </w:p>
    <w:p w14:paraId="035D2EBB">
      <w:pPr>
        <w:pStyle w:val="4"/>
        <w:bidi w:val="0"/>
        <w:rPr>
          <w:rFonts w:hint="eastAsia"/>
          <w:lang w:val="zh-CN"/>
        </w:rPr>
      </w:pPr>
      <w:r>
        <w:rPr>
          <w:rFonts w:hint="eastAsia"/>
          <w:lang w:val="zh-CN"/>
        </w:rPr>
        <w:t>【党建工作】</w:t>
      </w:r>
    </w:p>
    <w:p w14:paraId="762E69D4">
      <w:pPr>
        <w:bidi w:val="0"/>
        <w:rPr>
          <w:rFonts w:hint="eastAsia"/>
          <w:lang w:val="zh-CN"/>
        </w:rPr>
      </w:pPr>
      <w:r>
        <w:rPr>
          <w:rFonts w:hint="eastAsia"/>
          <w:lang w:val="zh-CN"/>
        </w:rPr>
        <w:t>建立康绿宝、阳普医疗、邦固化学等10个党建示范点，整体推进园区党组织组建工作，夯实基层党建基础，实行党工委领导班子挂点基层党支部担任党建指导员工作制，切实加强企业党建业务指导，督促基层党支部规范党内政治生活。园区现有13个企业党支部成立“党员科研攻坚先锋队”，共产党员在企业的模范带头作用逐渐突显。开展“党建+精准扶贫”“1支部+1农户”主题教育实践活动，动员园区各方筹得资金物资40多万元，着力支持扶贫工作。</w:t>
      </w:r>
    </w:p>
    <w:p w14:paraId="11EC9E30">
      <w:pPr>
        <w:bidi w:val="0"/>
        <w:jc w:val="right"/>
        <w:rPr>
          <w:rFonts w:hint="eastAsia"/>
          <w:b/>
          <w:bCs/>
          <w:lang w:val="zh-CN"/>
        </w:rPr>
      </w:pPr>
      <w:r>
        <w:rPr>
          <w:rFonts w:hint="eastAsia"/>
          <w:b/>
          <w:bCs/>
          <w:lang w:val="zh-CN"/>
        </w:rPr>
        <w:t>（黄祖锐）</w:t>
      </w:r>
    </w:p>
    <w:p w14:paraId="5AA8F718">
      <w:pPr>
        <w:pStyle w:val="11"/>
        <w:bidi w:val="0"/>
        <w:rPr>
          <w:rFonts w:hint="eastAsia"/>
          <w:b/>
          <w:bCs/>
          <w:lang w:val="zh-CN"/>
        </w:rPr>
      </w:pPr>
      <w:r>
        <w:rPr>
          <w:rFonts w:hint="eastAsia"/>
          <w:b/>
          <w:bCs/>
          <w:lang w:val="zh-CN"/>
        </w:rPr>
        <w:t>附：2018年市产业转移工业园管委会领导班子成员名单</w:t>
      </w:r>
    </w:p>
    <w:p w14:paraId="514A7444">
      <w:pPr>
        <w:pStyle w:val="11"/>
        <w:bidi w:val="0"/>
        <w:rPr>
          <w:rFonts w:hint="eastAsia"/>
          <w:lang w:val="zh-CN"/>
        </w:rPr>
      </w:pPr>
      <w:r>
        <w:rPr>
          <w:rFonts w:hint="eastAsia"/>
          <w:b/>
          <w:bCs/>
          <w:lang w:val="zh-CN"/>
        </w:rPr>
        <w:t>党工委书记：</w:t>
      </w:r>
      <w:r>
        <w:rPr>
          <w:rFonts w:hint="eastAsia"/>
          <w:lang w:val="zh-CN"/>
        </w:rPr>
        <w:t>吴少华（9月任职）</w:t>
      </w:r>
    </w:p>
    <w:p w14:paraId="7B946D35">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叶永跃</w:t>
      </w:r>
    </w:p>
    <w:p w14:paraId="1D973F6C">
      <w:pPr>
        <w:pStyle w:val="11"/>
        <w:bidi w:val="0"/>
        <w:ind w:leftChars="600"/>
        <w:rPr>
          <w:rFonts w:hint="eastAsia"/>
          <w:lang w:val="zh-CN"/>
        </w:rPr>
      </w:pPr>
      <w:r>
        <w:rPr>
          <w:rFonts w:hint="eastAsia"/>
          <w:lang w:val="zh-CN"/>
        </w:rPr>
        <w:t>李祝君（任至9月）</w:t>
      </w:r>
    </w:p>
    <w:p w14:paraId="76C74911">
      <w:pPr>
        <w:pStyle w:val="11"/>
        <w:bidi w:val="0"/>
        <w:rPr>
          <w:rFonts w:hint="eastAsia"/>
          <w:lang w:val="zh-CN"/>
        </w:rPr>
      </w:pPr>
      <w:r>
        <w:rPr>
          <w:rFonts w:hint="eastAsia"/>
          <w:b/>
          <w:bCs/>
          <w:lang w:val="zh-CN"/>
        </w:rPr>
        <w:t>纪工委书记：</w:t>
      </w:r>
      <w:r>
        <w:rPr>
          <w:rFonts w:hint="eastAsia"/>
          <w:lang w:val="zh-CN"/>
        </w:rPr>
        <w:t>叶红大（2月任职）</w:t>
      </w:r>
    </w:p>
    <w:p w14:paraId="14F96538">
      <w:pPr>
        <w:pStyle w:val="11"/>
        <w:bidi w:val="0"/>
        <w:rPr>
          <w:rFonts w:hint="eastAsia"/>
          <w:lang w:val="zh-CN"/>
        </w:rPr>
      </w:pPr>
      <w:r>
        <w:rPr>
          <w:rFonts w:hint="eastAsia"/>
          <w:b/>
          <w:bCs/>
          <w:lang w:val="zh-CN"/>
        </w:rPr>
        <w:t>党政办主任：</w:t>
      </w:r>
      <w:r>
        <w:rPr>
          <w:rFonts w:hint="eastAsia"/>
          <w:lang w:val="zh-CN"/>
        </w:rPr>
        <w:t>李英球</w:t>
      </w:r>
    </w:p>
    <w:p w14:paraId="03A29D24">
      <w:pPr>
        <w:pStyle w:val="3"/>
        <w:bidi w:val="0"/>
        <w:rPr>
          <w:rFonts w:hint="eastAsia"/>
          <w:lang w:val="zh-CN"/>
        </w:rPr>
      </w:pPr>
      <w:r>
        <w:rPr>
          <w:rFonts w:hint="eastAsia"/>
          <w:lang w:val="zh-CN"/>
        </w:rPr>
        <w:t>企业选介</w:t>
      </w:r>
    </w:p>
    <w:p w14:paraId="526694DF">
      <w:pPr>
        <w:pStyle w:val="4"/>
        <w:bidi w:val="0"/>
        <w:rPr>
          <w:rFonts w:hint="eastAsia"/>
          <w:lang w:val="zh-CN"/>
        </w:rPr>
      </w:pPr>
      <w:r>
        <w:rPr>
          <w:rFonts w:hint="eastAsia"/>
          <w:lang w:val="zh-CN"/>
        </w:rPr>
        <w:t>【南雄市浈江电业有限责任公司】</w:t>
      </w:r>
    </w:p>
    <w:p w14:paraId="592ED75C">
      <w:pPr>
        <w:bidi w:val="0"/>
        <w:rPr>
          <w:rFonts w:hint="eastAsia"/>
          <w:lang w:val="zh-CN"/>
        </w:rPr>
      </w:pPr>
      <w:r>
        <w:rPr>
          <w:rFonts w:hint="eastAsia"/>
          <w:lang w:val="zh-CN"/>
        </w:rPr>
        <w:t>南雄市浈江电业有限责任公司（简称公司）于2000年12月30日成立，是以水力发电为主营业务的国有股份企业，总股本9278万元，有2个股东单位，分别为南雄市国有资产投资责任有限公司和南雄市扶贫开发领导小组办公室。公司下设行政部、财务部、生产技术部3个职能部门，现有员工125人。公司下辖25座电站，58台机组，总装1.64万千瓦；年销售电量为3530.45万度，发电收入1788.35万元。公司下属经营的浈江自来水投资有限责任公司，现有员工13人。有用水4089户，其中农村用水户4043户，企事业用水户46户。2018年售水量为114.74万吨，售水收入为134.82万元。下属经营的南雄市浈江光伏发电有限责任公司，负责管理南雄市光伏扶贫项目工程，现有员工6人。总装机容量为8兆瓦，年发电量867.56万度，售电收入743.38万元。</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7611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8C6F2CE">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2360" cy="4126230"/>
                  <wp:effectExtent l="0" t="0" r="8890" b="7620"/>
                  <wp:docPr id="123" name="图片 123" descr="南雄年鉴2019_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南雄年鉴2019_0098"/>
                          <pic:cNvPicPr>
                            <a:picLocks noChangeAspect="1"/>
                          </pic:cNvPicPr>
                        </pic:nvPicPr>
                        <pic:blipFill>
                          <a:blip r:embed="rId110"/>
                          <a:stretch>
                            <a:fillRect/>
                          </a:stretch>
                        </pic:blipFill>
                        <pic:spPr>
                          <a:xfrm>
                            <a:off x="0" y="0"/>
                            <a:ext cx="6182360" cy="4126230"/>
                          </a:xfrm>
                          <a:prstGeom prst="rect">
                            <a:avLst/>
                          </a:prstGeom>
                        </pic:spPr>
                      </pic:pic>
                    </a:graphicData>
                  </a:graphic>
                </wp:inline>
              </w:drawing>
            </w:r>
          </w:p>
        </w:tc>
      </w:tr>
      <w:tr w14:paraId="37616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696B225">
            <w:pPr>
              <w:bidi w:val="0"/>
              <w:rPr>
                <w:rFonts w:hint="eastAsia"/>
                <w:vertAlign w:val="baseline"/>
                <w:lang w:val="zh-CN"/>
              </w:rPr>
            </w:pPr>
            <w:r>
              <w:rPr>
                <w:rFonts w:hint="eastAsia" w:ascii="FZKTK--GBK1-0" w:hAnsi="FZKTK--GBK1-0" w:eastAsia="FZKTK--GBK1-0"/>
                <w:sz w:val="20"/>
              </w:rPr>
              <w:t>浈江电业公司被韶关市评为“2017年度模范纳税户”</w:t>
            </w:r>
          </w:p>
        </w:tc>
      </w:tr>
    </w:tbl>
    <w:p w14:paraId="77BB32FD">
      <w:pPr>
        <w:bidi w:val="0"/>
        <w:rPr>
          <w:rFonts w:hint="eastAsia"/>
          <w:lang w:val="zh-CN"/>
        </w:rPr>
      </w:pPr>
      <w:r>
        <w:rPr>
          <w:rFonts w:hint="eastAsia"/>
          <w:b/>
          <w:bCs/>
          <w:lang w:val="zh-CN"/>
        </w:rPr>
        <w:t>电站技改</w:t>
      </w:r>
      <w:r>
        <w:rPr>
          <w:rFonts w:hint="eastAsia"/>
          <w:b/>
          <w:bCs/>
          <w:lang w:val="en-US" w:eastAsia="zh-CN"/>
        </w:rPr>
        <w:t xml:space="preserve">   </w:t>
      </w:r>
      <w:r>
        <w:rPr>
          <w:rFonts w:hint="eastAsia"/>
          <w:lang w:val="zh-CN"/>
        </w:rPr>
        <w:t>全年投入近400万元对电站进行技改和设备维护。投入近70万元对三枫电站进行机组线圈和尾水渠改造。两项工程全部完工后，在正常发电的情况下，预计年增发电量60万千瓦时，年增发电收入30万元。投入135.4万元启动百顺新村二站机组更新改造。预计年增发电量50万千瓦时，年增发电收入25万元。投入31万元完成高桥电站智能自动化操作及1号机组水轮发电机组改造，预计年增发电量20万千瓦时，年增发电收入10万元。投入约120万元对公司下属电站机组进行维护及增设设备。投入13万元委托规划设计公司对公司25座电站技改进行调研，制作一套增效自动化操控技术改造工程建设方案。此外，新增投资项目，公司下属经营的浈江光伏发电有限责任公司利用乐华陶瓷公司厂房屋顶和车棚建设光伏发电站1座，总装机容量为3.025兆瓦，总投资2107.97万元。完成2.1兆瓦建设。</w:t>
      </w:r>
    </w:p>
    <w:p w14:paraId="2CDABE3B">
      <w:pPr>
        <w:bidi w:val="0"/>
        <w:rPr>
          <w:rFonts w:hint="eastAsia"/>
          <w:lang w:val="zh-CN"/>
        </w:rPr>
      </w:pPr>
      <w:r>
        <w:rPr>
          <w:rFonts w:hint="eastAsia"/>
          <w:b/>
          <w:bCs/>
          <w:lang w:val="zh-CN"/>
        </w:rPr>
        <w:t>精准扶贫落实</w:t>
      </w:r>
      <w:r>
        <w:rPr>
          <w:rFonts w:hint="eastAsia"/>
          <w:b/>
          <w:bCs/>
          <w:lang w:val="en-US" w:eastAsia="zh-CN"/>
        </w:rPr>
        <w:t xml:space="preserve">   </w:t>
      </w:r>
      <w:r>
        <w:rPr>
          <w:rFonts w:hint="eastAsia"/>
          <w:lang w:val="zh-CN"/>
        </w:rPr>
        <w:t>“以奖代补”政策，为符合条件的帮扶贫困户申请“以奖代补”资金2.7万元，引导鼓励贫困户依靠发展产业脱贫致富。协助3户帮扶对象完成危房改造建设。公司出资7.85万元用于支持挂点扶贫村委会环境整治、医疗卫生站建设、定向帮扶及支持村党支部党建。</w:t>
      </w:r>
      <w:r>
        <w:rPr>
          <w:rFonts w:hint="eastAsia"/>
          <w:b/>
          <w:bCs/>
          <w:lang w:val="zh-CN"/>
        </w:rPr>
        <w:t>（刘</w:t>
      </w:r>
      <w:r>
        <w:rPr>
          <w:rFonts w:hint="eastAsia"/>
          <w:b/>
          <w:bCs/>
          <w:lang w:val="en-US" w:eastAsia="zh-CN"/>
        </w:rPr>
        <w:t xml:space="preserve">  </w:t>
      </w:r>
      <w:r>
        <w:rPr>
          <w:rFonts w:hint="eastAsia"/>
          <w:b/>
          <w:bCs/>
          <w:lang w:val="zh-CN"/>
        </w:rPr>
        <w:t>铮）</w:t>
      </w:r>
    </w:p>
    <w:p w14:paraId="64D6BC8C">
      <w:pPr>
        <w:pStyle w:val="11"/>
        <w:bidi w:val="0"/>
        <w:rPr>
          <w:rFonts w:hint="eastAsia"/>
          <w:b/>
          <w:bCs/>
          <w:lang w:val="zh-CN"/>
        </w:rPr>
      </w:pPr>
      <w:r>
        <w:rPr>
          <w:rFonts w:hint="eastAsia"/>
          <w:b/>
          <w:bCs/>
          <w:lang w:val="zh-CN"/>
        </w:rPr>
        <w:t>附：2018年市浈江电业有限责任公司领导班子成员名单</w:t>
      </w:r>
    </w:p>
    <w:p w14:paraId="42E7E4BA">
      <w:pPr>
        <w:pStyle w:val="11"/>
        <w:bidi w:val="0"/>
        <w:rPr>
          <w:rFonts w:hint="eastAsia"/>
          <w:lang w:val="zh-CN"/>
        </w:rPr>
      </w:pPr>
      <w:r>
        <w:rPr>
          <w:rFonts w:hint="eastAsia"/>
          <w:b/>
          <w:bCs/>
          <w:lang w:val="zh-CN"/>
        </w:rPr>
        <w:t>董事长、总经理：</w:t>
      </w:r>
      <w:r>
        <w:rPr>
          <w:rFonts w:hint="eastAsia"/>
          <w:lang w:val="zh-CN"/>
        </w:rPr>
        <w:t>刘发军</w:t>
      </w:r>
    </w:p>
    <w:p w14:paraId="59479B54">
      <w:pPr>
        <w:pStyle w:val="11"/>
        <w:bidi w:val="0"/>
        <w:rPr>
          <w:rFonts w:hint="eastAsia"/>
          <w:lang w:val="zh-CN"/>
        </w:rPr>
      </w:pPr>
      <w:r>
        <w:rPr>
          <w:rFonts w:hint="eastAsia"/>
          <w:b/>
          <w:bCs/>
          <w:lang w:val="zh-CN"/>
        </w:rPr>
        <w:t>副总经理：</w:t>
      </w:r>
      <w:r>
        <w:rPr>
          <w:rFonts w:hint="eastAsia"/>
          <w:lang w:val="zh-CN"/>
        </w:rPr>
        <w:t>龙绍淦</w:t>
      </w:r>
    </w:p>
    <w:p w14:paraId="117ED49E">
      <w:pPr>
        <w:pStyle w:val="11"/>
        <w:bidi w:val="0"/>
        <w:ind w:leftChars="500"/>
        <w:rPr>
          <w:rFonts w:hint="eastAsia"/>
          <w:lang w:val="zh-CN"/>
        </w:rPr>
      </w:pPr>
      <w:r>
        <w:rPr>
          <w:rFonts w:hint="eastAsia"/>
          <w:lang w:val="zh-CN"/>
        </w:rPr>
        <w:t>叶林彬</w:t>
      </w:r>
    </w:p>
    <w:p w14:paraId="357E0515">
      <w:pPr>
        <w:pStyle w:val="11"/>
        <w:bidi w:val="0"/>
        <w:rPr>
          <w:rFonts w:hint="eastAsia"/>
          <w:lang w:val="zh-CN"/>
        </w:rPr>
      </w:pPr>
      <w:r>
        <w:rPr>
          <w:rFonts w:hint="eastAsia"/>
          <w:b/>
          <w:bCs/>
          <w:lang w:val="zh-CN"/>
        </w:rPr>
        <w:t>工会主席：</w:t>
      </w:r>
      <w:r>
        <w:rPr>
          <w:rFonts w:hint="eastAsia"/>
          <w:lang w:val="zh-CN"/>
        </w:rPr>
        <w:t>王赣华</w:t>
      </w:r>
    </w:p>
    <w:p w14:paraId="25C07989">
      <w:pPr>
        <w:pStyle w:val="4"/>
        <w:bidi w:val="0"/>
        <w:rPr>
          <w:rFonts w:hint="eastAsia"/>
          <w:lang w:val="zh-CN"/>
        </w:rPr>
      </w:pPr>
      <w:r>
        <w:rPr>
          <w:rFonts w:hint="eastAsia"/>
          <w:lang w:val="zh-CN"/>
        </w:rPr>
        <w:t>【南雄市城市建设投资有限责任公司】</w:t>
      </w:r>
    </w:p>
    <w:p w14:paraId="0FDCAC31">
      <w:pPr>
        <w:bidi w:val="0"/>
        <w:rPr>
          <w:rFonts w:hint="eastAsia"/>
          <w:lang w:val="zh-CN"/>
        </w:rPr>
      </w:pPr>
      <w:r>
        <w:rPr>
          <w:rFonts w:hint="eastAsia"/>
          <w:lang w:val="zh-CN"/>
        </w:rPr>
        <w:t>南雄市城市建设投资有限责任公司（简称“城投公司”）受市政府委托投资重大城市基础设施项目建设，并依托政府信用和资源优势，与国内金融机构合作；负责市政府指定项目投资，行使出资人权利；负责偿还市政府指定投资项目的贷款本息。同时还进行房地产开发经营；卫生医疗、医疗器械项目投资建设。公司在职人员30人，内设机构8个：人力资源部、计财融资部、资产管理部、项目规划部、项目审核部、工程技术部一部、工程技术部二部、房地产部。公司下辖3个子公司：南雄市洁源城乡污水处理运营管理有限责任公司、南雄市金盛城市建设投资有限公司、南雄市长和物业服务有限公司；2个下属管理机构：南雄市金叶发展总公司、南雄市雄东路汽车检测站。年底根据《南雄市深化国有企业改革整合重组工作方案》文件精神，城投公司进行组合重组，由国有独资企业变更为法人独资企业。重组后的城投公司作为南雄市国有资产投资有限责任公司的下属企业，其下辖7个子公司：南雄市洁源城乡污水处理运营管理有限责任公司、南雄市金盛城市建设投资有限公司、南雄市长和物业服务有限公司、南雄市市政工程建设公司、南雄市水利投资公司、南雄市新城建设投资有限公司、南雄市城北建设投资有限责任公司。</w:t>
      </w:r>
    </w:p>
    <w:p w14:paraId="0E1524BF">
      <w:pPr>
        <w:bidi w:val="0"/>
        <w:rPr>
          <w:rFonts w:hint="eastAsia"/>
          <w:lang w:val="zh-CN"/>
        </w:rPr>
      </w:pPr>
      <w:r>
        <w:rPr>
          <w:rFonts w:hint="eastAsia"/>
          <w:b/>
          <w:bCs/>
          <w:lang w:val="zh-CN"/>
        </w:rPr>
        <w:t>项目融资</w:t>
      </w:r>
      <w:r>
        <w:rPr>
          <w:rFonts w:hint="eastAsia"/>
          <w:b/>
          <w:bCs/>
          <w:lang w:val="en-US" w:eastAsia="zh-CN"/>
        </w:rPr>
        <w:t xml:space="preserve">   </w:t>
      </w:r>
      <w:r>
        <w:rPr>
          <w:rFonts w:hint="eastAsia"/>
          <w:lang w:val="zh-CN"/>
        </w:rPr>
        <w:t>城投公司在融资工作方面大胆探索，勇于创新，结合公司项目建设实际，抢抓银行政策窗口期，积极申报农发行贷款项目。截止到2018年年底，通过以项目融资模式筹集资金2.88亿元，其中2018年提款1.12亿元。同时，向地方财政争取到政府债券项目资金9020.81万元，申请项目本级财政资金6.73亿元。</w:t>
      </w:r>
    </w:p>
    <w:p w14:paraId="75702B7F">
      <w:pPr>
        <w:bidi w:val="0"/>
        <w:rPr>
          <w:rFonts w:hint="eastAsia"/>
          <w:lang w:val="zh-CN"/>
        </w:rPr>
      </w:pPr>
      <w:r>
        <w:rPr>
          <w:rFonts w:hint="eastAsia"/>
          <w:b/>
          <w:bCs/>
          <w:lang w:val="zh-CN"/>
        </w:rPr>
        <w:t>代建项目</w:t>
      </w:r>
      <w:r>
        <w:rPr>
          <w:rFonts w:hint="eastAsia"/>
          <w:b/>
          <w:bCs/>
          <w:lang w:val="en-US" w:eastAsia="zh-CN"/>
        </w:rPr>
        <w:t xml:space="preserve">   </w:t>
      </w:r>
      <w:r>
        <w:rPr>
          <w:rFonts w:hint="eastAsia"/>
          <w:lang w:val="zh-CN"/>
        </w:rPr>
        <w:t>2018年，公司承担建设重点项目2个，在建项目15个，筹建项目13个，完工项目28个，其中，融资项目5个，债券项目6个。主要包括省定贫困村社会主义新农村示范村项目；乡镇污水处理厂及配套管网（一期）建设项目；凌江路、秋千街、西门街、雄州大道西市政工程；珠玑大道市政工程；雄州公园项目；南雄中学运动场修缮改造工程；碧桂园地块周边市政道路；雄东路543号闲置房改造工程；帽子峰林场危旧房改造安置工程；综合体片区征地留用地安置房项目；城乡医疗卫生建设项目；河南桥南桥头至羊角桥北桥头绿道工程等。此外，公司自主经营项目有城市综合体危房改造回迁安置房（雄州苑），帽子峰林场危旧房改造安置工程（银杏苑），水西小岛华电项目（小岛花园）。</w:t>
      </w:r>
    </w:p>
    <w:p w14:paraId="04B2FE1F">
      <w:pPr>
        <w:bidi w:val="0"/>
        <w:rPr>
          <w:rFonts w:hint="eastAsia"/>
          <w:b/>
          <w:bCs/>
          <w:lang w:val="zh-CN"/>
        </w:rPr>
      </w:pPr>
      <w:r>
        <w:rPr>
          <w:rFonts w:hint="eastAsia"/>
          <w:b/>
          <w:bCs/>
          <w:lang w:val="zh-CN"/>
        </w:rPr>
        <w:t>精准扶贫</w:t>
      </w:r>
      <w:r>
        <w:rPr>
          <w:rFonts w:hint="eastAsia"/>
          <w:lang w:val="en-US" w:eastAsia="zh-CN"/>
        </w:rPr>
        <w:t xml:space="preserve">   2</w:t>
      </w:r>
      <w:r>
        <w:rPr>
          <w:rFonts w:hint="eastAsia"/>
          <w:lang w:val="zh-CN"/>
        </w:rPr>
        <w:t>018年，公司支持百顺镇大沙洲村委停车场建设、购买御寒物资、节日慰问、住院慰问等投入资金6.46万元，实施危房改造重建1户，旧房修缮加固4户，协助办理13户贫困户27人享受低保，2户2人享受五保，全面落实100%参加医疗保险，60岁以上老人100%享受养老保险待遇，帮助7名贫困家庭读书子女落实教育资助政策，领取助学补贴和减免学杂费。</w:t>
      </w:r>
      <w:r>
        <w:rPr>
          <w:rFonts w:hint="eastAsia"/>
          <w:b/>
          <w:bCs/>
          <w:lang w:val="zh-CN"/>
        </w:rPr>
        <w:t>（罗文科）</w:t>
      </w:r>
    </w:p>
    <w:p w14:paraId="5210BBCD">
      <w:pPr>
        <w:pStyle w:val="11"/>
        <w:bidi w:val="0"/>
        <w:rPr>
          <w:rFonts w:hint="eastAsia"/>
          <w:b/>
          <w:bCs/>
          <w:lang w:val="zh-CN"/>
        </w:rPr>
      </w:pPr>
      <w:r>
        <w:rPr>
          <w:rFonts w:hint="eastAsia"/>
          <w:b/>
          <w:bCs/>
          <w:lang w:val="zh-CN"/>
        </w:rPr>
        <w:t>附：2018年市城投公司领导班子成员名单</w:t>
      </w:r>
    </w:p>
    <w:p w14:paraId="0FED98BD">
      <w:pPr>
        <w:pStyle w:val="11"/>
        <w:bidi w:val="0"/>
        <w:rPr>
          <w:rFonts w:hint="eastAsia"/>
          <w:lang w:val="zh-CN"/>
        </w:rPr>
      </w:pPr>
      <w:r>
        <w:rPr>
          <w:rFonts w:hint="eastAsia"/>
          <w:b/>
          <w:bCs/>
          <w:lang w:val="zh-CN"/>
        </w:rPr>
        <w:t>总</w:t>
      </w:r>
      <w:r>
        <w:rPr>
          <w:rFonts w:hint="eastAsia"/>
          <w:b/>
          <w:bCs/>
          <w:lang w:val="en-US" w:eastAsia="zh-CN"/>
        </w:rPr>
        <w:t xml:space="preserve"> </w:t>
      </w:r>
      <w:r>
        <w:rPr>
          <w:rFonts w:hint="eastAsia"/>
          <w:b/>
          <w:bCs/>
          <w:lang w:val="zh-CN"/>
        </w:rPr>
        <w:t>经</w:t>
      </w:r>
      <w:r>
        <w:rPr>
          <w:rFonts w:hint="eastAsia"/>
          <w:b/>
          <w:bCs/>
          <w:lang w:val="en-US" w:eastAsia="zh-CN"/>
        </w:rPr>
        <w:t xml:space="preserve"> </w:t>
      </w:r>
      <w:r>
        <w:rPr>
          <w:rFonts w:hint="eastAsia"/>
          <w:b/>
          <w:bCs/>
          <w:lang w:val="zh-CN"/>
        </w:rPr>
        <w:t>理：</w:t>
      </w:r>
      <w:r>
        <w:rPr>
          <w:rFonts w:hint="eastAsia"/>
          <w:lang w:val="zh-CN"/>
        </w:rPr>
        <w:t>沈迪彧（任至12月）</w:t>
      </w:r>
    </w:p>
    <w:p w14:paraId="7E7DBDAD">
      <w:pPr>
        <w:pStyle w:val="11"/>
        <w:bidi w:val="0"/>
        <w:ind w:leftChars="500"/>
        <w:rPr>
          <w:rFonts w:hint="eastAsia"/>
          <w:lang w:val="zh-CN"/>
        </w:rPr>
      </w:pPr>
      <w:r>
        <w:rPr>
          <w:rFonts w:hint="eastAsia"/>
          <w:lang w:val="zh-CN"/>
        </w:rPr>
        <w:t>梁乃煌（12月任职）</w:t>
      </w:r>
    </w:p>
    <w:p w14:paraId="7605F742">
      <w:pPr>
        <w:pStyle w:val="11"/>
        <w:bidi w:val="0"/>
        <w:rPr>
          <w:rFonts w:hint="eastAsia"/>
          <w:lang w:val="zh-CN"/>
        </w:rPr>
      </w:pPr>
      <w:r>
        <w:rPr>
          <w:rFonts w:hint="eastAsia"/>
          <w:b/>
          <w:bCs/>
          <w:lang w:val="zh-CN"/>
        </w:rPr>
        <w:t>副总经理：</w:t>
      </w:r>
      <w:r>
        <w:rPr>
          <w:rFonts w:hint="eastAsia"/>
          <w:lang w:val="zh-CN"/>
        </w:rPr>
        <w:t>邱茂连（任至12月）</w:t>
      </w:r>
    </w:p>
    <w:p w14:paraId="177F3613">
      <w:pPr>
        <w:pStyle w:val="11"/>
        <w:bidi w:val="0"/>
        <w:ind w:leftChars="500"/>
        <w:rPr>
          <w:rFonts w:hint="eastAsia"/>
          <w:lang w:val="zh-CN"/>
        </w:rPr>
      </w:pPr>
      <w:r>
        <w:rPr>
          <w:rFonts w:hint="eastAsia"/>
          <w:lang w:val="zh-CN"/>
        </w:rPr>
        <w:t>朱海明（任至12月）</w:t>
      </w:r>
    </w:p>
    <w:p w14:paraId="28FDA959">
      <w:pPr>
        <w:pStyle w:val="11"/>
        <w:bidi w:val="0"/>
        <w:ind w:leftChars="500"/>
        <w:rPr>
          <w:rFonts w:hint="eastAsia"/>
          <w:lang w:val="zh-CN"/>
        </w:rPr>
      </w:pPr>
      <w:r>
        <w:rPr>
          <w:rFonts w:hint="eastAsia"/>
          <w:lang w:val="zh-CN"/>
        </w:rPr>
        <w:t>陈向前</w:t>
      </w:r>
    </w:p>
    <w:p w14:paraId="7B1AF04F">
      <w:pPr>
        <w:pStyle w:val="11"/>
        <w:bidi w:val="0"/>
        <w:ind w:leftChars="500"/>
        <w:rPr>
          <w:rFonts w:hint="eastAsia"/>
          <w:lang w:val="zh-CN"/>
        </w:rPr>
      </w:pPr>
      <w:r>
        <w:rPr>
          <w:rFonts w:hint="eastAsia"/>
          <w:lang w:val="zh-CN"/>
        </w:rPr>
        <w:t>邱人峰（12月任职）</w:t>
      </w:r>
    </w:p>
    <w:p w14:paraId="4110A88C">
      <w:pPr>
        <w:pStyle w:val="11"/>
        <w:bidi w:val="0"/>
        <w:ind w:leftChars="500"/>
        <w:rPr>
          <w:rFonts w:hint="eastAsia"/>
          <w:lang w:val="zh-CN"/>
        </w:rPr>
      </w:pPr>
      <w:r>
        <w:rPr>
          <w:rFonts w:hint="eastAsia"/>
          <w:lang w:val="zh-CN"/>
        </w:rPr>
        <w:t>张熙云（12月任职）</w:t>
      </w:r>
    </w:p>
    <w:p w14:paraId="0D3F75E5">
      <w:pPr>
        <w:pStyle w:val="11"/>
        <w:bidi w:val="0"/>
        <w:ind w:leftChars="500"/>
        <w:rPr>
          <w:rFonts w:hint="eastAsia"/>
          <w:lang w:val="zh-CN"/>
        </w:rPr>
      </w:pPr>
      <w:r>
        <w:rPr>
          <w:rFonts w:hint="eastAsia"/>
          <w:lang w:val="zh-CN"/>
        </w:rPr>
        <w:t>邬书洋（12月任职）</w:t>
      </w:r>
    </w:p>
    <w:p w14:paraId="00B9A43B">
      <w:pPr>
        <w:pStyle w:val="11"/>
        <w:bidi w:val="0"/>
        <w:rPr>
          <w:rFonts w:hint="eastAsia"/>
          <w:lang w:val="zh-CN"/>
        </w:rPr>
      </w:pPr>
      <w:r>
        <w:rPr>
          <w:rFonts w:hint="eastAsia"/>
          <w:b/>
          <w:bCs/>
          <w:lang w:val="zh-CN"/>
        </w:rPr>
        <w:t>总工程师：</w:t>
      </w:r>
      <w:r>
        <w:rPr>
          <w:rFonts w:hint="eastAsia"/>
          <w:lang w:val="zh-CN"/>
        </w:rPr>
        <w:t>陈春红（任至12月）</w:t>
      </w:r>
    </w:p>
    <w:p w14:paraId="79645B34">
      <w:pPr>
        <w:pStyle w:val="11"/>
        <w:bidi w:val="0"/>
        <w:rPr>
          <w:rFonts w:hint="eastAsia"/>
          <w:lang w:val="zh-CN"/>
        </w:rPr>
      </w:pPr>
      <w:r>
        <w:rPr>
          <w:rFonts w:hint="eastAsia"/>
          <w:b/>
          <w:bCs/>
          <w:lang w:val="zh-CN"/>
        </w:rPr>
        <w:t>工会主席：</w:t>
      </w:r>
      <w:r>
        <w:rPr>
          <w:rFonts w:hint="eastAsia"/>
          <w:lang w:val="zh-CN"/>
        </w:rPr>
        <w:t>黄</w:t>
      </w:r>
      <w:r>
        <w:rPr>
          <w:rFonts w:hint="eastAsia"/>
          <w:lang w:val="en-US" w:eastAsia="zh-CN"/>
        </w:rPr>
        <w:t xml:space="preserve">  </w:t>
      </w:r>
      <w:r>
        <w:rPr>
          <w:rFonts w:hint="eastAsia"/>
          <w:lang w:val="zh-CN"/>
        </w:rPr>
        <w:t>娟</w:t>
      </w:r>
    </w:p>
    <w:p w14:paraId="77C9A979">
      <w:pPr>
        <w:pStyle w:val="4"/>
        <w:bidi w:val="0"/>
        <w:rPr>
          <w:rFonts w:hint="eastAsia"/>
          <w:lang w:val="zh-CN"/>
        </w:rPr>
      </w:pPr>
      <w:r>
        <w:rPr>
          <w:rFonts w:hint="eastAsia"/>
          <w:lang w:val="zh-CN"/>
        </w:rPr>
        <w:t>【韶能集团广东绿洲生态科技有限公司韶能本色分公司】</w:t>
      </w:r>
    </w:p>
    <w:p w14:paraId="371A93B7">
      <w:pPr>
        <w:bidi w:val="0"/>
        <w:rPr>
          <w:rFonts w:hint="eastAsia"/>
          <w:lang w:val="zh-CN"/>
        </w:rPr>
      </w:pPr>
      <w:r>
        <w:rPr>
          <w:rFonts w:hint="eastAsia"/>
          <w:lang w:val="zh-CN"/>
        </w:rPr>
        <w:t>韶能集团广东绿洲生态科技有限公司韶能本色分公司由韶能集团绿洲公司兼并成立集团子公司，有员工625人，利用粤北山区丰富的竹类资源为纤维原料，通过技术改造实现传统产业升级转型，拥有年生产漂白硫酸盐竹浆6.5万吨，漂白硫酸盐竹浆板5万吨，韶能本色生活用纸5万吨的生产能力。利用当地资源优势大力创建丛生竹原料基地，发展种植3.2万多亩，企业走出一条“公司＋农户＋基地”新模式，主要产品为“珠玑牌”优质牛皮纸和硫酸盐竹浆板、本色生活用纸，产品销往广东、江西、福建、浙江、上海、天津、云南等地区。</w:t>
      </w:r>
    </w:p>
    <w:p w14:paraId="63EC4777">
      <w:pPr>
        <w:bidi w:val="0"/>
        <w:rPr>
          <w:rFonts w:hint="eastAsia"/>
          <w:lang w:val="zh-CN"/>
        </w:rPr>
      </w:pPr>
      <w:r>
        <w:rPr>
          <w:rFonts w:hint="eastAsia"/>
          <w:b/>
          <w:bCs/>
          <w:lang w:val="zh-CN"/>
        </w:rPr>
        <w:t>生产经营</w:t>
      </w:r>
      <w:r>
        <w:rPr>
          <w:rFonts w:hint="eastAsia"/>
          <w:b/>
          <w:bCs/>
          <w:lang w:val="en-US" w:eastAsia="zh-CN"/>
        </w:rPr>
        <w:t xml:space="preserve">   </w:t>
      </w:r>
      <w:r>
        <w:rPr>
          <w:rFonts w:hint="eastAsia"/>
          <w:lang w:val="zh-CN"/>
        </w:rPr>
        <w:t>2018年制浆4.05万吨，与上年同比增长10.72%，完成年度预算84.46%。生产本色浆板1.68吨，与上年同比下降3.08%，完成年度预算的239.95%；牛皮纸8603吨，与上年同比下降14.3%；原纸1.77万吨，与去年同比增长33.27%，完成年度预算的43.15%；分盘纸1.43万吨，与上年同比增长37.10%，完成年度预算的89.34%；生活用纸2560.93吨，与上年同比增长12.35%，完成年度预算的10.24%。</w:t>
      </w:r>
    </w:p>
    <w:p w14:paraId="53779A9C">
      <w:pPr>
        <w:bidi w:val="0"/>
        <w:rPr>
          <w:rFonts w:hint="eastAsia"/>
          <w:lang w:val="zh-CN"/>
        </w:rPr>
      </w:pPr>
      <w:r>
        <w:rPr>
          <w:rFonts w:hint="eastAsia"/>
          <w:lang w:val="zh-CN"/>
        </w:rPr>
        <w:t>全年实现销售收入2.44亿元，其中：本色浆板1.56万吨，销售收入7003.7万元；牛皮纸8510吨，销售收入5337万元；分盘纸1.21万吨，销售收入8530.5万元；生活用纸成品纸3204吨，销售收入3444.19万元。销售收入同比上年增加2284.66万元，增幅13.43%，企业扭亏为盈。</w:t>
      </w:r>
    </w:p>
    <w:p w14:paraId="45C39545">
      <w:pPr>
        <w:bidi w:val="0"/>
        <w:rPr>
          <w:rFonts w:hint="eastAsia"/>
          <w:lang w:val="zh-CN"/>
        </w:rPr>
      </w:pPr>
      <w:r>
        <w:rPr>
          <w:rFonts w:hint="eastAsia"/>
          <w:b/>
          <w:bCs/>
          <w:lang w:val="zh-CN"/>
        </w:rPr>
        <w:t>企业管理</w:t>
      </w:r>
      <w:r>
        <w:rPr>
          <w:rFonts w:hint="eastAsia"/>
          <w:b/>
          <w:bCs/>
          <w:lang w:val="en-US" w:eastAsia="zh-CN"/>
        </w:rPr>
        <w:t xml:space="preserve">   </w:t>
      </w:r>
      <w:r>
        <w:rPr>
          <w:rFonts w:hint="eastAsia"/>
          <w:lang w:val="zh-CN"/>
        </w:rPr>
        <w:t>公司班子在谋事创业的过程中，把加强内控管理、外拓市场、节能降耗作为提高经济效益主要经营手段，为实现提速增效、加快发展经营目标，把“浆纸平衡、产销平衡、扭亏为盈”的经营理念，落实到生产经营环节，适时调整生产工艺和产品结构，降低消耗，提升设备产能。组建产品质量检测部，加强产品质量督查工作，完成产品的ISO9001和ISO14001认证工作，规范各车间和部门的操作程序，提升企业现代化管理水平。树立产品品牌形象，继续向“高、新、精、优、特”产品方向发展，适时开发本色浆、系列牛皮纸、包装原纸、生活用纸、医疗功能用纸等产品，实现产品多元化，提升市场竞争能力，增强企业抗风险能力。完善员工薪酬分配方案，实行绩效考核的激励机制，对特殊岗位、特殊人才的工资薪酬采取区别待遇。健全完善各项管理制度，规范生产、采购、技改、销售、招投标、财务等工作流程。</w:t>
      </w:r>
    </w:p>
    <w:p w14:paraId="5C81549C">
      <w:pPr>
        <w:bidi w:val="0"/>
        <w:rPr>
          <w:rFonts w:hint="eastAsia"/>
          <w:lang w:val="zh-CN"/>
        </w:rPr>
      </w:pPr>
      <w:r>
        <w:rPr>
          <w:rFonts w:hint="eastAsia"/>
          <w:b/>
          <w:bCs/>
          <w:lang w:val="zh-CN"/>
        </w:rPr>
        <w:t>技术创新</w:t>
      </w:r>
      <w:r>
        <w:rPr>
          <w:rFonts w:hint="eastAsia"/>
          <w:b/>
          <w:bCs/>
          <w:lang w:val="en-US" w:eastAsia="zh-CN"/>
        </w:rPr>
        <w:t xml:space="preserve">   </w:t>
      </w:r>
      <w:r>
        <w:rPr>
          <w:rFonts w:hint="eastAsia"/>
          <w:lang w:val="zh-CN"/>
        </w:rPr>
        <w:t>通过技术改进，加强环境治理，在制浆工艺废臭气处理设施前增加两套汽水分离器，将工艺废臭气中的蒸汽水分离出来，减轻工艺废臭气处理设施的处理负荷。与澳门绿源环保科技有限公司合作，不断完善碱回收苛化工段的工艺废臭气的处理，调整生产工艺流程，淘汰重大危险源液氯使用生产环节，安装烟气、废水在线监测系统，并入广东省环保监测系统网站，全天候接受环保系统的监督，烟气、废水排放均符合国家环保标准。</w:t>
      </w:r>
    </w:p>
    <w:p w14:paraId="016BCEDB">
      <w:pPr>
        <w:bidi w:val="0"/>
        <w:rPr>
          <w:rFonts w:hint="eastAsia"/>
          <w:lang w:val="zh-CN"/>
        </w:rPr>
      </w:pPr>
      <w:r>
        <w:rPr>
          <w:rFonts w:hint="eastAsia"/>
          <w:b/>
          <w:bCs/>
          <w:lang w:val="zh-CN"/>
        </w:rPr>
        <w:t>安全生产</w:t>
      </w:r>
      <w:r>
        <w:rPr>
          <w:rFonts w:hint="eastAsia"/>
          <w:b/>
          <w:bCs/>
          <w:lang w:val="en-US" w:eastAsia="zh-CN"/>
        </w:rPr>
        <w:t xml:space="preserve">   </w:t>
      </w:r>
      <w:r>
        <w:rPr>
          <w:rFonts w:hint="eastAsia"/>
          <w:lang w:val="zh-CN"/>
        </w:rPr>
        <w:t>坚持每月例行检查与专项检查相结合，针对安全隐患逐项整改。还做到防患于未然，开展屋顶补漏、清除电柜隐患、屋面更新和道路维修等工作，同时，还强化环保设备的管理，全年无重大安全环保事故发生。</w:t>
      </w:r>
      <w:r>
        <w:rPr>
          <w:rFonts w:hint="eastAsia"/>
          <w:b/>
          <w:bCs/>
          <w:lang w:val="zh-CN"/>
        </w:rPr>
        <w:t>（刘宏春）</w:t>
      </w:r>
    </w:p>
    <w:p w14:paraId="3566312D">
      <w:pPr>
        <w:pStyle w:val="11"/>
        <w:bidi w:val="0"/>
        <w:rPr>
          <w:rFonts w:hint="eastAsia"/>
          <w:b/>
          <w:bCs/>
          <w:lang w:val="zh-CN"/>
        </w:rPr>
      </w:pPr>
      <w:r>
        <w:rPr>
          <w:rFonts w:hint="eastAsia"/>
          <w:b/>
          <w:bCs/>
          <w:lang w:val="zh-CN"/>
        </w:rPr>
        <w:t>附：2018年韶能集团韶关南雄珠玑纸业有限公司领导班子成员名单：</w:t>
      </w:r>
    </w:p>
    <w:p w14:paraId="4C269215">
      <w:pPr>
        <w:pStyle w:val="11"/>
        <w:bidi w:val="0"/>
        <w:rPr>
          <w:rFonts w:hint="eastAsia"/>
          <w:lang w:val="zh-CN"/>
        </w:rPr>
      </w:pPr>
      <w:r>
        <w:rPr>
          <w:rFonts w:hint="eastAsia"/>
          <w:b/>
          <w:bCs/>
          <w:lang w:val="zh-CN"/>
        </w:rPr>
        <w:t>董事长：</w:t>
      </w:r>
      <w:r>
        <w:rPr>
          <w:rFonts w:hint="eastAsia"/>
          <w:lang w:val="zh-CN"/>
        </w:rPr>
        <w:t>钟跃元</w:t>
      </w:r>
    </w:p>
    <w:p w14:paraId="7B88D8FE">
      <w:pPr>
        <w:pStyle w:val="11"/>
        <w:bidi w:val="0"/>
        <w:rPr>
          <w:rFonts w:hint="eastAsia"/>
          <w:b/>
          <w:bCs/>
          <w:lang w:val="zh-CN"/>
        </w:rPr>
      </w:pPr>
      <w:r>
        <w:rPr>
          <w:rFonts w:hint="eastAsia"/>
          <w:b/>
          <w:bCs/>
          <w:lang w:val="zh-CN"/>
        </w:rPr>
        <w:t>副董事长、支部书记：</w:t>
      </w:r>
    </w:p>
    <w:p w14:paraId="7E977A64">
      <w:pPr>
        <w:pStyle w:val="11"/>
        <w:bidi w:val="0"/>
        <w:ind w:leftChars="400"/>
        <w:rPr>
          <w:rFonts w:hint="eastAsia"/>
          <w:lang w:val="zh-CN"/>
        </w:rPr>
      </w:pPr>
      <w:r>
        <w:rPr>
          <w:rFonts w:hint="eastAsia"/>
          <w:lang w:val="zh-CN"/>
        </w:rPr>
        <w:t>陈盛全（任至4月）</w:t>
      </w:r>
    </w:p>
    <w:p w14:paraId="1F969D16">
      <w:pPr>
        <w:pStyle w:val="11"/>
        <w:bidi w:val="0"/>
        <w:rPr>
          <w:rFonts w:hint="eastAsia"/>
          <w:lang w:val="zh-CN"/>
        </w:rPr>
      </w:pPr>
      <w:r>
        <w:rPr>
          <w:rFonts w:hint="eastAsia"/>
          <w:b/>
          <w:bCs/>
          <w:lang w:val="zh-CN"/>
        </w:rPr>
        <w:t>总经理：</w:t>
      </w:r>
      <w:r>
        <w:rPr>
          <w:rFonts w:hint="eastAsia"/>
          <w:lang w:val="zh-CN"/>
        </w:rPr>
        <w:t>何水泉（任至5月）</w:t>
      </w:r>
    </w:p>
    <w:p w14:paraId="292A190E">
      <w:pPr>
        <w:pStyle w:val="11"/>
        <w:bidi w:val="0"/>
        <w:ind w:leftChars="400"/>
        <w:rPr>
          <w:rFonts w:hint="eastAsia"/>
          <w:lang w:val="zh-CN"/>
        </w:rPr>
      </w:pPr>
      <w:r>
        <w:rPr>
          <w:rFonts w:hint="eastAsia"/>
          <w:lang w:val="zh-CN"/>
        </w:rPr>
        <w:t>赖国辉（5月任职）</w:t>
      </w:r>
    </w:p>
    <w:p w14:paraId="026AD39F">
      <w:pPr>
        <w:pStyle w:val="4"/>
        <w:bidi w:val="0"/>
        <w:rPr>
          <w:rFonts w:hint="eastAsia"/>
          <w:lang w:val="zh-CN"/>
        </w:rPr>
      </w:pPr>
      <w:r>
        <w:rPr>
          <w:rFonts w:hint="eastAsia"/>
          <w:lang w:val="zh-CN"/>
        </w:rPr>
        <w:t>【韶能集团广东绿洲生态科技有限公司】</w:t>
      </w:r>
    </w:p>
    <w:p w14:paraId="0380B445">
      <w:pPr>
        <w:bidi w:val="0"/>
        <w:rPr>
          <w:rFonts w:hint="eastAsia"/>
          <w:lang w:val="zh-CN"/>
        </w:rPr>
      </w:pPr>
      <w:r>
        <w:rPr>
          <w:rFonts w:hint="eastAsia"/>
          <w:lang w:val="zh-CN"/>
        </w:rPr>
        <w:t>韶能集团广东绿洲生态科技有限公司（简称绿洲公司）是广东韶能集团股份有限公司控股子公司，经过韶能集团多次增资，现注册资本为7.03亿元。股东为广东韶能集团股份有限公司（简称韶能集团）、韶关市金财投资集团有限公司和南雄市国有资产投资有限公司，股权比例分别为97.78%、1.42%、0.80%。根据集团公司的发展战略部署，吸收韶能集团韶关南雄珠玑纸业有限公司为分公司，并更名为韶能集团广东绿洲生态科技有限公司韶能本色分公司，以绿洲生态公司为核心企业，主营生态植物纤维制品的研发制造与经营，通过扩产和基地建设将公司打造成为全球最大的生态植物纤维产品制造商。</w:t>
      </w:r>
    </w:p>
    <w:p w14:paraId="0D844BAD">
      <w:pPr>
        <w:bidi w:val="0"/>
        <w:rPr>
          <w:rFonts w:hint="eastAsia"/>
          <w:lang w:val="zh-CN"/>
        </w:rPr>
      </w:pPr>
      <w:r>
        <w:rPr>
          <w:rFonts w:hint="eastAsia"/>
          <w:lang w:val="zh-CN"/>
        </w:rPr>
        <w:t>绿洲公司位于南雄市全安镇营堡前，占地面积182亩，有员工1300人，技术骨干228人。绿洲公司集产供销一体，从丛生竹原料基地建设、制浆、自主研发生产设备到自主品牌创建等形成完整的生态植物纤维制品产业链，经过2011-2018年四期的扩产升级发展，绿洲生态公司现有半自动、全自动生产线28条，年生产能力达4万吨。2018年公司年产值6.4亿元，同比增长36%。</w:t>
      </w:r>
    </w:p>
    <w:p w14:paraId="05EF9BB2">
      <w:pPr>
        <w:bidi w:val="0"/>
        <w:rPr>
          <w:rFonts w:hint="eastAsia"/>
          <w:lang w:val="zh-CN"/>
        </w:rPr>
      </w:pPr>
      <w:r>
        <w:rPr>
          <w:rFonts w:hint="eastAsia"/>
          <w:b/>
          <w:bCs/>
          <w:lang w:val="zh-CN"/>
        </w:rPr>
        <w:t>科技兴企</w:t>
      </w:r>
      <w:r>
        <w:rPr>
          <w:rFonts w:hint="eastAsia"/>
          <w:b/>
          <w:bCs/>
          <w:lang w:val="en-US" w:eastAsia="zh-CN"/>
        </w:rPr>
        <w:t xml:space="preserve">   </w:t>
      </w:r>
      <w:r>
        <w:rPr>
          <w:rFonts w:hint="eastAsia"/>
          <w:lang w:val="zh-CN"/>
        </w:rPr>
        <w:t>绿洲公司主营以天然植物纤维为主要原材料制成的一次性安全可降解环保餐具，产品具有90天全降解、无毒、卫生、防水、防油、使用方便等优点，可根据客户需求设计制造各类植物纤维模塑制品，如高档电子产品、精美环保墙纸等精品工业包装等。绿洲生态公司获得国家ISO9001、ISO14001认证和欧美质量体系认证及广东省名牌产品称号，产品远销东南亚、美洲、欧洲等地。</w:t>
      </w:r>
    </w:p>
    <w:p w14:paraId="53986C44">
      <w:pPr>
        <w:bidi w:val="0"/>
        <w:rPr>
          <w:rFonts w:hint="eastAsia"/>
          <w:lang w:val="zh-CN"/>
        </w:rPr>
      </w:pPr>
      <w:r>
        <w:rPr>
          <w:rFonts w:hint="eastAsia"/>
          <w:lang w:val="zh-CN"/>
        </w:rPr>
        <w:t>绿洲生态公司注重技术创新，不断优化产品工艺方案，拥有专利12项（其中发明专利3项），提升企业核心竞争力。近年来公司不断加大自动化设备的研发与投入，自主研发扩产三期项目的主机设备，引领行业向科技化、自动化、工业化、信息化发展。纸浆模塑企业机器人应用的技改管理实践荣获广东企业管理现代化创新成果一等奖，并获得高新技术企业认定；绿洲公司研发中心被认定为“广东省植物纤维模塑包装工程技术研究中心”。经过努力，以国内最大纸浆模塑餐具生产龙头企业身份参与起草国内第一份纸浆模塑餐具国家标准，并于2019年4月1日发布实施。</w:t>
      </w:r>
      <w:r>
        <w:rPr>
          <w:rFonts w:hint="eastAsia"/>
          <w:b/>
          <w:bCs/>
          <w:lang w:val="zh-CN"/>
        </w:rPr>
        <w:t>（韦小翠）</w:t>
      </w:r>
    </w:p>
    <w:p w14:paraId="3E5C075C">
      <w:pPr>
        <w:pStyle w:val="11"/>
        <w:bidi w:val="0"/>
        <w:rPr>
          <w:rFonts w:hint="eastAsia"/>
          <w:b/>
          <w:bCs/>
          <w:lang w:val="zh-CN"/>
        </w:rPr>
      </w:pPr>
      <w:r>
        <w:rPr>
          <w:rFonts w:hint="eastAsia"/>
          <w:b/>
          <w:bCs/>
          <w:lang w:val="zh-CN"/>
        </w:rPr>
        <w:t>附：2018年韶能集团广东绿洲生态科技有限公司领导班子成员名单</w:t>
      </w:r>
    </w:p>
    <w:p w14:paraId="198532E7">
      <w:pPr>
        <w:pStyle w:val="11"/>
        <w:bidi w:val="0"/>
        <w:rPr>
          <w:rFonts w:hint="eastAsia"/>
          <w:lang w:val="zh-CN"/>
        </w:rPr>
      </w:pPr>
      <w:r>
        <w:rPr>
          <w:rFonts w:hint="eastAsia"/>
          <w:b/>
          <w:bCs/>
          <w:lang w:val="zh-CN"/>
        </w:rPr>
        <w:t>董事长&amp;总经理：</w:t>
      </w:r>
      <w:r>
        <w:rPr>
          <w:rFonts w:hint="eastAsia"/>
          <w:lang w:val="zh-CN"/>
        </w:rPr>
        <w:t>谢泰波</w:t>
      </w:r>
    </w:p>
    <w:p w14:paraId="556B6198">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总</w:t>
      </w:r>
      <w:r>
        <w:rPr>
          <w:rFonts w:hint="eastAsia"/>
          <w:b/>
          <w:bCs/>
          <w:lang w:val="en-US" w:eastAsia="zh-CN"/>
        </w:rPr>
        <w:t xml:space="preserve"> </w:t>
      </w:r>
      <w:r>
        <w:rPr>
          <w:rFonts w:hint="eastAsia"/>
          <w:b/>
          <w:bCs/>
          <w:lang w:val="zh-CN"/>
        </w:rPr>
        <w:t>经理：</w:t>
      </w:r>
      <w:r>
        <w:rPr>
          <w:rFonts w:hint="eastAsia"/>
          <w:lang w:val="zh-CN"/>
        </w:rPr>
        <w:t>张海峰</w:t>
      </w:r>
      <w:r>
        <w:rPr>
          <w:rFonts w:hint="eastAsia"/>
          <w:lang w:val="en-US" w:eastAsia="zh-CN"/>
        </w:rPr>
        <w:t xml:space="preserve">   </w:t>
      </w:r>
      <w:r>
        <w:rPr>
          <w:rFonts w:hint="eastAsia"/>
          <w:lang w:val="zh-CN"/>
        </w:rPr>
        <w:t>徐红兵</w:t>
      </w:r>
    </w:p>
    <w:p w14:paraId="037FEC05">
      <w:pPr>
        <w:pStyle w:val="11"/>
        <w:bidi w:val="0"/>
        <w:ind w:leftChars="600"/>
        <w:rPr>
          <w:rFonts w:hint="eastAsia"/>
          <w:lang w:val="zh-CN"/>
        </w:rPr>
      </w:pPr>
      <w:r>
        <w:rPr>
          <w:rFonts w:hint="eastAsia"/>
          <w:lang w:val="zh-CN"/>
        </w:rPr>
        <w:t>罗新军</w:t>
      </w:r>
    </w:p>
    <w:p w14:paraId="67D7F228">
      <w:pPr>
        <w:pStyle w:val="11"/>
        <w:bidi w:val="0"/>
        <w:rPr>
          <w:rFonts w:hint="eastAsia"/>
          <w:lang w:val="zh-CN"/>
        </w:rPr>
      </w:pPr>
      <w:r>
        <w:rPr>
          <w:rFonts w:hint="eastAsia"/>
          <w:b/>
          <w:bCs/>
          <w:lang w:val="zh-CN"/>
        </w:rPr>
        <w:t>总经理助理：</w:t>
      </w:r>
      <w:r>
        <w:rPr>
          <w:rFonts w:hint="eastAsia"/>
          <w:lang w:val="zh-CN"/>
        </w:rPr>
        <w:t>谢运生</w:t>
      </w:r>
      <w:r>
        <w:rPr>
          <w:rFonts w:hint="eastAsia"/>
          <w:lang w:val="en-US" w:eastAsia="zh-CN"/>
        </w:rPr>
        <w:t xml:space="preserve">   </w:t>
      </w:r>
      <w:r>
        <w:rPr>
          <w:rFonts w:hint="eastAsia"/>
          <w:lang w:val="zh-CN"/>
        </w:rPr>
        <w:t>凌志雄</w:t>
      </w:r>
    </w:p>
    <w:p w14:paraId="30BD16C7">
      <w:pPr>
        <w:pStyle w:val="11"/>
        <w:bidi w:val="0"/>
        <w:ind w:leftChars="600"/>
        <w:rPr>
          <w:rFonts w:hint="eastAsia"/>
          <w:lang w:val="zh-CN"/>
        </w:rPr>
      </w:pPr>
      <w:r>
        <w:rPr>
          <w:rFonts w:hint="eastAsia"/>
          <w:lang w:val="zh-CN"/>
        </w:rPr>
        <w:t>李成军</w:t>
      </w:r>
      <w:r>
        <w:rPr>
          <w:rFonts w:hint="eastAsia"/>
          <w:lang w:val="en-US" w:eastAsia="zh-CN"/>
        </w:rPr>
        <w:t xml:space="preserve">   </w:t>
      </w:r>
      <w:r>
        <w:rPr>
          <w:rFonts w:hint="eastAsia"/>
          <w:lang w:val="zh-CN"/>
        </w:rPr>
        <w:t>林楷坚</w:t>
      </w:r>
    </w:p>
    <w:p w14:paraId="4F54F6B8">
      <w:pPr>
        <w:pStyle w:val="11"/>
        <w:bidi w:val="0"/>
        <w:ind w:leftChars="600"/>
        <w:rPr>
          <w:rFonts w:hint="eastAsia"/>
          <w:lang w:val="zh-CN"/>
        </w:rPr>
      </w:pPr>
      <w:r>
        <w:rPr>
          <w:rFonts w:hint="eastAsia"/>
          <w:lang w:val="zh-CN"/>
        </w:rPr>
        <w:t>周金枝</w:t>
      </w:r>
    </w:p>
    <w:p w14:paraId="2E716D31">
      <w:pPr>
        <w:pStyle w:val="4"/>
        <w:bidi w:val="0"/>
        <w:rPr>
          <w:rFonts w:hint="eastAsia"/>
          <w:lang w:val="zh-CN"/>
        </w:rPr>
      </w:pPr>
      <w:r>
        <w:rPr>
          <w:rFonts w:hint="eastAsia"/>
          <w:lang w:val="zh-CN"/>
        </w:rPr>
        <w:t>【棉土窝矿业】</w:t>
      </w:r>
    </w:p>
    <w:p w14:paraId="7237FA42">
      <w:pPr>
        <w:bidi w:val="0"/>
        <w:rPr>
          <w:rFonts w:hint="eastAsia"/>
          <w:lang w:val="zh-CN"/>
        </w:rPr>
      </w:pPr>
      <w:r>
        <w:rPr>
          <w:rFonts w:hint="eastAsia"/>
          <w:lang w:val="zh-CN"/>
        </w:rPr>
        <w:t>韶关棉土窝矿业有限公司（以下简称棉土窝公司）于2002年11月26日由原韶关市棉土窝钨矿改制成为有限责任公司，2016年10月21日由有限责任公司改制成为其他有限责任公司。现有从业人员173人，各类工程技术人员26人，中层干部15人。公司下设有采、选两个生产车间，以及办公室、财务部、生产管理部、供应销售部、设备管理部、安全环保部和纪检监察室等职能部门。</w:t>
      </w:r>
    </w:p>
    <w:p w14:paraId="6FC871F2">
      <w:pPr>
        <w:bidi w:val="0"/>
        <w:rPr>
          <w:rFonts w:hint="eastAsia"/>
          <w:lang w:val="zh-CN"/>
        </w:rPr>
      </w:pPr>
      <w:r>
        <w:rPr>
          <w:rFonts w:hint="eastAsia"/>
          <w:b/>
          <w:bCs/>
          <w:lang w:val="zh-CN"/>
        </w:rPr>
        <w:t>生产经营</w:t>
      </w:r>
      <w:r>
        <w:rPr>
          <w:rFonts w:hint="eastAsia"/>
          <w:b/>
          <w:bCs/>
          <w:lang w:val="en-US" w:eastAsia="zh-CN"/>
        </w:rPr>
        <w:t xml:space="preserve">   </w:t>
      </w:r>
      <w:r>
        <w:rPr>
          <w:rFonts w:hint="eastAsia"/>
          <w:lang w:val="zh-CN"/>
        </w:rPr>
        <w:t>棉土窝公司全体员工发扬艰苦奋斗精神，继续保持过紧日子思想，按照“保安全、强管理、促效益”生产经营思路，积极组织落实“2018年目标责任书”各项工作。一年来，公司抓管理提高经济效益，查隐患守住安全底线。通过强化精细化管理、核心工作和重点工作等工作措施，确保目标责任和各项指标实现。全年完成上级公司要求的安全和环保各项工作任务，工业总产值完成1994.14万元；钨精矿（65%）完成131.34吨，铋精矿（100%）完成9.47吨，钼精矿（100%）完成19.54吨。</w:t>
      </w:r>
    </w:p>
    <w:p w14:paraId="6E6E178F">
      <w:pPr>
        <w:bidi w:val="0"/>
        <w:rPr>
          <w:rFonts w:hint="eastAsia"/>
          <w:lang w:val="zh-CN"/>
        </w:rPr>
      </w:pPr>
      <w:r>
        <w:rPr>
          <w:rFonts w:hint="eastAsia"/>
          <w:b/>
          <w:bCs/>
          <w:lang w:val="zh-CN"/>
        </w:rPr>
        <w:t>重点工作</w:t>
      </w:r>
      <w:r>
        <w:rPr>
          <w:rFonts w:hint="eastAsia"/>
          <w:b/>
          <w:bCs/>
          <w:lang w:val="en-US" w:eastAsia="zh-CN"/>
        </w:rPr>
        <w:t xml:space="preserve">   </w:t>
      </w:r>
      <w:r>
        <w:rPr>
          <w:rFonts w:hint="eastAsia"/>
          <w:lang w:val="zh-CN"/>
        </w:rPr>
        <w:t>完成井下140中段提升机改造项目，试运行后验收满足技术规范要求，提高井下提升运输能力，保证井下100中段的安全生产；实施木头坑区域钨（多金属矿）勘探项目，年底已出具成果报告。通过开展探矿勘查工作，以寻找新的替代资源，增加矿山资源储备，实现企业可持续稳定发展，获得省级矿山维简补助费160万元；完成“三供一业”改造项目，并于年底完成资产移交；完成地下矿山和尾矿库安全许可证续证工作；完成采矿许可证续证，新证有效期为10年，保证公司生产经营工作正常进行；改造尾矿库废水利用设备，既保证选矿车间生产用水，又保证尾矿库水达标排放，生产和环保效益同时显现。</w:t>
      </w:r>
    </w:p>
    <w:p w14:paraId="22997925">
      <w:pPr>
        <w:bidi w:val="0"/>
        <w:jc w:val="right"/>
        <w:rPr>
          <w:rFonts w:hint="eastAsia"/>
          <w:b/>
          <w:bCs/>
          <w:lang w:val="zh-CN"/>
        </w:rPr>
      </w:pPr>
      <w:r>
        <w:rPr>
          <w:rFonts w:hint="eastAsia"/>
          <w:b/>
          <w:bCs/>
          <w:lang w:val="zh-CN"/>
        </w:rPr>
        <w:t>（黄</w:t>
      </w:r>
      <w:r>
        <w:rPr>
          <w:rFonts w:hint="eastAsia"/>
          <w:b/>
          <w:bCs/>
          <w:lang w:val="en-US" w:eastAsia="zh-CN"/>
        </w:rPr>
        <w:t xml:space="preserve">  </w:t>
      </w:r>
      <w:r>
        <w:rPr>
          <w:rFonts w:hint="eastAsia"/>
          <w:b/>
          <w:bCs/>
          <w:lang w:val="zh-CN"/>
        </w:rPr>
        <w:t>靖）</w:t>
      </w:r>
    </w:p>
    <w:p w14:paraId="066D881D">
      <w:pPr>
        <w:pStyle w:val="11"/>
        <w:bidi w:val="0"/>
        <w:rPr>
          <w:rFonts w:hint="eastAsia"/>
          <w:b/>
          <w:bCs/>
          <w:lang w:val="zh-CN"/>
        </w:rPr>
      </w:pPr>
      <w:r>
        <w:rPr>
          <w:rFonts w:hint="eastAsia"/>
          <w:b/>
          <w:bCs/>
          <w:lang w:val="zh-CN"/>
        </w:rPr>
        <w:t>附：2018年韶关棉土窝矿业有限公司领导班子成员名单</w:t>
      </w:r>
    </w:p>
    <w:p w14:paraId="2673D192">
      <w:pPr>
        <w:pStyle w:val="11"/>
        <w:bidi w:val="0"/>
        <w:rPr>
          <w:rFonts w:hint="eastAsia"/>
          <w:b/>
          <w:bCs/>
          <w:lang w:val="zh-CN"/>
        </w:rPr>
      </w:pPr>
      <w:r>
        <w:rPr>
          <w:rFonts w:hint="eastAsia"/>
          <w:b/>
          <w:bCs/>
          <w:lang w:val="zh-CN"/>
        </w:rPr>
        <w:t>党委书记、执行董事、总经理：</w:t>
      </w:r>
    </w:p>
    <w:p w14:paraId="462AB752">
      <w:pPr>
        <w:pStyle w:val="11"/>
        <w:bidi w:val="0"/>
        <w:ind w:leftChars="500"/>
        <w:rPr>
          <w:rFonts w:hint="eastAsia"/>
          <w:lang w:val="zh-CN"/>
        </w:rPr>
      </w:pPr>
      <w:r>
        <w:rPr>
          <w:rFonts w:hint="eastAsia"/>
          <w:lang w:val="zh-CN"/>
        </w:rPr>
        <w:t>冯秀文</w:t>
      </w:r>
    </w:p>
    <w:p w14:paraId="14F55995">
      <w:pPr>
        <w:pStyle w:val="11"/>
        <w:bidi w:val="0"/>
        <w:rPr>
          <w:rFonts w:hint="eastAsia"/>
          <w:lang w:val="zh-CN"/>
        </w:rPr>
      </w:pPr>
      <w:r>
        <w:rPr>
          <w:rFonts w:hint="eastAsia"/>
          <w:b/>
          <w:bCs/>
          <w:lang w:val="zh-CN"/>
        </w:rPr>
        <w:t>副总经理：</w:t>
      </w:r>
      <w:r>
        <w:rPr>
          <w:rFonts w:hint="eastAsia"/>
          <w:lang w:val="zh-CN"/>
        </w:rPr>
        <w:t>谭章文</w:t>
      </w:r>
      <w:r>
        <w:rPr>
          <w:rFonts w:hint="eastAsia"/>
          <w:lang w:val="en-US" w:eastAsia="zh-CN"/>
        </w:rPr>
        <w:t xml:space="preserve">   </w:t>
      </w:r>
      <w:r>
        <w:rPr>
          <w:rFonts w:hint="eastAsia"/>
          <w:lang w:val="zh-CN"/>
        </w:rPr>
        <w:t>钟达全</w:t>
      </w:r>
    </w:p>
    <w:p w14:paraId="6132D9E5">
      <w:pPr>
        <w:pStyle w:val="4"/>
        <w:bidi w:val="0"/>
        <w:rPr>
          <w:rFonts w:hint="eastAsia"/>
          <w:lang w:val="zh-CN"/>
        </w:rPr>
      </w:pPr>
      <w:r>
        <w:rPr>
          <w:rFonts w:hint="eastAsia"/>
          <w:lang w:val="zh-CN"/>
        </w:rPr>
        <w:t>【南雄市兴雄建设投资有限责任公司】</w:t>
      </w:r>
    </w:p>
    <w:p w14:paraId="12E74D14">
      <w:pPr>
        <w:bidi w:val="0"/>
        <w:rPr>
          <w:rFonts w:hint="eastAsia"/>
          <w:lang w:val="zh-CN"/>
        </w:rPr>
      </w:pPr>
      <w:r>
        <w:rPr>
          <w:rFonts w:hint="eastAsia"/>
          <w:lang w:val="zh-CN"/>
        </w:rPr>
        <w:t>南雄市兴雄建设投资有限责任公司（简称兴雄公司）是市政府批准成立的国有独资公司，在职干部员工18人，公司内设机构6个：人力资源部、工程部、计财融资部、旅游开发部、资产管理部和房产部。下辖3个子公司：市旅游公司、市迎宾馆、市雄顺达汽车租赁有限公司，同属国有企业。</w:t>
      </w:r>
    </w:p>
    <w:p w14:paraId="2295D3E0">
      <w:pPr>
        <w:bidi w:val="0"/>
        <w:rPr>
          <w:rFonts w:hint="eastAsia"/>
          <w:lang w:val="zh-CN"/>
        </w:rPr>
      </w:pPr>
      <w:r>
        <w:rPr>
          <w:rFonts w:hint="eastAsia"/>
          <w:b/>
          <w:bCs/>
          <w:lang w:val="zh-CN"/>
        </w:rPr>
        <w:t>经营范围</w:t>
      </w:r>
      <w:r>
        <w:rPr>
          <w:rFonts w:hint="eastAsia"/>
          <w:b/>
          <w:bCs/>
          <w:lang w:val="en-US" w:eastAsia="zh-CN"/>
        </w:rPr>
        <w:t xml:space="preserve"> </w:t>
      </w:r>
      <w:r>
        <w:rPr>
          <w:rFonts w:hint="eastAsia"/>
          <w:lang w:val="en-US" w:eastAsia="zh-CN"/>
        </w:rPr>
        <w:t xml:space="preserve">  </w:t>
      </w:r>
      <w:r>
        <w:rPr>
          <w:rFonts w:hint="eastAsia"/>
          <w:lang w:val="zh-CN"/>
        </w:rPr>
        <w:t>公司承接旅游项目开发、投资、管理和旅行服务等；资产收购管理和处置；城市基础设施建设投资；土地收购储备和开发，房地产开发经营；经营政府授权的其他资产和资源；政府授权项目的建设和投资等功能。</w:t>
      </w:r>
    </w:p>
    <w:p w14:paraId="67FD9166">
      <w:pPr>
        <w:bidi w:val="0"/>
        <w:rPr>
          <w:rFonts w:hint="eastAsia"/>
          <w:lang w:val="zh-CN"/>
        </w:rPr>
      </w:pPr>
      <w:r>
        <w:rPr>
          <w:rFonts w:hint="eastAsia"/>
          <w:b/>
          <w:bCs/>
          <w:lang w:val="zh-CN"/>
        </w:rPr>
        <w:t>重点项目</w:t>
      </w:r>
      <w:r>
        <w:rPr>
          <w:rFonts w:hint="eastAsia"/>
          <w:b/>
          <w:bCs/>
          <w:lang w:val="en-US" w:eastAsia="zh-CN"/>
        </w:rPr>
        <w:t xml:space="preserve">  </w:t>
      </w:r>
      <w:r>
        <w:rPr>
          <w:rFonts w:hint="eastAsia"/>
          <w:lang w:val="en-US" w:eastAsia="zh-CN"/>
        </w:rPr>
        <w:t xml:space="preserve"> </w:t>
      </w:r>
      <w:r>
        <w:rPr>
          <w:rFonts w:hint="eastAsia"/>
          <w:lang w:val="zh-CN"/>
        </w:rPr>
        <w:t>推进珠玑镇百姓堂项目建设，项目包括百姓堂、姓氏文化展示区以及室外工程（室外绿化、道路和广场）三部分，总投资9686.87万元，完成投资5500万元。督促市文旅创意人才驿站项目建设，该项目是在帽子峰林场原有特色建筑上改造，改造重点是峰林学校一座2层教学楼、黄金大道沿线3座2层宿舍楼、2座一层四合院，总建筑面积2952平方米，总投资约1720万元，完成投资1100万元。完善水口战役纪念馆各项设施功能，总投资750万元，完成投资301.54万元；改造提升珠玑古巷基础设施，配合市珠玑古巷改造提升领导小组开展一系列如土地流转、房屋征拆等工作。</w:t>
      </w:r>
    </w:p>
    <w:p w14:paraId="079E3B39">
      <w:pPr>
        <w:bidi w:val="0"/>
        <w:rPr>
          <w:rFonts w:hint="eastAsia"/>
          <w:lang w:val="zh-CN"/>
        </w:rPr>
      </w:pPr>
      <w:r>
        <w:rPr>
          <w:rFonts w:hint="eastAsia"/>
          <w:b/>
          <w:bCs/>
          <w:lang w:val="zh-CN"/>
        </w:rPr>
        <w:t>工作亮点</w:t>
      </w:r>
      <w:r>
        <w:rPr>
          <w:rFonts w:hint="eastAsia"/>
          <w:b/>
          <w:bCs/>
          <w:lang w:val="en-US" w:eastAsia="zh-CN"/>
        </w:rPr>
        <w:t xml:space="preserve"> </w:t>
      </w:r>
      <w:r>
        <w:rPr>
          <w:rFonts w:hint="eastAsia"/>
          <w:lang w:val="en-US" w:eastAsia="zh-CN"/>
        </w:rPr>
        <w:t xml:space="preserve">  </w:t>
      </w:r>
      <w:r>
        <w:rPr>
          <w:rFonts w:hint="eastAsia"/>
          <w:lang w:val="zh-CN"/>
        </w:rPr>
        <w:t>获得广东省高端项目专项补助资金。为大力发展旅游，提升珠玑梅关景区，公司于2018年年初以“珠玑古巷-梅关古道景区文化旅游驿道”项目向广东省财政局、旅游局申报“2018年文化繁荣发展专项资金（旅游发展）高端旅游项目发展资金支持项目”，获得省专项补助资金500万元。2018年4月与智纲文旅产业顾问咨询（深圳）有限公司签订《南雄市大珠玑旅游圈（统筹考虑全域旅游）战略策划合同》，并于9月初进行规划成果汇报会，通过策划为大珠玑旅游圈上升到整个全域旅游战略新高度，以大旅游打通一、二、三关联产业，联动湾区市场，统筹全域发展，重塑粤北旅游新格局，提升南雄定位起到引领作用。</w:t>
      </w:r>
      <w:r>
        <w:rPr>
          <w:rFonts w:hint="eastAsia"/>
          <w:b/>
          <w:bCs/>
          <w:lang w:val="zh-CN"/>
        </w:rPr>
        <w:t>（黄金明）</w:t>
      </w:r>
    </w:p>
    <w:p w14:paraId="04F4548E">
      <w:pPr>
        <w:pStyle w:val="11"/>
        <w:bidi w:val="0"/>
        <w:rPr>
          <w:rFonts w:hint="eastAsia"/>
          <w:b/>
          <w:bCs/>
          <w:lang w:val="zh-CN"/>
        </w:rPr>
      </w:pPr>
      <w:r>
        <w:rPr>
          <w:rFonts w:hint="eastAsia"/>
          <w:b/>
          <w:bCs/>
          <w:lang w:val="zh-CN"/>
        </w:rPr>
        <w:t>附：2018年市兴雄公司领导班子成员名单</w:t>
      </w:r>
    </w:p>
    <w:p w14:paraId="3DBED9B0">
      <w:pPr>
        <w:pStyle w:val="11"/>
        <w:bidi w:val="0"/>
        <w:rPr>
          <w:rFonts w:hint="eastAsia"/>
          <w:lang w:val="zh-CN"/>
        </w:rPr>
      </w:pPr>
      <w:r>
        <w:rPr>
          <w:rFonts w:hint="eastAsia"/>
          <w:b/>
          <w:bCs/>
          <w:lang w:val="zh-CN"/>
        </w:rPr>
        <w:t>总</w:t>
      </w:r>
      <w:r>
        <w:rPr>
          <w:rFonts w:hint="eastAsia"/>
          <w:b/>
          <w:bCs/>
          <w:lang w:val="en-US" w:eastAsia="zh-CN"/>
        </w:rPr>
        <w:t xml:space="preserve"> </w:t>
      </w:r>
      <w:r>
        <w:rPr>
          <w:rFonts w:hint="eastAsia"/>
          <w:b/>
          <w:bCs/>
          <w:lang w:val="zh-CN"/>
        </w:rPr>
        <w:t>经</w:t>
      </w:r>
      <w:r>
        <w:rPr>
          <w:rFonts w:hint="eastAsia"/>
          <w:b/>
          <w:bCs/>
          <w:lang w:val="en-US" w:eastAsia="zh-CN"/>
        </w:rPr>
        <w:t xml:space="preserve"> </w:t>
      </w:r>
      <w:r>
        <w:rPr>
          <w:rFonts w:hint="eastAsia"/>
          <w:b/>
          <w:bCs/>
          <w:lang w:val="zh-CN"/>
        </w:rPr>
        <w:t>理：</w:t>
      </w:r>
      <w:r>
        <w:rPr>
          <w:rFonts w:hint="eastAsia"/>
          <w:lang w:val="zh-CN"/>
        </w:rPr>
        <w:t>周培雄</w:t>
      </w:r>
    </w:p>
    <w:p w14:paraId="3EBBD8E9">
      <w:pPr>
        <w:pStyle w:val="11"/>
        <w:bidi w:val="0"/>
        <w:rPr>
          <w:rFonts w:hint="eastAsia"/>
          <w:lang w:val="zh-CN"/>
        </w:rPr>
      </w:pPr>
      <w:r>
        <w:rPr>
          <w:rFonts w:hint="eastAsia"/>
          <w:b/>
          <w:bCs/>
          <w:lang w:val="zh-CN"/>
        </w:rPr>
        <w:t>副总经理：</w:t>
      </w:r>
      <w:r>
        <w:rPr>
          <w:rFonts w:hint="eastAsia"/>
          <w:lang w:val="zh-CN"/>
        </w:rPr>
        <w:t>黄继雄</w:t>
      </w:r>
    </w:p>
    <w:p w14:paraId="0607DCDE">
      <w:pPr>
        <w:pStyle w:val="11"/>
        <w:bidi w:val="0"/>
        <w:ind w:leftChars="500"/>
        <w:rPr>
          <w:rFonts w:hint="eastAsia"/>
          <w:lang w:val="zh-CN"/>
        </w:rPr>
      </w:pPr>
      <w:r>
        <w:rPr>
          <w:rFonts w:hint="eastAsia"/>
          <w:lang w:val="zh-CN"/>
        </w:rPr>
        <w:t>何春燕</w:t>
      </w:r>
    </w:p>
    <w:p w14:paraId="51E46815">
      <w:pPr>
        <w:pStyle w:val="4"/>
        <w:bidi w:val="0"/>
        <w:rPr>
          <w:rFonts w:hint="eastAsia"/>
          <w:lang w:val="zh-CN"/>
        </w:rPr>
      </w:pPr>
      <w:r>
        <w:rPr>
          <w:rFonts w:hint="eastAsia"/>
          <w:lang w:val="zh-CN"/>
        </w:rPr>
        <w:t>【南雄市金叶包装有限公司】</w:t>
      </w:r>
    </w:p>
    <w:p w14:paraId="5E4CFD1A">
      <w:pPr>
        <w:bidi w:val="0"/>
        <w:rPr>
          <w:rFonts w:hint="eastAsia"/>
          <w:lang w:val="zh-CN"/>
        </w:rPr>
      </w:pPr>
      <w:r>
        <w:rPr>
          <w:rFonts w:hint="eastAsia"/>
          <w:lang w:val="zh-CN"/>
        </w:rPr>
        <w:t>南雄市金叶包装材料有限公司是粤北山区唯一专业生产聚乙烯塑料薄膜初具规模的现代化企业，是中国塑料加工工业协会副理事长单位，公司注册资金3300万元，办公用地和生产区域占地面积约3万平方米，员工200余人，完成固定资产投资8500万元，产品销售金额达到2.7亿元。拥有全自动塑料薄膜类生产线92条，日生产塑料薄膜能力达150吨，年产各类薄膜及塑料袋制品5万余吨，年产值过亿元，资产总额为8500万元。公司主要生产制造“金叶”牌PE热收缩膜、农膜、地膜、株距标记地膜、PE缠绕膜及其他塑料包装系列产品，产品覆盖全国各地。</w:t>
      </w:r>
    </w:p>
    <w:p w14:paraId="7930CE3E">
      <w:pPr>
        <w:bidi w:val="0"/>
        <w:rPr>
          <w:rFonts w:hint="eastAsia"/>
          <w:lang w:val="zh-CN"/>
        </w:rPr>
      </w:pPr>
      <w:r>
        <w:rPr>
          <w:rFonts w:hint="eastAsia"/>
          <w:b/>
          <w:bCs/>
          <w:lang w:val="zh-CN"/>
        </w:rPr>
        <w:t>技术创新</w:t>
      </w:r>
      <w:r>
        <w:rPr>
          <w:rFonts w:hint="eastAsia"/>
          <w:b/>
          <w:bCs/>
          <w:lang w:val="en-US" w:eastAsia="zh-CN"/>
        </w:rPr>
        <w:t xml:space="preserve">   </w:t>
      </w:r>
      <w:r>
        <w:rPr>
          <w:rFonts w:hint="eastAsia"/>
          <w:lang w:val="zh-CN"/>
        </w:rPr>
        <w:t>公司建立第一个现场技术管理小组，以减少薄膜残次品、提高产品品质为目标，采取请进来、派出去培训模式，加强培养技术骨干。经过多年发展，公司取得一项发明专利及一项实用新型发明专利。为实现结构调整与转型、升级需要，通过科研投入和努力，2018年获得10项实用新型专利授权，2项发明专利及1项外观设计专利申报并受理。这些发明专利加强提升环保功能，采用新材料降低能源消耗，有效解决塑料薄膜在生产过程中所产生的诸多不便和矛盾，实现节能减排，提升企业产品升级换代，增加企业市场竞争力。</w:t>
      </w:r>
    </w:p>
    <w:p w14:paraId="12EC6561">
      <w:pPr>
        <w:bidi w:val="0"/>
        <w:rPr>
          <w:rFonts w:hint="eastAsia"/>
          <w:lang w:val="zh-CN"/>
        </w:rPr>
      </w:pPr>
      <w:r>
        <w:rPr>
          <w:rFonts w:hint="eastAsia"/>
          <w:lang w:val="zh-CN"/>
        </w:rPr>
        <w:t>公司生产采用100%全新原料和艾克森美孚埃能宝茂金属工艺配方，使“金叶”品牌各类塑料薄膜产品从料质、强度、韧性、色泽、经济、节能、安全、环保等方面均达到国内水平。行业内首批通过ISO9001国际质量体系认证、ISO14001环境管理体系认证，获得OHSMS18001职业健康安全管理体系认证证书、中国环境标志产品认证证书，荣获广东省名牌产品、广东省著名商标。</w:t>
      </w:r>
    </w:p>
    <w:p w14:paraId="0CC18A2B">
      <w:pPr>
        <w:bidi w:val="0"/>
        <w:rPr>
          <w:rFonts w:hint="eastAsia"/>
          <w:lang w:val="zh-CN"/>
        </w:rPr>
      </w:pPr>
      <w:r>
        <w:rPr>
          <w:rFonts w:hint="eastAsia"/>
          <w:b/>
          <w:bCs/>
          <w:lang w:val="zh-CN"/>
        </w:rPr>
        <w:t>企业文化</w:t>
      </w:r>
      <w:r>
        <w:rPr>
          <w:rFonts w:hint="eastAsia"/>
          <w:b/>
          <w:bCs/>
          <w:lang w:val="en-US" w:eastAsia="zh-CN"/>
        </w:rPr>
        <w:t xml:space="preserve">   </w:t>
      </w:r>
      <w:r>
        <w:rPr>
          <w:rFonts w:hint="eastAsia"/>
          <w:lang w:val="zh-CN"/>
        </w:rPr>
        <w:t>公司坚持“以人为本”的管理理念，塑造以追求品质为核心的企业文化。公司与职工劳动合同签订率达到100%，为职工办理社会养老保险、失业保险、医疗保险、工伤保险、生育保险等险种，定期组织职工进行体检，保障职工合法权益。增强人的劳动安全意识，加强安全检查，对员工进行安全教育培训，增强职工的职业安全意识和自我保护意识。以提高从业人员岗位工作能力和生产技能作为重点，采取“请进来”“送出去”等不同形式对管理人员进行培训，提高了员工整体素质。</w:t>
      </w:r>
    </w:p>
    <w:p w14:paraId="2AEE5183">
      <w:pPr>
        <w:bidi w:val="0"/>
        <w:jc w:val="right"/>
        <w:rPr>
          <w:rFonts w:hint="eastAsia"/>
          <w:b/>
          <w:bCs/>
          <w:lang w:val="zh-CN"/>
        </w:rPr>
      </w:pPr>
      <w:r>
        <w:rPr>
          <w:rFonts w:hint="eastAsia"/>
          <w:b/>
          <w:bCs/>
          <w:lang w:val="zh-CN"/>
        </w:rPr>
        <w:t>（吴淑华）</w:t>
      </w:r>
    </w:p>
    <w:p w14:paraId="08BBB3C5">
      <w:pPr>
        <w:pStyle w:val="4"/>
        <w:bidi w:val="0"/>
        <w:rPr>
          <w:rFonts w:hint="eastAsia"/>
          <w:lang w:val="zh-CN"/>
        </w:rPr>
      </w:pPr>
      <w:r>
        <w:rPr>
          <w:rFonts w:hint="eastAsia"/>
          <w:lang w:val="zh-CN"/>
        </w:rPr>
        <w:t>【广东华电韶关热电有限公司】</w:t>
      </w:r>
    </w:p>
    <w:p w14:paraId="7DA79E28">
      <w:pPr>
        <w:bidi w:val="0"/>
        <w:rPr>
          <w:rFonts w:hint="eastAsia"/>
          <w:lang w:val="zh-CN"/>
        </w:rPr>
      </w:pPr>
      <w:r>
        <w:rPr>
          <w:rFonts w:hint="eastAsia"/>
          <w:lang w:val="zh-CN"/>
        </w:rPr>
        <w:t>广东华电韶关热电有限公司（以下简称“公司”）由华电国际电力股份有限公司全资控股，于2010年10月正式注册成立，其前身是集团公司2008年5月批准成立的“华电韶关火电项目筹备处”。公司设置12个部门，18个班组，有正式员工265人。公司一期工程建设2台35万千瓦超临界循环流化床抽凝供热机组，同步建设事故灰场、铁路专用线和热网工程，正式获得广东省发改委核准批复，2018年12月18日，1号机组顺利通过168小时满负荷试运行，转入商业运营。</w:t>
      </w:r>
    </w:p>
    <w:p w14:paraId="63424924">
      <w:pPr>
        <w:bidi w:val="0"/>
        <w:rPr>
          <w:rFonts w:hint="eastAsia"/>
          <w:lang w:val="zh-CN"/>
        </w:rPr>
      </w:pPr>
      <w:r>
        <w:rPr>
          <w:rFonts w:hint="eastAsia"/>
          <w:b/>
          <w:bCs/>
          <w:lang w:val="zh-CN"/>
        </w:rPr>
        <w:t>组织人事</w:t>
      </w:r>
      <w:r>
        <w:rPr>
          <w:rFonts w:hint="eastAsia"/>
          <w:b/>
          <w:bCs/>
          <w:lang w:val="en-US" w:eastAsia="zh-CN"/>
        </w:rPr>
        <w:t xml:space="preserve">   </w:t>
      </w:r>
      <w:r>
        <w:rPr>
          <w:rFonts w:hint="eastAsia"/>
          <w:lang w:val="zh-CN"/>
        </w:rPr>
        <w:t>根据《关于委派广东华电韶关热电有限公司董事的通知》（华电国际人〔2018〕95号），公司股东华电国际电力股份有限公司委派许如平任公司执行董事，张以平不再担任公司执行董事。4月27日，经广东省工商行政管理局核准，公司完成营业执照变更手续工作，公司法人代表变更为许如平，并重新组成公司领导班子。</w:t>
      </w:r>
    </w:p>
    <w:p w14:paraId="6F6E58C0">
      <w:pPr>
        <w:bidi w:val="0"/>
        <w:rPr>
          <w:rFonts w:hint="eastAsia"/>
          <w:lang w:val="zh-CN"/>
        </w:rPr>
      </w:pPr>
      <w:r>
        <w:rPr>
          <w:rFonts w:hint="eastAsia"/>
          <w:b/>
          <w:bCs/>
          <w:lang w:val="zh-CN"/>
        </w:rPr>
        <w:t>工程建设</w:t>
      </w:r>
      <w:r>
        <w:rPr>
          <w:rFonts w:hint="eastAsia"/>
          <w:b/>
          <w:bCs/>
          <w:lang w:val="en-US" w:eastAsia="zh-CN"/>
        </w:rPr>
        <w:t xml:space="preserve">   </w:t>
      </w:r>
      <w:r>
        <w:rPr>
          <w:rFonts w:hint="eastAsia"/>
          <w:lang w:val="zh-CN"/>
        </w:rPr>
        <w:t>2018年，华电热能在完成基础建设基础上，先后进入各系统调整。#1机组锅炉水压试验一次成功；机组分散控制系统（DCS）上电复原一次成功，标志着机组热工控制系统调试具备全面启动条件；#1机组汽轮机扣缸顺利完成；#1锅炉A2风道燃烧器火检有火，锅炉吹管点火成功；#1机组锅炉蒸汽吹管一次成功，标志着机组即将进入整套启动阶段；#1机组168小时满负荷试运行一次成功，圆满实现移交投产发电目标。华电广东公司党委书记、执行董事、总经理叶小平，党委委员、副总经理江汇，南雄市委常委、常务副市长朱海兵，以及各参建单位领导亲临现场祝贺，见证#1机组168小时试运移交仪式。公司领导许如平主持启动交接验收仪式，并与相关参建单位签订交接书。</w:t>
      </w:r>
    </w:p>
    <w:p w14:paraId="24D61928">
      <w:pPr>
        <w:pStyle w:val="11"/>
        <w:bidi w:val="0"/>
        <w:rPr>
          <w:rFonts w:hint="eastAsia"/>
          <w:b/>
          <w:bCs/>
          <w:lang w:val="zh-CN"/>
        </w:rPr>
      </w:pPr>
      <w:r>
        <w:rPr>
          <w:rFonts w:hint="eastAsia"/>
          <w:b/>
          <w:bCs/>
          <w:lang w:val="zh-CN"/>
        </w:rPr>
        <w:t>附：2018年广东华电韶关热电有限公司领导班子成员名单</w:t>
      </w:r>
    </w:p>
    <w:p w14:paraId="2DA29122">
      <w:pPr>
        <w:pStyle w:val="11"/>
        <w:bidi w:val="0"/>
        <w:rPr>
          <w:rFonts w:hint="eastAsia"/>
          <w:b/>
          <w:bCs/>
          <w:lang w:val="zh-CN"/>
        </w:rPr>
      </w:pPr>
      <w:r>
        <w:rPr>
          <w:rFonts w:hint="eastAsia"/>
          <w:b/>
          <w:bCs/>
          <w:lang w:val="zh-CN"/>
        </w:rPr>
        <w:t>党委书记、执行董事、总经理：</w:t>
      </w:r>
    </w:p>
    <w:p w14:paraId="2E8C22C2">
      <w:pPr>
        <w:pStyle w:val="11"/>
        <w:bidi w:val="0"/>
        <w:ind w:leftChars="500"/>
        <w:rPr>
          <w:rFonts w:hint="eastAsia"/>
          <w:lang w:val="zh-CN"/>
        </w:rPr>
      </w:pPr>
      <w:r>
        <w:rPr>
          <w:rFonts w:hint="eastAsia"/>
          <w:lang w:val="zh-CN"/>
        </w:rPr>
        <w:t>许如平</w:t>
      </w:r>
    </w:p>
    <w:p w14:paraId="3E76AE46">
      <w:pPr>
        <w:pStyle w:val="11"/>
        <w:bidi w:val="0"/>
        <w:rPr>
          <w:rFonts w:hint="eastAsia"/>
          <w:lang w:val="zh-CN"/>
        </w:rPr>
      </w:pPr>
      <w:r>
        <w:rPr>
          <w:rFonts w:hint="eastAsia"/>
          <w:b/>
          <w:bCs/>
          <w:lang w:val="zh-CN"/>
        </w:rPr>
        <w:t>纪委书记：</w:t>
      </w:r>
      <w:r>
        <w:rPr>
          <w:rFonts w:hint="eastAsia"/>
          <w:lang w:val="zh-CN"/>
        </w:rPr>
        <w:t>岳成磊</w:t>
      </w:r>
    </w:p>
    <w:p w14:paraId="49A2252E">
      <w:pPr>
        <w:pStyle w:val="11"/>
        <w:bidi w:val="0"/>
        <w:rPr>
          <w:rFonts w:hint="eastAsia"/>
          <w:lang w:val="zh-CN"/>
        </w:rPr>
      </w:pPr>
      <w:r>
        <w:rPr>
          <w:rFonts w:hint="eastAsia"/>
          <w:b/>
          <w:bCs/>
          <w:lang w:val="zh-CN"/>
        </w:rPr>
        <w:t>副总经理：</w:t>
      </w:r>
      <w:r>
        <w:rPr>
          <w:rFonts w:hint="eastAsia"/>
          <w:lang w:val="zh-CN"/>
        </w:rPr>
        <w:t>任孝忠</w:t>
      </w:r>
      <w:r>
        <w:rPr>
          <w:rFonts w:hint="eastAsia"/>
          <w:lang w:val="en-US" w:eastAsia="zh-CN"/>
        </w:rPr>
        <w:t xml:space="preserve">   </w:t>
      </w:r>
      <w:r>
        <w:rPr>
          <w:rFonts w:hint="eastAsia"/>
          <w:lang w:val="zh-CN"/>
        </w:rPr>
        <w:t>丁兆光</w:t>
      </w:r>
    </w:p>
    <w:p w14:paraId="1880CF99">
      <w:pPr>
        <w:pStyle w:val="11"/>
        <w:bidi w:val="0"/>
        <w:rPr>
          <w:rFonts w:hint="eastAsia"/>
          <w:lang w:val="zh-CN"/>
        </w:rPr>
      </w:pPr>
      <w:r>
        <w:rPr>
          <w:rFonts w:hint="eastAsia"/>
          <w:b/>
          <w:bCs/>
          <w:lang w:val="zh-CN"/>
        </w:rPr>
        <w:t>总工程师：</w:t>
      </w:r>
      <w:r>
        <w:rPr>
          <w:rFonts w:hint="eastAsia"/>
          <w:lang w:val="zh-CN"/>
        </w:rPr>
        <w:t>代华松</w:t>
      </w:r>
    </w:p>
    <w:p w14:paraId="22313DD2">
      <w:pPr>
        <w:pStyle w:val="4"/>
        <w:bidi w:val="0"/>
        <w:rPr>
          <w:rFonts w:hint="eastAsia"/>
          <w:lang w:val="zh-CN"/>
        </w:rPr>
      </w:pPr>
      <w:r>
        <w:rPr>
          <w:rFonts w:hint="eastAsia"/>
          <w:lang w:val="zh-CN"/>
        </w:rPr>
        <w:t>【广东邦固化学科技有限公司】</w:t>
      </w:r>
    </w:p>
    <w:p w14:paraId="68112C35">
      <w:pPr>
        <w:bidi w:val="0"/>
        <w:rPr>
          <w:rFonts w:hint="eastAsia"/>
          <w:lang w:val="zh-CN"/>
        </w:rPr>
      </w:pPr>
      <w:r>
        <w:rPr>
          <w:rFonts w:hint="eastAsia"/>
          <w:lang w:val="zh-CN"/>
        </w:rPr>
        <w:t>广东邦固是一家专业从事膜类相关涂料研发、生产及销售的高新技术企业。公司总部位于广东省南雄市，占地面积5.93万平方米，注册资本人民币5000万元，固定资产投资人民币2亿元，员工100余人。企业运用ISO9000质量管理体系原理管理日常事务，建立完善的管理评审和内部质量审核体系。拥有从日本、韩国、德国引进的世界领先的专业生产及检测设备，同时配套4台大型聚氨酯反应釜、5台大型丙烯酸反应釜、5台大型搅拌釜、12个30立方米大型卧罐、7个200立方米立式储罐，年产能可达4.4万吨。依托多学科、高技术、人才密集等优势，成功地将多种技术应用到薄膜涂料上，开发出公司独有的专业产品，可为客户提供一系列薄膜涂料的完整服务。</w:t>
      </w:r>
    </w:p>
    <w:p w14:paraId="0F417F44">
      <w:pPr>
        <w:bidi w:val="0"/>
        <w:rPr>
          <w:rFonts w:hint="eastAsia"/>
          <w:lang w:val="zh-CN"/>
        </w:rPr>
      </w:pPr>
      <w:r>
        <w:rPr>
          <w:rFonts w:hint="eastAsia"/>
          <w:b/>
          <w:bCs/>
          <w:lang w:val="zh-CN"/>
        </w:rPr>
        <w:t>企业产品</w:t>
      </w:r>
      <w:r>
        <w:rPr>
          <w:rFonts w:hint="eastAsia"/>
          <w:b/>
          <w:bCs/>
          <w:lang w:val="en-US" w:eastAsia="zh-CN"/>
        </w:rPr>
        <w:t xml:space="preserve">   </w:t>
      </w:r>
      <w:r>
        <w:rPr>
          <w:rFonts w:hint="eastAsia"/>
          <w:lang w:val="zh-CN"/>
        </w:rPr>
        <w:t>主要产品有镭射电化铝烫金涂料、镭射复合涂料、镭射转移涂料、普通电化铝涂料、冷烫电化铝涂料、皮革转移膜用涂料、织物箔用涂料、墙纸膜用涂料、家电膜用涂料、建材膜用涂料、医药包装用涂料、光学电子涂料、PU聚氨酯涂料、表面保护用压敏胶等。</w:t>
      </w:r>
    </w:p>
    <w:p w14:paraId="1F3979F9">
      <w:pPr>
        <w:bidi w:val="0"/>
        <w:rPr>
          <w:rFonts w:hint="eastAsia"/>
          <w:lang w:val="zh-CN"/>
        </w:rPr>
      </w:pPr>
      <w:r>
        <w:rPr>
          <w:rFonts w:hint="eastAsia"/>
          <w:b/>
          <w:bCs/>
          <w:lang w:val="zh-CN"/>
        </w:rPr>
        <w:t>企业效益</w:t>
      </w:r>
      <w:r>
        <w:rPr>
          <w:rFonts w:hint="eastAsia"/>
          <w:b/>
          <w:bCs/>
          <w:lang w:val="en-US" w:eastAsia="zh-CN"/>
        </w:rPr>
        <w:t xml:space="preserve">   </w:t>
      </w:r>
      <w:r>
        <w:rPr>
          <w:rFonts w:hint="eastAsia"/>
          <w:lang w:val="zh-CN"/>
        </w:rPr>
        <w:t>2018年公司实现经营收入1.7亿元，实现利润711.69万元，缴纳税款687.33万元。</w:t>
      </w:r>
    </w:p>
    <w:p w14:paraId="289239EE">
      <w:pPr>
        <w:bidi w:val="0"/>
        <w:rPr>
          <w:rFonts w:hint="eastAsia"/>
          <w:lang w:val="zh-CN"/>
        </w:rPr>
      </w:pPr>
      <w:r>
        <w:rPr>
          <w:rFonts w:hint="eastAsia"/>
          <w:b w:val="0"/>
          <w:bCs w:val="0"/>
          <w:lang w:val="zh-CN"/>
        </w:rPr>
        <w:t>技术创新公</w:t>
      </w:r>
      <w:r>
        <w:rPr>
          <w:rFonts w:hint="eastAsia"/>
          <w:lang w:val="zh-CN"/>
        </w:rPr>
        <w:t>司重视科技兴企，设立广东省功能涂料工程技术研究中心，自主研发高新技术产品，通过研发团队坚持不懈的努力，成功获得“一种水性聚氨酯黏合剂”的发明专利授权，累计获得29项实用新型专利，2项外观专利，17项产品被评定为“广东省高新技术产品”，另有9项发明专利正在实审中。凭借自身实力，在质量与品牌工作方面表现突出，荣获广东省行业类名牌产品称号，获韶关市政府表彰奖励。</w:t>
      </w:r>
    </w:p>
    <w:p w14:paraId="4ACBE819">
      <w:pPr>
        <w:bidi w:val="0"/>
        <w:rPr>
          <w:rFonts w:hint="eastAsia"/>
          <w:lang w:val="zh-CN"/>
        </w:rPr>
      </w:pPr>
      <w:r>
        <w:rPr>
          <w:rFonts w:hint="eastAsia"/>
          <w:b/>
          <w:bCs/>
          <w:lang w:val="zh-CN"/>
        </w:rPr>
        <w:t>公司发展</w:t>
      </w:r>
      <w:r>
        <w:rPr>
          <w:rFonts w:hint="eastAsia"/>
          <w:b/>
          <w:bCs/>
          <w:lang w:val="en-US" w:eastAsia="zh-CN"/>
        </w:rPr>
        <w:t xml:space="preserve">   </w:t>
      </w:r>
      <w:r>
        <w:rPr>
          <w:rFonts w:hint="eastAsia"/>
          <w:lang w:val="zh-CN"/>
        </w:rPr>
        <w:t>2010年斥资2000万元在南雄市取得5.93万平方米土地使用权。2011-2012年投资1.2亿元建设南雄生产基地，2013年9月一期工程顺利完工投产。2015年投资2000万元用于二期工程建设，包括办公大楼和综合楼，于2016年9月完工并乔迁。2017年8月，投资1亿元用于三期工程建设，包括一栋高科技研发大楼、三栋现代化车间、四栋标准化仓库，工程全面完成后，在现有基础上增加产能3万吨。</w:t>
      </w:r>
    </w:p>
    <w:p w14:paraId="547C7E26">
      <w:pPr>
        <w:bidi w:val="0"/>
        <w:rPr>
          <w:rFonts w:hint="eastAsia"/>
          <w:lang w:val="zh-CN"/>
        </w:rPr>
      </w:pPr>
      <w:r>
        <w:rPr>
          <w:rFonts w:hint="eastAsia"/>
          <w:b/>
          <w:bCs/>
          <w:lang w:val="zh-CN"/>
        </w:rPr>
        <w:t>党建工作</w:t>
      </w:r>
      <w:r>
        <w:rPr>
          <w:rFonts w:hint="eastAsia"/>
          <w:b/>
          <w:bCs/>
          <w:lang w:val="en-US" w:eastAsia="zh-CN"/>
        </w:rPr>
        <w:t xml:space="preserve">   </w:t>
      </w:r>
      <w:r>
        <w:rPr>
          <w:rFonts w:hint="eastAsia"/>
          <w:lang w:val="zh-CN"/>
        </w:rPr>
        <w:t>成立中共广东邦固化学科技有限公司支部委员会，正式党员8人，预备党员2人，入党积极分子6人。支部突出抓好“三会一课”，严格党员教育管理，发挥党员模范作用，密切联系群众，积极参与精准扶贫等工作。公司党支部被南雄产业转移工业园党工委评为“先进基层党组织”，被中共广东省非公有制经济组织委员会授予“党员先锋岗”。</w:t>
      </w:r>
    </w:p>
    <w:p w14:paraId="6044F7AD">
      <w:pPr>
        <w:pStyle w:val="11"/>
        <w:bidi w:val="0"/>
        <w:rPr>
          <w:rFonts w:hint="eastAsia"/>
          <w:b/>
          <w:bCs/>
          <w:lang w:val="zh-CN"/>
        </w:rPr>
      </w:pPr>
      <w:r>
        <w:rPr>
          <w:rFonts w:hint="eastAsia"/>
          <w:b/>
          <w:bCs/>
          <w:lang w:val="zh-CN"/>
        </w:rPr>
        <w:t>附：2018年广东邦固化学科技有限公司领导班子成员名单</w:t>
      </w:r>
    </w:p>
    <w:p w14:paraId="73864291">
      <w:pPr>
        <w:pStyle w:val="11"/>
        <w:bidi w:val="0"/>
        <w:rPr>
          <w:rFonts w:hint="eastAsia"/>
          <w:lang w:val="zh-CN"/>
        </w:rPr>
      </w:pPr>
      <w:r>
        <w:rPr>
          <w:rFonts w:hint="eastAsia"/>
          <w:b/>
          <w:bCs/>
          <w:lang w:val="zh-CN"/>
        </w:rPr>
        <w:t>董事长：</w:t>
      </w:r>
      <w:r>
        <w:rPr>
          <w:rFonts w:hint="eastAsia"/>
          <w:lang w:val="zh-CN"/>
        </w:rPr>
        <w:t>方</w:t>
      </w:r>
      <w:r>
        <w:rPr>
          <w:rFonts w:hint="eastAsia"/>
          <w:lang w:val="en-US" w:eastAsia="zh-CN"/>
        </w:rPr>
        <w:t xml:space="preserve">  </w:t>
      </w:r>
      <w:r>
        <w:rPr>
          <w:rFonts w:hint="eastAsia"/>
          <w:lang w:val="zh-CN"/>
        </w:rPr>
        <w:t>丽</w:t>
      </w:r>
    </w:p>
    <w:p w14:paraId="1BA7BCC9">
      <w:pPr>
        <w:pStyle w:val="11"/>
        <w:bidi w:val="0"/>
        <w:rPr>
          <w:rFonts w:hint="eastAsia"/>
          <w:lang w:val="zh-CN"/>
        </w:rPr>
      </w:pPr>
      <w:r>
        <w:rPr>
          <w:rFonts w:hint="eastAsia"/>
          <w:b/>
          <w:bCs/>
          <w:lang w:val="zh-CN"/>
        </w:rPr>
        <w:t>总经理：</w:t>
      </w:r>
      <w:r>
        <w:rPr>
          <w:rFonts w:hint="eastAsia"/>
          <w:lang w:val="zh-CN"/>
        </w:rPr>
        <w:t>汪博士</w:t>
      </w:r>
    </w:p>
    <w:p w14:paraId="0DB4C131">
      <w:pPr>
        <w:pStyle w:val="11"/>
        <w:bidi w:val="0"/>
        <w:rPr>
          <w:rFonts w:hint="eastAsia"/>
          <w:lang w:val="zh-CN"/>
        </w:rPr>
      </w:pPr>
      <w:r>
        <w:rPr>
          <w:rFonts w:hint="eastAsia"/>
          <w:b/>
          <w:bCs/>
          <w:lang w:val="zh-CN"/>
        </w:rPr>
        <w:t>副总经理、常务副总：</w:t>
      </w:r>
      <w:r>
        <w:rPr>
          <w:rFonts w:hint="eastAsia"/>
          <w:lang w:val="zh-CN"/>
        </w:rPr>
        <w:t>汪博火</w:t>
      </w:r>
      <w:r>
        <w:rPr>
          <w:rFonts w:hint="eastAsia"/>
          <w:lang w:val="en-US" w:eastAsia="zh-CN"/>
        </w:rPr>
        <w:t xml:space="preserve">   </w:t>
      </w:r>
      <w:r>
        <w:rPr>
          <w:rFonts w:hint="eastAsia"/>
          <w:lang w:val="zh-CN"/>
        </w:rPr>
        <w:t>鲁云辉</w:t>
      </w:r>
    </w:p>
    <w:p w14:paraId="23AE0E85">
      <w:pPr>
        <w:pStyle w:val="11"/>
        <w:bidi w:val="0"/>
        <w:rPr>
          <w:rFonts w:hint="eastAsia"/>
          <w:b/>
          <w:bCs/>
          <w:lang w:val="zh-CN"/>
        </w:rPr>
      </w:pPr>
      <w:r>
        <w:rPr>
          <w:rFonts w:hint="eastAsia"/>
          <w:b/>
          <w:bCs/>
          <w:lang w:val="zh-CN"/>
        </w:rPr>
        <w:t>党支部书记兼工会主席：</w:t>
      </w:r>
    </w:p>
    <w:p w14:paraId="7B6EDFF3">
      <w:pPr>
        <w:pStyle w:val="11"/>
        <w:bidi w:val="0"/>
        <w:ind w:leftChars="500"/>
        <w:rPr>
          <w:rFonts w:hint="eastAsia"/>
          <w:lang w:val="zh-CN"/>
        </w:rPr>
      </w:pPr>
      <w:r>
        <w:rPr>
          <w:rFonts w:hint="eastAsia"/>
          <w:lang w:val="zh-CN"/>
        </w:rPr>
        <w:t>鲁云辉</w:t>
      </w:r>
    </w:p>
    <w:p w14:paraId="66A9EC64">
      <w:pPr>
        <w:pStyle w:val="4"/>
        <w:bidi w:val="0"/>
        <w:rPr>
          <w:rFonts w:hint="eastAsia"/>
          <w:lang w:val="zh-CN"/>
        </w:rPr>
      </w:pPr>
      <w:r>
        <w:rPr>
          <w:rFonts w:hint="eastAsia"/>
          <w:lang w:val="zh-CN"/>
        </w:rPr>
        <w:t>【南雄阳普医疗科技有限公司】</w:t>
      </w:r>
    </w:p>
    <w:p w14:paraId="2AE3BBF0">
      <w:pPr>
        <w:bidi w:val="0"/>
        <w:rPr>
          <w:rFonts w:hint="eastAsia"/>
          <w:lang w:val="zh-CN"/>
        </w:rPr>
      </w:pPr>
      <w:r>
        <w:rPr>
          <w:rFonts w:hint="eastAsia"/>
          <w:lang w:val="zh-CN"/>
        </w:rPr>
        <w:t>南雄阳普医疗科技有限公司，是广州阳普医疗科技股份有限公司的全资子公司，办公和生产区域占地约3.33公顷，公司秉承阳普医疗“创新驱动发展”的经营理念，积极投入自主创新，通过高新技术企业认定，组建企业工程研究开发中心。公司以生产医用化学品为主，横跨医学与化学两个领域，开发的化学产品应用于医学。</w:t>
      </w:r>
    </w:p>
    <w:p w14:paraId="51C70A51">
      <w:pPr>
        <w:bidi w:val="0"/>
        <w:rPr>
          <w:rFonts w:hint="eastAsia"/>
          <w:lang w:val="zh-CN"/>
        </w:rPr>
      </w:pPr>
      <w:r>
        <w:rPr>
          <w:rFonts w:hint="eastAsia"/>
          <w:b/>
          <w:bCs/>
          <w:lang w:val="zh-CN"/>
        </w:rPr>
        <w:t>企业绩效</w:t>
      </w:r>
      <w:r>
        <w:rPr>
          <w:rFonts w:hint="eastAsia"/>
          <w:b/>
          <w:bCs/>
          <w:lang w:val="en-US" w:eastAsia="zh-CN"/>
        </w:rPr>
        <w:t xml:space="preserve">   </w:t>
      </w:r>
      <w:r>
        <w:rPr>
          <w:rFonts w:hint="eastAsia"/>
          <w:lang w:val="zh-CN"/>
        </w:rPr>
        <w:t>2018年建成年产血清分离胶600吨、血液促凝剂1万升的生产线，全年实现工业总产值3000万元，销售收入2881万元，净利润方面超额完成总公司下达的年度目标。纳税总额413万元，是南雄产业转移工业园缴税大户之一。</w:t>
      </w:r>
    </w:p>
    <w:p w14:paraId="546D6CD2">
      <w:pPr>
        <w:bidi w:val="0"/>
        <w:rPr>
          <w:rFonts w:hint="eastAsia"/>
          <w:lang w:val="zh-CN"/>
        </w:rPr>
      </w:pPr>
      <w:r>
        <w:rPr>
          <w:rFonts w:hint="eastAsia"/>
          <w:b/>
          <w:bCs/>
          <w:lang w:val="zh-CN"/>
        </w:rPr>
        <w:t>科技创新</w:t>
      </w:r>
      <w:r>
        <w:rPr>
          <w:rFonts w:hint="eastAsia"/>
          <w:b/>
          <w:bCs/>
          <w:lang w:val="en-US" w:eastAsia="zh-CN"/>
        </w:rPr>
        <w:t xml:space="preserve">   </w:t>
      </w:r>
      <w:r>
        <w:rPr>
          <w:rFonts w:hint="eastAsia"/>
          <w:lang w:val="zh-CN"/>
        </w:rPr>
        <w:t>2018年获得《一种葡聚糖微球凝胶的制备方法》发明专利授权；提交《一种提高交联葡聚糖凝胶微球交联度的方法》发明专利申请，进入实质审查阶段；已立项的研发项目有《2-己基葵酸的研究和制备》《用于微柱凝胶血型检测法的反应体系的研发》《一种合成VC四异棕榈酸酯的新方法研究》《一种己烷雌酚原料药的研究与制备》《匹伐他汀钙重要中间体2-环丙基-4-（4-氟-苯基）-3-喹啉甲醇的研究与制备》《一种新型淋巴细胞分离液的研发》《G5血清分离胶的开发》。完成项目有《用于凝胶色谱柱的交联葡聚糖凝胶（sephadexG10）的研发》《一种合成苯甲酸阿格列汀的新方法的研究》《用于组织修复再生富血小板血浆（PRP）制备的分离胶研发和应用研究》《凝胶微柱凝胶法ABO/RhD血型检测卡的研发（正定/正反定）》《2-己基葵酸的研究和制备》《一种合成VC四异棕榈酸酯的新方法研究》。</w:t>
      </w:r>
    </w:p>
    <w:p w14:paraId="7FDC244F">
      <w:pPr>
        <w:bidi w:val="0"/>
        <w:jc w:val="right"/>
        <w:rPr>
          <w:rFonts w:hint="eastAsia"/>
          <w:b/>
          <w:bCs/>
          <w:lang w:val="zh-CN"/>
        </w:rPr>
      </w:pPr>
      <w:r>
        <w:rPr>
          <w:rFonts w:hint="eastAsia"/>
          <w:b/>
          <w:bCs/>
          <w:lang w:val="zh-CN"/>
        </w:rPr>
        <w:t>（张</w:t>
      </w:r>
      <w:r>
        <w:rPr>
          <w:rFonts w:hint="eastAsia"/>
          <w:b/>
          <w:bCs/>
          <w:lang w:val="en-US" w:eastAsia="zh-CN"/>
        </w:rPr>
        <w:t xml:space="preserve">  </w:t>
      </w:r>
      <w:r>
        <w:rPr>
          <w:rFonts w:hint="eastAsia"/>
          <w:b/>
          <w:bCs/>
          <w:lang w:val="zh-CN"/>
        </w:rPr>
        <w:t>宇）</w:t>
      </w:r>
    </w:p>
    <w:p w14:paraId="0721C8D7">
      <w:pPr>
        <w:pStyle w:val="11"/>
        <w:bidi w:val="0"/>
        <w:rPr>
          <w:rFonts w:hint="eastAsia"/>
          <w:b/>
          <w:bCs/>
          <w:lang w:val="zh-CN"/>
        </w:rPr>
      </w:pPr>
      <w:r>
        <w:rPr>
          <w:rFonts w:hint="eastAsia"/>
          <w:b/>
          <w:bCs/>
          <w:lang w:val="zh-CN"/>
        </w:rPr>
        <w:t>附：2018年南雄阳普医疗科技有限公司领导班子成员名单</w:t>
      </w:r>
    </w:p>
    <w:p w14:paraId="07541FDB">
      <w:pPr>
        <w:pStyle w:val="11"/>
        <w:bidi w:val="0"/>
        <w:rPr>
          <w:rFonts w:hint="eastAsia"/>
          <w:lang w:val="zh-CN"/>
        </w:rPr>
      </w:pPr>
      <w:r>
        <w:rPr>
          <w:rFonts w:hint="eastAsia"/>
          <w:b/>
          <w:bCs/>
          <w:lang w:val="zh-CN"/>
        </w:rPr>
        <w:t>总</w:t>
      </w:r>
      <w:r>
        <w:rPr>
          <w:rFonts w:hint="eastAsia"/>
          <w:b/>
          <w:bCs/>
          <w:lang w:val="en-US" w:eastAsia="zh-CN"/>
        </w:rPr>
        <w:t xml:space="preserve">  </w:t>
      </w:r>
      <w:r>
        <w:rPr>
          <w:rFonts w:hint="eastAsia"/>
          <w:b/>
          <w:bCs/>
          <w:lang w:val="zh-CN"/>
        </w:rPr>
        <w:t>经</w:t>
      </w:r>
      <w:r>
        <w:rPr>
          <w:rFonts w:hint="eastAsia"/>
          <w:b/>
          <w:bCs/>
          <w:lang w:val="en-US" w:eastAsia="zh-CN"/>
        </w:rPr>
        <w:t xml:space="preserve">  </w:t>
      </w:r>
      <w:r>
        <w:rPr>
          <w:rFonts w:hint="eastAsia"/>
          <w:b/>
          <w:bCs/>
          <w:lang w:val="zh-CN"/>
        </w:rPr>
        <w:t>理：</w:t>
      </w:r>
      <w:r>
        <w:rPr>
          <w:rFonts w:hint="eastAsia"/>
          <w:lang w:val="zh-CN"/>
        </w:rPr>
        <w:t>马海波</w:t>
      </w:r>
    </w:p>
    <w:p w14:paraId="153B11B2">
      <w:pPr>
        <w:pStyle w:val="11"/>
        <w:bidi w:val="0"/>
        <w:rPr>
          <w:rFonts w:hint="eastAsia"/>
          <w:lang w:val="zh-CN"/>
        </w:rPr>
      </w:pPr>
      <w:r>
        <w:rPr>
          <w:rFonts w:hint="eastAsia"/>
          <w:b/>
          <w:bCs/>
          <w:lang w:val="zh-CN"/>
        </w:rPr>
        <w:t>党支部书记：</w:t>
      </w:r>
      <w:r>
        <w:rPr>
          <w:rFonts w:hint="eastAsia"/>
          <w:lang w:val="zh-CN"/>
        </w:rPr>
        <w:t>苏延军</w:t>
      </w:r>
    </w:p>
    <w:p w14:paraId="04334A87">
      <w:pPr>
        <w:pStyle w:val="11"/>
        <w:bidi w:val="0"/>
        <w:rPr>
          <w:rFonts w:hint="eastAsia"/>
          <w:lang w:val="zh-CN"/>
        </w:rPr>
      </w:pPr>
      <w:r>
        <w:rPr>
          <w:rFonts w:hint="eastAsia"/>
          <w:b/>
          <w:bCs/>
          <w:lang w:val="zh-CN"/>
        </w:rPr>
        <w:t>工</w:t>
      </w:r>
      <w:r>
        <w:rPr>
          <w:rFonts w:hint="eastAsia"/>
          <w:b/>
          <w:bCs/>
          <w:lang w:val="en-US" w:eastAsia="zh-CN"/>
        </w:rPr>
        <w:t xml:space="preserve"> </w:t>
      </w:r>
      <w:r>
        <w:rPr>
          <w:rFonts w:hint="eastAsia"/>
          <w:b/>
          <w:bCs/>
          <w:lang w:val="zh-CN"/>
        </w:rPr>
        <w:t>会</w:t>
      </w:r>
      <w:r>
        <w:rPr>
          <w:rFonts w:hint="eastAsia"/>
          <w:b/>
          <w:bCs/>
          <w:lang w:val="en-US" w:eastAsia="zh-CN"/>
        </w:rPr>
        <w:t xml:space="preserve"> </w:t>
      </w:r>
      <w:r>
        <w:rPr>
          <w:rFonts w:hint="eastAsia"/>
          <w:b/>
          <w:bCs/>
          <w:lang w:val="zh-CN"/>
        </w:rPr>
        <w:t>主席：</w:t>
      </w:r>
      <w:r>
        <w:rPr>
          <w:rFonts w:hint="eastAsia"/>
          <w:lang w:val="zh-CN"/>
        </w:rPr>
        <w:t>黄志强</w:t>
      </w:r>
    </w:p>
    <w:p w14:paraId="704FC6A3">
      <w:pPr>
        <w:pStyle w:val="4"/>
        <w:bidi w:val="0"/>
        <w:rPr>
          <w:rFonts w:hint="eastAsia"/>
          <w:lang w:val="zh-CN"/>
        </w:rPr>
      </w:pPr>
      <w:r>
        <w:rPr>
          <w:rFonts w:hint="eastAsia"/>
          <w:lang w:val="zh-CN"/>
        </w:rPr>
        <w:t>【广东衡光新材料科技有限公司】</w:t>
      </w:r>
    </w:p>
    <w:p w14:paraId="280815AD">
      <w:pPr>
        <w:bidi w:val="0"/>
        <w:rPr>
          <w:rFonts w:hint="eastAsia"/>
          <w:lang w:val="zh-CN"/>
        </w:rPr>
      </w:pPr>
      <w:r>
        <w:rPr>
          <w:rFonts w:hint="eastAsia"/>
          <w:lang w:val="zh-CN"/>
        </w:rPr>
        <w:t>广东衡光新材料科技有限公司（简称公司）是河北衡水新光新材料科技有限公司集团公司控股的子公司，于2012年3月落户南雄精细化工产业园。公司总投资达1.2亿元，占地面积8.65万平方米，公司是专属水性树脂技术研究、生产和销售的高科技化工项目，建有8条生产线，年产值1.4亿元，年税收420万元。主营生产水性乳液产品，包括内墙净味乳液系列、内墙低味乳液系列、内外墙通用乳液系列、外墙乳液系列、多彩乳液系列、真石漆乳液系列、防水乳液系列、工业漆乳液系列、水性木器漆乳液系列。产品可广泛应用于建筑涂料、建筑材料、水性木器涂料、水基工业涂料等行业，通过ISO9001、ISO14001、OHS18001管理体系认证。</w:t>
      </w:r>
    </w:p>
    <w:p w14:paraId="172D516A">
      <w:pPr>
        <w:bidi w:val="0"/>
        <w:rPr>
          <w:rFonts w:hint="eastAsia"/>
          <w:lang w:val="zh-CN"/>
        </w:rPr>
      </w:pPr>
      <w:r>
        <w:rPr>
          <w:rFonts w:hint="eastAsia"/>
          <w:b/>
          <w:bCs/>
          <w:lang w:val="zh-CN"/>
        </w:rPr>
        <w:t>创新成果</w:t>
      </w:r>
      <w:r>
        <w:rPr>
          <w:rFonts w:hint="eastAsia"/>
          <w:b/>
          <w:bCs/>
          <w:lang w:val="en-US" w:eastAsia="zh-CN"/>
        </w:rPr>
        <w:t xml:space="preserve">   </w:t>
      </w:r>
      <w:r>
        <w:rPr>
          <w:rFonts w:hint="eastAsia"/>
          <w:lang w:val="zh-CN"/>
        </w:rPr>
        <w:t>公司力主科技创新带动企业发展之路，公司《家装涂料用净味苯丙型涂料乳液技术研究与应用》项目获得韶关市科学技术局颁发的科学技术成果鉴定证书，并获得韶关市科技进步奖三等奖；《无氨低味建筑乳液的开发及应用》获得广东省第六届中国创新创业大赛暨第五届“珠江天使杯”科技创新创业大赛成长组新材料行业优胜奖，韶关市第六届中国创新创业大赛（韶关赛区）三等奖。2018年公司参加广东省涂料行业协会团体标准《水性涂料用硬脂酸锌乳液》《绿色水性木器涂料》编制工作；公司建立韶关市水性黏合工程技术研发中心、广东省绿色黏合剂工程技术研究中心；2018年，公司9项产品列入广东省高新技术产品，公司自主研发，获得4件发明专利及15件实用新型专利。</w:t>
      </w:r>
    </w:p>
    <w:p w14:paraId="54E38C3C">
      <w:pPr>
        <w:bidi w:val="0"/>
        <w:rPr>
          <w:rFonts w:hint="eastAsia"/>
          <w:lang w:val="zh-CN"/>
        </w:rPr>
      </w:pPr>
      <w:r>
        <w:rPr>
          <w:rFonts w:hint="eastAsia"/>
          <w:b/>
          <w:bCs/>
          <w:lang w:val="zh-CN"/>
        </w:rPr>
        <w:t>创新驱动</w:t>
      </w:r>
      <w:r>
        <w:rPr>
          <w:rFonts w:hint="eastAsia"/>
          <w:b/>
          <w:bCs/>
          <w:lang w:val="en-US" w:eastAsia="zh-CN"/>
        </w:rPr>
        <w:t xml:space="preserve">   </w:t>
      </w:r>
      <w:r>
        <w:rPr>
          <w:rFonts w:hint="eastAsia"/>
          <w:lang w:val="zh-CN"/>
        </w:rPr>
        <w:t>2018年，公司投入2500万元，建立2160平方米的研发中心大楼，研发中心的定位是“培育核心技术，引领行业发展，满足用户需求，引领市场潮流”。研发中心与中国科学院化学研究所、北京化工大学、华南理工大学、韶关学院等院所以及立邦、晨阳水漆、三棵树、集泰等业内著名企业建立深层次技术交流合作关系。在研发中心基础上，公司于2018年7月11日与中科院韩布兴院士合作，签约行业内首家院士工作站“广东衡光绿色高性能材料院士工作站”。</w:t>
      </w:r>
    </w:p>
    <w:p w14:paraId="286E6EF1">
      <w:pPr>
        <w:bidi w:val="0"/>
        <w:rPr>
          <w:rFonts w:hint="eastAsia"/>
          <w:lang w:val="zh-CN"/>
        </w:rPr>
      </w:pPr>
      <w:r>
        <w:rPr>
          <w:rFonts w:hint="eastAsia"/>
          <w:b/>
          <w:bCs/>
          <w:lang w:val="zh-CN"/>
        </w:rPr>
        <w:t>扩能增效</w:t>
      </w:r>
      <w:r>
        <w:rPr>
          <w:rFonts w:hint="eastAsia"/>
          <w:b/>
          <w:bCs/>
          <w:lang w:val="en-US" w:eastAsia="zh-CN"/>
        </w:rPr>
        <w:t xml:space="preserve">   </w:t>
      </w:r>
      <w:r>
        <w:rPr>
          <w:rFonts w:hint="eastAsia"/>
          <w:lang w:val="zh-CN"/>
        </w:rPr>
        <w:t>公司“环保水性丙烯酸研发及生产线技术改造项目”于2018年3月启动，计划建设二期的甲类车间1栋、丙类仓库1栋，3条生产线将引进行业先进的乳液生产控制系统，新型高效应针釜等对生产工艺进行优化，全程实现智能控制，通过精细管理提高产品品质和原料利用效率，降低能源消耗和污染物排放，从源头实现节减排，降低末端治理成本，提高生产水平，预计2019年度产值约1.8亿元以上，税收约550-600万元。</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98C8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B27ABB1">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79185" cy="3726180"/>
                  <wp:effectExtent l="0" t="0" r="12065" b="7620"/>
                  <wp:docPr id="124" name="图片 124" descr="南雄年鉴2019_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南雄年鉴2019_0099"/>
                          <pic:cNvPicPr>
                            <a:picLocks noChangeAspect="1"/>
                          </pic:cNvPicPr>
                        </pic:nvPicPr>
                        <pic:blipFill>
                          <a:blip r:embed="rId111"/>
                          <a:stretch>
                            <a:fillRect/>
                          </a:stretch>
                        </pic:blipFill>
                        <pic:spPr>
                          <a:xfrm>
                            <a:off x="0" y="0"/>
                            <a:ext cx="6179185" cy="3726180"/>
                          </a:xfrm>
                          <a:prstGeom prst="rect">
                            <a:avLst/>
                          </a:prstGeom>
                        </pic:spPr>
                      </pic:pic>
                    </a:graphicData>
                  </a:graphic>
                </wp:inline>
              </w:drawing>
            </w:r>
          </w:p>
        </w:tc>
      </w:tr>
      <w:tr w14:paraId="4B685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446F477C">
            <w:pPr>
              <w:bidi w:val="0"/>
              <w:rPr>
                <w:rFonts w:hint="eastAsia"/>
                <w:vertAlign w:val="baseline"/>
                <w:lang w:val="zh-CN"/>
              </w:rPr>
            </w:pPr>
            <w:r>
              <w:rPr>
                <w:rFonts w:hint="eastAsia" w:ascii="FZKTK--GBK1-0" w:hAnsi="FZKTK--GBK1-0" w:eastAsia="FZKTK--GBK1-0"/>
                <w:color w:val="000000"/>
                <w:sz w:val="20"/>
              </w:rPr>
              <w:t>7月11日，衡光董事长田立壮、中科院韩布兴院士举行院士工作站</w:t>
            </w:r>
            <w:r>
              <w:rPr>
                <w:rFonts w:hint="eastAsia" w:ascii="FZKTK--GBK1-0" w:hAnsi="FZKTK--GBK1-0" w:eastAsia="FZKTK--GBK1-0"/>
                <w:sz w:val="20"/>
              </w:rPr>
              <w:t>签约仪式</w:t>
            </w:r>
          </w:p>
        </w:tc>
      </w:tr>
    </w:tbl>
    <w:p w14:paraId="20773719">
      <w:pPr>
        <w:bidi w:val="0"/>
        <w:rPr>
          <w:rFonts w:hint="eastAsia"/>
          <w:b/>
          <w:bCs/>
          <w:lang w:val="zh-CN"/>
        </w:rPr>
      </w:pPr>
      <w:r>
        <w:rPr>
          <w:rFonts w:hint="eastAsia"/>
          <w:b/>
          <w:bCs/>
          <w:lang w:val="zh-CN"/>
        </w:rPr>
        <w:t>党建工作</w:t>
      </w:r>
      <w:r>
        <w:rPr>
          <w:rFonts w:hint="eastAsia"/>
          <w:b/>
          <w:bCs/>
          <w:lang w:val="en-US" w:eastAsia="zh-CN"/>
        </w:rPr>
        <w:t xml:space="preserve">   </w:t>
      </w:r>
      <w:r>
        <w:rPr>
          <w:rFonts w:hint="eastAsia"/>
          <w:lang w:val="zh-CN"/>
        </w:rPr>
        <w:t>公司在园区党工委“党建+精准扶贫”“1支部+1农户”主题教育实践活动中，形成长期对接机制，为对口帮扶澜河镇上澜村贫困家庭送上慰问金3.8万元。先后资助帽子峰村委会、澜河村委会、洞头村水性环保外墙乳液、办公用品、安装路灯价值1.5万元。向老党员捐赠慰问物资一批，为邓坊镇茶头背村送上1.15万元慰问金、贫困户送上5000元慰问金。参加工商联举行的关怀活动，为孤寡老人及革命老前辈送上爱心捐款。企业被评为“党建+精准扶贫突出贡献企业”；党支部书记闫树德于2018年12月被评为第一季度热心公益好人“南雄好人”。</w:t>
      </w:r>
      <w:r>
        <w:rPr>
          <w:rFonts w:hint="eastAsia"/>
          <w:b/>
          <w:bCs/>
          <w:lang w:val="zh-CN"/>
        </w:rPr>
        <w:t>（朱美娟）</w:t>
      </w:r>
    </w:p>
    <w:p w14:paraId="1ED5C921">
      <w:pPr>
        <w:pStyle w:val="11"/>
        <w:bidi w:val="0"/>
        <w:rPr>
          <w:rFonts w:hint="eastAsia"/>
          <w:b/>
          <w:bCs/>
          <w:lang w:val="zh-CN"/>
        </w:rPr>
      </w:pPr>
      <w:r>
        <w:rPr>
          <w:rFonts w:hint="eastAsia"/>
          <w:b/>
          <w:bCs/>
          <w:lang w:val="zh-CN"/>
        </w:rPr>
        <w:t>附：2018年广东衡光新材料科技有限公司领导班子成员名单</w:t>
      </w:r>
    </w:p>
    <w:p w14:paraId="457825C9">
      <w:pPr>
        <w:pStyle w:val="11"/>
        <w:bidi w:val="0"/>
        <w:rPr>
          <w:rFonts w:hint="eastAsia"/>
          <w:lang w:val="zh-CN"/>
        </w:rPr>
      </w:pPr>
      <w:r>
        <w:rPr>
          <w:rFonts w:hint="eastAsia"/>
          <w:b/>
          <w:bCs/>
          <w:lang w:val="zh-CN"/>
        </w:rPr>
        <w:t>董</w:t>
      </w:r>
      <w:r>
        <w:rPr>
          <w:rFonts w:hint="eastAsia"/>
          <w:b/>
          <w:bCs/>
          <w:lang w:val="en-US" w:eastAsia="zh-CN"/>
        </w:rPr>
        <w:t xml:space="preserve">  </w:t>
      </w:r>
      <w:r>
        <w:rPr>
          <w:rFonts w:hint="eastAsia"/>
          <w:b/>
          <w:bCs/>
          <w:lang w:val="zh-CN"/>
        </w:rPr>
        <w:t>事</w:t>
      </w:r>
      <w:r>
        <w:rPr>
          <w:rFonts w:hint="eastAsia"/>
          <w:b/>
          <w:bCs/>
          <w:lang w:val="en-US" w:eastAsia="zh-CN"/>
        </w:rPr>
        <w:t xml:space="preserve">  </w:t>
      </w:r>
      <w:r>
        <w:rPr>
          <w:rFonts w:hint="eastAsia"/>
          <w:b/>
          <w:bCs/>
          <w:lang w:val="zh-CN"/>
        </w:rPr>
        <w:t>长：</w:t>
      </w:r>
      <w:r>
        <w:rPr>
          <w:rFonts w:hint="eastAsia"/>
          <w:lang w:val="zh-CN"/>
        </w:rPr>
        <w:t>田立壮</w:t>
      </w:r>
    </w:p>
    <w:p w14:paraId="599D89BC">
      <w:pPr>
        <w:pStyle w:val="11"/>
        <w:bidi w:val="0"/>
        <w:rPr>
          <w:rFonts w:hint="eastAsia"/>
          <w:lang w:val="zh-CN"/>
        </w:rPr>
      </w:pPr>
      <w:r>
        <w:rPr>
          <w:rFonts w:hint="eastAsia"/>
          <w:b/>
          <w:bCs/>
          <w:lang w:val="zh-CN"/>
        </w:rPr>
        <w:t>总</w:t>
      </w:r>
      <w:r>
        <w:rPr>
          <w:rFonts w:hint="eastAsia"/>
          <w:b/>
          <w:bCs/>
          <w:lang w:val="en-US" w:eastAsia="zh-CN"/>
        </w:rPr>
        <w:t xml:space="preserve">  </w:t>
      </w:r>
      <w:r>
        <w:rPr>
          <w:rFonts w:hint="eastAsia"/>
          <w:b/>
          <w:bCs/>
          <w:lang w:val="zh-CN"/>
        </w:rPr>
        <w:t>经</w:t>
      </w:r>
      <w:r>
        <w:rPr>
          <w:rFonts w:hint="eastAsia"/>
          <w:b/>
          <w:bCs/>
          <w:lang w:val="en-US" w:eastAsia="zh-CN"/>
        </w:rPr>
        <w:t xml:space="preserve">  </w:t>
      </w:r>
      <w:r>
        <w:rPr>
          <w:rFonts w:hint="eastAsia"/>
          <w:b/>
          <w:bCs/>
          <w:lang w:val="zh-CN"/>
        </w:rPr>
        <w:t>理：</w:t>
      </w:r>
      <w:r>
        <w:rPr>
          <w:rFonts w:hint="eastAsia"/>
          <w:lang w:val="zh-CN"/>
        </w:rPr>
        <w:t>田海宁</w:t>
      </w:r>
    </w:p>
    <w:p w14:paraId="7FF425B7">
      <w:pPr>
        <w:pStyle w:val="11"/>
        <w:bidi w:val="0"/>
        <w:rPr>
          <w:rFonts w:hint="eastAsia"/>
          <w:lang w:val="zh-CN"/>
        </w:rPr>
      </w:pPr>
      <w:r>
        <w:rPr>
          <w:rFonts w:hint="eastAsia"/>
          <w:b/>
          <w:bCs/>
          <w:lang w:val="zh-CN"/>
        </w:rPr>
        <w:t>执行总经理：</w:t>
      </w:r>
      <w:r>
        <w:rPr>
          <w:rFonts w:hint="eastAsia"/>
          <w:lang w:val="zh-CN"/>
        </w:rPr>
        <w:t>闫树德</w:t>
      </w:r>
    </w:p>
    <w:p w14:paraId="2B64A5F0">
      <w:pPr>
        <w:pStyle w:val="2"/>
        <w:bidi w:val="0"/>
        <w:rPr>
          <w:rFonts w:hint="eastAsia"/>
        </w:rPr>
      </w:pPr>
      <w:r>
        <w:rPr>
          <w:rFonts w:hint="eastAsia"/>
        </w:rPr>
        <w:t>农业·林业·水利·气象</w:t>
      </w:r>
    </w:p>
    <w:p w14:paraId="45D117AC">
      <w:pPr>
        <w:pStyle w:val="3"/>
        <w:bidi w:val="0"/>
        <w:rPr>
          <w:rFonts w:hint="eastAsia"/>
          <w:lang w:val="zh-CN"/>
        </w:rPr>
      </w:pPr>
      <w:r>
        <w:rPr>
          <w:rFonts w:hint="eastAsia"/>
          <w:lang w:val="zh-CN"/>
        </w:rPr>
        <w:t>农业</w:t>
      </w:r>
    </w:p>
    <w:p w14:paraId="3C2D364D">
      <w:pPr>
        <w:pStyle w:val="4"/>
        <w:bidi w:val="0"/>
        <w:rPr>
          <w:rFonts w:hint="eastAsia"/>
          <w:lang w:val="zh-CN"/>
        </w:rPr>
      </w:pPr>
      <w:r>
        <w:rPr>
          <w:rFonts w:hint="eastAsia"/>
          <w:lang w:val="zh-CN"/>
        </w:rPr>
        <w:t>【概况】</w:t>
      </w:r>
    </w:p>
    <w:p w14:paraId="63EEC900">
      <w:pPr>
        <w:bidi w:val="0"/>
        <w:rPr>
          <w:rFonts w:hint="eastAsia"/>
          <w:lang w:val="zh-CN"/>
        </w:rPr>
      </w:pPr>
      <w:r>
        <w:rPr>
          <w:rFonts w:hint="eastAsia"/>
          <w:lang w:val="zh-CN"/>
        </w:rPr>
        <w:t>南雄市农业局，是南雄市人民政府直属的正科级工作部门，行政编制28名，其中行政执法专项编制10名。后勤服务人员3名。内设9个职能股室：办公室、人事股、政策法规股、农村新能源建设股、农村经济体制与经营管理股、科教信息股、种养业管理办公室、财务与审计股（发展计划股）及农业综合行政执法股，加挂农业应急管理办公室牌子。下设6个事业单位：种子站、农业技术推广中心、农产品质量安全监督检测站、植保植检管理站、农业科学研究所、农业示范场，其中：种子站、农业技术推广中心为副科级事业单位。畜牧兽医水产局、农机管理总站隶属农业局管理。2018年完成农林牧渔业总产值46.35亿元，同比增长5.6%，农林牧渔业增加值完成28.13亿元，同比增长6.3%。</w:t>
      </w:r>
    </w:p>
    <w:p w14:paraId="21C11294">
      <w:pPr>
        <w:pStyle w:val="4"/>
        <w:bidi w:val="0"/>
        <w:rPr>
          <w:rFonts w:hint="eastAsia"/>
          <w:lang w:val="zh-CN"/>
        </w:rPr>
      </w:pPr>
      <w:r>
        <w:rPr>
          <w:rFonts w:hint="eastAsia"/>
          <w:lang w:val="zh-CN"/>
        </w:rPr>
        <w:t>【农业发展】</w:t>
      </w:r>
    </w:p>
    <w:p w14:paraId="21927C9B">
      <w:pPr>
        <w:bidi w:val="0"/>
        <w:rPr>
          <w:rFonts w:hint="eastAsia"/>
          <w:lang w:val="zh-CN"/>
        </w:rPr>
      </w:pPr>
      <w:r>
        <w:rPr>
          <w:rFonts w:hint="eastAsia"/>
          <w:lang w:val="zh-CN"/>
        </w:rPr>
        <w:t>2018年，粮食作物播种面积3.34万公顷，其中水稻播种面积2.82万公顷，总产量16.72万吨；蔬菜播种面积7586.67公顷，总产量18.46万吨；油料播种面积7846.67公顷，总产量2.69万吨；黄烟播种面积6220公顷，总产量1.53万吨。以猕猴桃、鹰嘴桃、脐橙、贡柑等为主的特色水果，以广佛手、仙草、铁冬青为主的中药材和以瓜果、根茎类为主的特色蔬菜等特色种植业种植面积不断扩大。</w:t>
      </w:r>
    </w:p>
    <w:p w14:paraId="22064F69">
      <w:pPr>
        <w:bidi w:val="0"/>
        <w:rPr>
          <w:rFonts w:hint="eastAsia"/>
          <w:lang w:val="zh-CN"/>
        </w:rPr>
      </w:pPr>
      <w:r>
        <w:rPr>
          <w:rFonts w:hint="eastAsia"/>
          <w:lang w:val="zh-CN"/>
        </w:rPr>
        <w:t>丝苗米现代农业产业园项目引进广东新供销天润粮油集团有限公司作为实施主体，经广东省人民政府批复，列入全省第三批省级现代农业产业园建设名单，纳入全省2018年50个现代农业产业园建设范畴，并获得省专项财政扶持资金5000万元。一期园区用地位于珠玑镇长迳村，规划用地105亩，用于建设现代农业产业园冷链物流仓储中心。</w:t>
      </w:r>
    </w:p>
    <w:p w14:paraId="05C6ADF6">
      <w:pPr>
        <w:pStyle w:val="4"/>
        <w:bidi w:val="0"/>
        <w:rPr>
          <w:rFonts w:hint="eastAsia"/>
          <w:lang w:val="zh-CN"/>
        </w:rPr>
      </w:pPr>
      <w:r>
        <w:rPr>
          <w:rFonts w:hint="eastAsia"/>
          <w:lang w:val="zh-CN"/>
        </w:rPr>
        <w:t>【重点项目】</w:t>
      </w:r>
    </w:p>
    <w:p w14:paraId="564BA106">
      <w:pPr>
        <w:bidi w:val="0"/>
        <w:rPr>
          <w:rFonts w:hint="eastAsia"/>
          <w:lang w:val="zh-CN"/>
        </w:rPr>
      </w:pPr>
      <w:r>
        <w:rPr>
          <w:rFonts w:hint="eastAsia"/>
          <w:lang w:val="zh-CN"/>
        </w:rPr>
        <w:t>2018年南雄市被列入2018年全国农村一、二、三产业融合发展先导区创建名单，是韶关市唯一入选的示范县（市、区）。</w:t>
      </w:r>
    </w:p>
    <w:p w14:paraId="3FD459E6">
      <w:pPr>
        <w:bidi w:val="0"/>
        <w:rPr>
          <w:rFonts w:hint="eastAsia"/>
          <w:lang w:val="zh-CN"/>
        </w:rPr>
      </w:pPr>
      <w:r>
        <w:rPr>
          <w:rFonts w:hint="eastAsia"/>
          <w:lang w:val="zh-CN"/>
        </w:rPr>
        <w:t>珠玑镇灵潭村成功入选2018年中国美丽休闲乡村，是广东省三个入选村之一，也是韶关市唯一入选的村。9月23日—10月23日，在珠玑镇灵潭村主会场、香草世界森林公园和火龙果种植基地2个分会场举行韶关市首届“中国农民丰收节”暨生态农业博览会（南雄分会场）。持续一个月时间开展农土特产品展销活动，并开放农事体验项目，以农业+文化、体育、科技、美食、互联网、旅游、招商、体验、品牌及扶贫的形式，展示南雄科技强农新成果、产业发展新成就、乡村振兴新面貌。这次活动除发动农民朋友外，还组织吸引珠三角、江西等周边地区农产品经销商、消费者、游客等1万余人参与。南雄市是广东省粮食（水稻）功能区划定六个试点县之一。3月5日至4月底，经过50多天奋战，完成全市18个镇（街道）1.72万公顷粮食生产功能区外业实地勘查工作，是全省第一个完成“两区”划定外业实地勘查工作的试点县。开展美丽乡村建设，完成村级公益事业一事一议财政奖补项目29个，涉及财政奖补资金659万元。项目的实施，有效解决农村生产生活设施有关问题，农村公益事业得到发展。同时完成2016年度、2017年度美丽乡村试点建设项目。珠玑镇洋湖村、帽子峰镇坪山村美丽乡村试点已完成工程建设。</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FA67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4D26267">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6805" cy="4074795"/>
                  <wp:effectExtent l="0" t="0" r="4445" b="1905"/>
                  <wp:docPr id="125" name="图片 125" descr="南雄年鉴2019_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南雄年鉴2019_0100"/>
                          <pic:cNvPicPr>
                            <a:picLocks noChangeAspect="1"/>
                          </pic:cNvPicPr>
                        </pic:nvPicPr>
                        <pic:blipFill>
                          <a:blip r:embed="rId112"/>
                          <a:stretch>
                            <a:fillRect/>
                          </a:stretch>
                        </pic:blipFill>
                        <pic:spPr>
                          <a:xfrm>
                            <a:off x="0" y="0"/>
                            <a:ext cx="6186805" cy="4074795"/>
                          </a:xfrm>
                          <a:prstGeom prst="rect">
                            <a:avLst/>
                          </a:prstGeom>
                        </pic:spPr>
                      </pic:pic>
                    </a:graphicData>
                  </a:graphic>
                </wp:inline>
              </w:drawing>
            </w:r>
          </w:p>
        </w:tc>
      </w:tr>
      <w:tr w14:paraId="7A4C0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580657B">
            <w:pPr>
              <w:bidi w:val="0"/>
              <w:rPr>
                <w:rFonts w:hint="eastAsia"/>
                <w:vertAlign w:val="baseline"/>
                <w:lang w:val="zh-CN"/>
              </w:rPr>
            </w:pPr>
            <w:r>
              <w:rPr>
                <w:rFonts w:hint="eastAsia" w:ascii="FZKTK--GBK1-0" w:hAnsi="FZKTK--GBK1-0" w:eastAsia="FZKTK--GBK1-0"/>
                <w:sz w:val="20"/>
              </w:rPr>
              <w:t>南雄市“金友米露”入选首批全国“一县一品”品牌农产品名录（市农业局</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3FB0B70B">
      <w:pPr>
        <w:pStyle w:val="4"/>
        <w:bidi w:val="0"/>
        <w:rPr>
          <w:rFonts w:hint="eastAsia"/>
          <w:lang w:val="zh-CN"/>
        </w:rPr>
      </w:pPr>
      <w:r>
        <w:rPr>
          <w:rFonts w:hint="eastAsia"/>
          <w:lang w:val="zh-CN"/>
        </w:rPr>
        <w:t>【农村土地确权工作】</w:t>
      </w:r>
    </w:p>
    <w:p w14:paraId="2DCC6C4A">
      <w:pPr>
        <w:bidi w:val="0"/>
        <w:rPr>
          <w:rFonts w:hint="eastAsia"/>
          <w:lang w:val="zh-CN"/>
        </w:rPr>
      </w:pPr>
      <w:r>
        <w:rPr>
          <w:rFonts w:hint="eastAsia"/>
          <w:lang w:val="zh-CN"/>
        </w:rPr>
        <w:t>全市完成调查面积3.82万公顷，完成确权承包地面积3.82万公顷，完成颁证到户9.12万户，颁证率98%，涉及18个镇街206个行政村2522个发包方。在韶关市组织的市级检查验收中，验收综合得分为91.49分，在韶关排名第二，验收评定为优秀，并代表韶关市迎接省确权办聘请的第三方验收，验收综合得分为91.5分，被评为优秀。</w:t>
      </w:r>
    </w:p>
    <w:p w14:paraId="3EE05A86">
      <w:pPr>
        <w:pStyle w:val="4"/>
        <w:bidi w:val="0"/>
        <w:rPr>
          <w:rFonts w:hint="eastAsia"/>
          <w:lang w:val="zh-CN"/>
        </w:rPr>
      </w:pPr>
      <w:r>
        <w:rPr>
          <w:rFonts w:hint="eastAsia"/>
          <w:lang w:val="zh-CN"/>
        </w:rPr>
        <w:t>【农产品质量安全监管】</w:t>
      </w:r>
    </w:p>
    <w:p w14:paraId="5EB34FF2">
      <w:pPr>
        <w:bidi w:val="0"/>
        <w:rPr>
          <w:rFonts w:hint="eastAsia"/>
          <w:lang w:val="zh-CN"/>
        </w:rPr>
      </w:pPr>
      <w:r>
        <w:rPr>
          <w:rFonts w:hint="eastAsia"/>
          <w:lang w:val="zh-CN"/>
        </w:rPr>
        <w:t>对南雄中学、市一中、市二中等城区学校饭堂、蔬菜种植基地、大型饭店等地开展农残抽检，抽检蔬菜样品2180个，合格率99.27%，同比提高9.1%，对不合格蔬菜产品进行追根溯源及无害化处理；开展定量检测195个，兽残速测89个，合格率为100%。2018年全市未发生较大及较大以上农产品质量安全事故。</w:t>
      </w:r>
    </w:p>
    <w:p w14:paraId="2B7273B9">
      <w:pPr>
        <w:pStyle w:val="4"/>
        <w:bidi w:val="0"/>
        <w:rPr>
          <w:rFonts w:hint="eastAsia"/>
          <w:lang w:val="zh-CN"/>
        </w:rPr>
      </w:pPr>
      <w:r>
        <w:rPr>
          <w:rFonts w:hint="eastAsia"/>
          <w:lang w:val="zh-CN"/>
        </w:rPr>
        <w:t>【农业综合执法】</w:t>
      </w:r>
    </w:p>
    <w:p w14:paraId="4BBB7F98">
      <w:pPr>
        <w:bidi w:val="0"/>
        <w:rPr>
          <w:rFonts w:hint="eastAsia"/>
          <w:lang w:val="zh-CN"/>
        </w:rPr>
      </w:pPr>
      <w:r>
        <w:rPr>
          <w:rFonts w:hint="eastAsia"/>
          <w:lang w:val="zh-CN"/>
        </w:rPr>
        <w:t>全年组织出动农业综合执法人员1300人次，检查企业500家次，抽取农资样品51个，立案8起、结案8起，查获涉案农药200公斤、农产品45公斤，涉案货值12.5万元，累计罚没款7.69万元。处理农资投诉案件8宗，涉案金额30多万元，挽回损失5万多元。</w:t>
      </w:r>
    </w:p>
    <w:p w14:paraId="7B625933">
      <w:pPr>
        <w:pStyle w:val="4"/>
        <w:bidi w:val="0"/>
        <w:rPr>
          <w:rFonts w:hint="eastAsia"/>
          <w:lang w:val="zh-CN"/>
        </w:rPr>
      </w:pPr>
      <w:r>
        <w:rPr>
          <w:rFonts w:hint="eastAsia"/>
          <w:lang w:val="zh-CN"/>
        </w:rPr>
        <w:t>【农作物病虫防治】</w:t>
      </w:r>
    </w:p>
    <w:p w14:paraId="3319942C">
      <w:pPr>
        <w:bidi w:val="0"/>
        <w:rPr>
          <w:rFonts w:hint="eastAsia"/>
          <w:lang w:val="zh-CN"/>
        </w:rPr>
      </w:pPr>
      <w:r>
        <w:rPr>
          <w:rFonts w:hint="eastAsia"/>
          <w:lang w:val="zh-CN"/>
        </w:rPr>
        <w:t>全年开展防治面积499.7万亩次，防控红火蚁面积6.8万亩次，印发《农作物病虫情报》20期、《除虫警报》2期20万份，播放《南雄农业病虫测报》电视栏目32期，发出农作物病虫害防治气象短信、微信9条，挽回农作物损失4.84万吨，挽回经济产值损失7493.80万元。</w:t>
      </w:r>
    </w:p>
    <w:p w14:paraId="12E03473">
      <w:pPr>
        <w:pStyle w:val="4"/>
        <w:bidi w:val="0"/>
        <w:rPr>
          <w:rFonts w:hint="eastAsia"/>
          <w:lang w:val="zh-CN"/>
        </w:rPr>
      </w:pPr>
      <w:r>
        <w:rPr>
          <w:rFonts w:hint="eastAsia"/>
          <w:lang w:val="zh-CN"/>
        </w:rPr>
        <w:t>【基层农技推广体系建设】</w:t>
      </w:r>
    </w:p>
    <w:p w14:paraId="4B262071">
      <w:pPr>
        <w:bidi w:val="0"/>
        <w:rPr>
          <w:rFonts w:hint="eastAsia"/>
          <w:lang w:val="zh-CN"/>
        </w:rPr>
      </w:pPr>
      <w:r>
        <w:rPr>
          <w:rFonts w:hint="eastAsia"/>
          <w:lang w:val="zh-CN"/>
        </w:rPr>
        <w:t>推介发布2018年农业主导品种和主推技术，建立5个农业科技示范基地。聘请80名技术指导员对全市640户科技示范户（科技示范主体）开展入户座谈、田间指导，使科技培训直接到户，良种良法直接到田。</w:t>
      </w:r>
    </w:p>
    <w:p w14:paraId="28A57C28">
      <w:pPr>
        <w:pStyle w:val="4"/>
        <w:bidi w:val="0"/>
        <w:rPr>
          <w:rFonts w:hint="eastAsia"/>
          <w:lang w:val="zh-CN"/>
        </w:rPr>
      </w:pPr>
      <w:r>
        <w:rPr>
          <w:rFonts w:hint="eastAsia"/>
          <w:lang w:val="zh-CN"/>
        </w:rPr>
        <w:t>【新型农业经营主体培育】</w:t>
      </w:r>
    </w:p>
    <w:p w14:paraId="4807F1E0">
      <w:pPr>
        <w:bidi w:val="0"/>
        <w:rPr>
          <w:rFonts w:hint="eastAsia"/>
          <w:lang w:val="zh-CN"/>
        </w:rPr>
      </w:pPr>
      <w:r>
        <w:rPr>
          <w:rFonts w:hint="eastAsia"/>
          <w:lang w:val="zh-CN"/>
        </w:rPr>
        <w:t>引导各类新型农业经营主体规范发展，截至2018年年底，全市有农民专业合作社686家（本年新增40家），家庭农场126家（本年新增52家），韶关市级龙头企业10家。积极申报上级项目资金323.7万元对全市27个经营主体进行扶持。进一步落实“政银保”项目，有51个经营主体办理贷款总额2988万元。同时，制定《南雄市特色农业发展扶持奖励资金管理办法》，设立专项农业发展扶持基金，安排200万元扶持资金，对达到一定规模、一定水平的农业生产开发者，特别是参与现代农业产业园创建工作的经营主体给予扶持奖励。</w:t>
      </w:r>
    </w:p>
    <w:p w14:paraId="14CE2E5E">
      <w:pPr>
        <w:pStyle w:val="4"/>
        <w:bidi w:val="0"/>
        <w:rPr>
          <w:rFonts w:hint="eastAsia"/>
          <w:lang w:val="zh-CN"/>
        </w:rPr>
      </w:pPr>
      <w:r>
        <w:rPr>
          <w:rFonts w:hint="eastAsia"/>
          <w:lang w:val="zh-CN"/>
        </w:rPr>
        <w:t>【农产品品牌建设】</w:t>
      </w:r>
    </w:p>
    <w:p w14:paraId="4F583F70">
      <w:pPr>
        <w:bidi w:val="0"/>
        <w:rPr>
          <w:rFonts w:hint="eastAsia"/>
          <w:lang w:val="zh-CN"/>
        </w:rPr>
      </w:pPr>
      <w:r>
        <w:rPr>
          <w:rFonts w:hint="eastAsia"/>
          <w:lang w:val="zh-CN"/>
        </w:rPr>
        <w:t>截至2018年年底，全市27个农产品通过“三品一标”认证。其中14个农产品通过无公害认证，2个农产品通过绿色认证，10个农产品通过有机认证，1个农产品获得地理标志认证。此外，南雄市“金友米露”入选首批全国“一县一品”品牌农产品名录，这次名录中全国有35个农产品入选，“金友米露”是全省入选的2个名额之一。</w:t>
      </w:r>
    </w:p>
    <w:p w14:paraId="3325205E">
      <w:pPr>
        <w:pStyle w:val="4"/>
        <w:bidi w:val="0"/>
        <w:rPr>
          <w:rFonts w:hint="eastAsia"/>
          <w:lang w:val="zh-CN"/>
        </w:rPr>
      </w:pPr>
      <w:r>
        <w:rPr>
          <w:rFonts w:hint="eastAsia"/>
          <w:lang w:val="zh-CN"/>
        </w:rPr>
        <w:t>【新品种新技术推广应用】</w:t>
      </w:r>
    </w:p>
    <w:p w14:paraId="5741DB8B">
      <w:pPr>
        <w:bidi w:val="0"/>
        <w:rPr>
          <w:rFonts w:hint="eastAsia"/>
          <w:lang w:val="zh-CN"/>
        </w:rPr>
      </w:pPr>
      <w:r>
        <w:rPr>
          <w:rFonts w:hint="eastAsia"/>
          <w:lang w:val="zh-CN"/>
        </w:rPr>
        <w:t>完成208个水稻、28个大豆国家、省、市级新品种区域化试验工作，为新品种的审定和推广应用提供科学依据。引进67个优良水稻品种开展大田表证示范工作，从中筛选出一批适合本地区种植的高产优良品种，提高水稻良种利用率和覆盖率。</w:t>
      </w:r>
    </w:p>
    <w:p w14:paraId="79618CB8">
      <w:pPr>
        <w:pStyle w:val="4"/>
        <w:bidi w:val="0"/>
        <w:rPr>
          <w:rFonts w:hint="eastAsia"/>
          <w:lang w:val="zh-CN"/>
        </w:rPr>
      </w:pPr>
      <w:r>
        <w:rPr>
          <w:rFonts w:hint="eastAsia"/>
          <w:lang w:val="zh-CN"/>
        </w:rPr>
        <w:t>【农业生态文明】</w:t>
      </w:r>
    </w:p>
    <w:p w14:paraId="0964959E">
      <w:pPr>
        <w:bidi w:val="0"/>
        <w:rPr>
          <w:rFonts w:hint="eastAsia"/>
          <w:lang w:val="zh-CN"/>
        </w:rPr>
      </w:pPr>
      <w:r>
        <w:rPr>
          <w:rFonts w:hint="eastAsia"/>
          <w:lang w:val="zh-CN"/>
        </w:rPr>
        <w:t>投入项目资金300万元，在全市12个镇（街道）创建“水稻病虫害绿色防控”技术模式示范区1.3万亩和“稻田养鸭”技术模式示范区40公顷，转变农民施肥和用药观念，减少农药和肥料对土壤和水源的污染。经专家组现场测产，全市示范区平均亩产达到0.45吨以上。开展“绿色防控”工作，举办广东两季稻区两迁害虫检测与防控关键技术研究与示范现场评议会。在全市建立10个晚稻病虫害绿色防控示范点，示范点面积866.67公顷，辐射面积8666.67公顷。市植保植检管理站参与的“稻飞虱抗性风险评估与治理关键技术推广应用”项目获得广东省农业技术推广奖二等奖。开展耕地质量监测工作，分别采购、发放和使用有机肥225吨、腐秆剂60吨、石灰466吨和500公斤油菜种子等物资，中和耕地土壤酸性，增加有机质含量，培肥地力，提升耕地可持续发展能力。</w:t>
      </w:r>
    </w:p>
    <w:p w14:paraId="41940088">
      <w:pPr>
        <w:pStyle w:val="4"/>
        <w:bidi w:val="0"/>
        <w:rPr>
          <w:rFonts w:hint="eastAsia"/>
          <w:lang w:val="zh-CN"/>
        </w:rPr>
      </w:pPr>
      <w:r>
        <w:rPr>
          <w:rFonts w:hint="eastAsia"/>
          <w:lang w:val="zh-CN"/>
        </w:rPr>
        <w:t>【招商引资】</w:t>
      </w:r>
    </w:p>
    <w:p w14:paraId="6AAA8AC4">
      <w:pPr>
        <w:bidi w:val="0"/>
        <w:rPr>
          <w:rFonts w:hint="eastAsia"/>
          <w:lang w:val="zh-CN"/>
        </w:rPr>
      </w:pPr>
      <w:r>
        <w:rPr>
          <w:rFonts w:hint="eastAsia"/>
          <w:lang w:val="zh-CN"/>
        </w:rPr>
        <w:t>成功申报现代粮食产业示范区，获得广东省财政专项资金2500万元；引进广东新供销天润粮油集团有限公司为南雄市丝苗米现代农业产业园的经营主体，获得省级专项扶持资金5000万元，计划撬动社会资本投资8.3亿元；引进指挥官现代农业田园综合体产业园项目，计划投资10亿元，建设成集观光旅游、休闲度假、电子商务、农业互联网和农业种植为一体的田园综合体产业园；引进湖南南雄商会注资三佳村农业公园，总投资1.5亿元，创建集餐饮、住宿、旅游、娱乐、购物为一体的农事文化主题园。</w:t>
      </w:r>
      <w:r>
        <w:rPr>
          <w:rFonts w:hint="eastAsia"/>
          <w:b/>
          <w:bCs/>
          <w:lang w:val="zh-CN"/>
        </w:rPr>
        <w:t>（何</w:t>
      </w:r>
      <w:r>
        <w:rPr>
          <w:rFonts w:hint="eastAsia"/>
          <w:b/>
          <w:bCs/>
          <w:lang w:val="en-US" w:eastAsia="zh-CN"/>
        </w:rPr>
        <w:t xml:space="preserve">  </w:t>
      </w:r>
      <w:r>
        <w:rPr>
          <w:rFonts w:hint="eastAsia"/>
          <w:b/>
          <w:bCs/>
          <w:lang w:val="zh-CN"/>
        </w:rPr>
        <w:t>聪）</w:t>
      </w:r>
    </w:p>
    <w:p w14:paraId="36520512">
      <w:pPr>
        <w:pStyle w:val="11"/>
        <w:bidi w:val="0"/>
        <w:rPr>
          <w:rFonts w:hint="eastAsia"/>
          <w:b/>
          <w:bCs/>
          <w:lang w:val="zh-CN"/>
        </w:rPr>
      </w:pPr>
      <w:r>
        <w:rPr>
          <w:rFonts w:hint="eastAsia"/>
          <w:b/>
          <w:bCs/>
          <w:lang w:val="zh-CN"/>
        </w:rPr>
        <w:t>附：2018年市农业局领导班子成员名单</w:t>
      </w:r>
    </w:p>
    <w:p w14:paraId="2E700F1B">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董书海</w:t>
      </w:r>
    </w:p>
    <w:p w14:paraId="160176C1">
      <w:pPr>
        <w:pStyle w:val="11"/>
        <w:bidi w:val="0"/>
        <w:rPr>
          <w:rFonts w:hint="eastAsia"/>
          <w:lang w:val="zh-CN"/>
        </w:rPr>
      </w:pPr>
      <w:r>
        <w:rPr>
          <w:rFonts w:hint="eastAsia"/>
          <w:b/>
          <w:bCs/>
          <w:lang w:val="zh-CN"/>
        </w:rPr>
        <w:t>党组书记、副局长：</w:t>
      </w:r>
      <w:r>
        <w:rPr>
          <w:rFonts w:hint="eastAsia"/>
          <w:lang w:val="zh-CN"/>
        </w:rPr>
        <w:t>李世勤</w:t>
      </w:r>
    </w:p>
    <w:p w14:paraId="10269889">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吴英德</w:t>
      </w:r>
      <w:r>
        <w:rPr>
          <w:rFonts w:hint="eastAsia"/>
          <w:lang w:val="en-US" w:eastAsia="zh-CN"/>
        </w:rPr>
        <w:t xml:space="preserve">   </w:t>
      </w:r>
      <w:r>
        <w:rPr>
          <w:rFonts w:hint="eastAsia"/>
          <w:lang w:val="zh-CN"/>
        </w:rPr>
        <w:t>朱天骥</w:t>
      </w:r>
    </w:p>
    <w:p w14:paraId="5915775A">
      <w:pPr>
        <w:pStyle w:val="11"/>
        <w:bidi w:val="0"/>
        <w:rPr>
          <w:rFonts w:hint="eastAsia"/>
          <w:lang w:val="zh-CN"/>
        </w:rPr>
      </w:pPr>
      <w:r>
        <w:rPr>
          <w:rFonts w:hint="eastAsia"/>
          <w:b/>
          <w:bCs/>
          <w:lang w:val="zh-CN"/>
        </w:rPr>
        <w:t>扶贫办主任：</w:t>
      </w:r>
      <w:r>
        <w:rPr>
          <w:rFonts w:hint="eastAsia"/>
          <w:lang w:val="zh-CN"/>
        </w:rPr>
        <w:t>朱</w:t>
      </w:r>
      <w:r>
        <w:rPr>
          <w:rFonts w:hint="eastAsia"/>
          <w:lang w:val="en-US" w:eastAsia="zh-CN"/>
        </w:rPr>
        <w:t xml:space="preserve">  </w:t>
      </w:r>
      <w:r>
        <w:rPr>
          <w:rFonts w:hint="eastAsia"/>
          <w:lang w:val="zh-CN"/>
        </w:rPr>
        <w:t>慧（任至3月）</w:t>
      </w:r>
    </w:p>
    <w:p w14:paraId="135A804D">
      <w:pPr>
        <w:pStyle w:val="3"/>
        <w:bidi w:val="0"/>
        <w:rPr>
          <w:rFonts w:hint="eastAsia"/>
          <w:lang w:val="zh-CN"/>
        </w:rPr>
      </w:pPr>
      <w:r>
        <w:rPr>
          <w:rFonts w:hint="eastAsia"/>
          <w:lang w:val="zh-CN"/>
        </w:rPr>
        <w:t>畜牧兽医水产</w:t>
      </w:r>
    </w:p>
    <w:p w14:paraId="7E33FD23">
      <w:pPr>
        <w:pStyle w:val="4"/>
        <w:bidi w:val="0"/>
        <w:rPr>
          <w:rFonts w:hint="eastAsia"/>
          <w:lang w:val="zh-CN"/>
        </w:rPr>
      </w:pPr>
      <w:r>
        <w:rPr>
          <w:rFonts w:hint="eastAsia"/>
          <w:lang w:val="zh-CN"/>
        </w:rPr>
        <w:t>【概况】</w:t>
      </w:r>
    </w:p>
    <w:p w14:paraId="739056F5">
      <w:pPr>
        <w:bidi w:val="0"/>
        <w:rPr>
          <w:rFonts w:hint="eastAsia"/>
          <w:lang w:val="zh-CN"/>
        </w:rPr>
      </w:pPr>
      <w:r>
        <w:rPr>
          <w:rFonts w:hint="eastAsia"/>
          <w:lang w:val="zh-CN"/>
        </w:rPr>
        <w:t>1958年10月成立水产畜牧局。1961年6月将水产畜牧局改称为畜牧水产管理总站。1985年1月畜牧水产管理总站划分为畜牧兽医管理总站、水产管理总站，同年3月19日改为畜牧局、水产局。1997年3月划分为畜牧管理总站，水产管理总站。2001年12月畜牧水产合并为畜牧水产技术推广中心。2008年12月23日，根据南雄市人民政府雄府〔2008〕95号文《关于南雄市兽医水产管理体制改革方案的通知》改为“南雄市畜牧兽医水产局”。机构编制为副科级事业单位，隶属于市农业局，赋予行政管理职能。核定编制19名，其中干部17名，后勤编制2名，配局长1名，副局长2名，设总畜牧兽医师1名。内设人秘股、财会股、畜牧股、兽医股、水产股，股长职数5名。人员参照公务员管理，经费全额纳入市级财政预算。畜牧养殖2018年与2017年持平，渔业生产增长3.3%。2018年，生猪存栏37.5万头，出栏72.6万头；家禽存栏405万羽，出栏450.1万羽；牛存栏3.45万头，出栏9520头；羊出栏7540万只；肉类产量5.19万吨，产值12.5亿元。渔业总产量1.74万吨，产值2.65亿元，养殖面积3212公倾。</w:t>
      </w:r>
    </w:p>
    <w:p w14:paraId="1B2CB800">
      <w:pPr>
        <w:pStyle w:val="4"/>
        <w:bidi w:val="0"/>
        <w:rPr>
          <w:rFonts w:hint="eastAsia"/>
          <w:lang w:val="zh-CN"/>
        </w:rPr>
      </w:pPr>
      <w:r>
        <w:rPr>
          <w:rFonts w:hint="eastAsia"/>
          <w:lang w:val="zh-CN"/>
        </w:rPr>
        <w:t>【动物疫病防控工作】</w:t>
      </w:r>
    </w:p>
    <w:p w14:paraId="112836DE">
      <w:pPr>
        <w:bidi w:val="0"/>
        <w:rPr>
          <w:rFonts w:hint="eastAsia"/>
          <w:lang w:val="zh-CN"/>
        </w:rPr>
      </w:pPr>
      <w:r>
        <w:rPr>
          <w:rFonts w:hint="eastAsia"/>
          <w:lang w:val="zh-CN"/>
        </w:rPr>
        <w:t>5月底对各镇（街道）进行春防检查，全面完成春防工作，9月开始秋季动物防疫工作。针对春季动物疾病高发季节，4名分管领导带领技术人员分4个组到各镇（街道）抓好养殖场和活禽市场的防疫监管和疫情排查，重点加强家禽养殖场的巡查监督指导，指导养殖户做好消毒灭源工作。抓好非洲猪瘟防控工作，印发非洲猪瘟科普宣传册、挂图2000份，发放《养猪场非洲猪瘟防预警告知书》1000多份，《屠宰场非洲猪瘟防预警告知书》6份，养猪户、屠宰场跟畜牧局签订《告知承诺书》近1000份，提高基层兽医人员对突发疫情的鉴别诊断、早期报告和规范应对能力。召开9次防控非洲猪瘟工作专题会。督促各镇（街道）加大监督检查力度，严格落实国家有关跨省调运畜禽的规定，执行到达报告和隔离观察制度。督促屠宰场加强查证验物。9月25日，在省际公路公安检查站南雄珠玑站设立动物卫生监督临时检查站，10月26日在南亩、珠玑、界址等的省、县道入口处设立临时检查站。抓好非洲猪病的排查力度。8月10日到11月11日排查猪场1.08万间，出动2万人次，排查生猪260.39万头，屠宰场排查生猪2.26万头，出动1301人次。</w:t>
      </w:r>
    </w:p>
    <w:p w14:paraId="414B6632">
      <w:pPr>
        <w:pStyle w:val="4"/>
        <w:bidi w:val="0"/>
        <w:rPr>
          <w:rFonts w:hint="eastAsia"/>
          <w:lang w:val="zh-CN"/>
        </w:rPr>
      </w:pPr>
      <w:r>
        <w:rPr>
          <w:rFonts w:hint="eastAsia"/>
          <w:lang w:val="zh-CN"/>
        </w:rPr>
        <w:t>【畜禽养殖污染专项整治】</w:t>
      </w:r>
    </w:p>
    <w:p w14:paraId="34F66CB0">
      <w:pPr>
        <w:bidi w:val="0"/>
        <w:rPr>
          <w:rFonts w:hint="eastAsia"/>
          <w:lang w:val="zh-CN"/>
        </w:rPr>
      </w:pPr>
      <w:r>
        <w:rPr>
          <w:rFonts w:hint="eastAsia"/>
          <w:lang w:val="zh-CN"/>
        </w:rPr>
        <w:t>2018年清养关停整顿猪场38户，全部完成逐户到场核实，丈量栏舍总面积2.47万平方米，总资金拟算290万元。完成清养关停畜禽养殖场38家，10家农业源减排养殖场完成环保设施建设。</w:t>
      </w:r>
    </w:p>
    <w:p w14:paraId="5614CD0F">
      <w:pPr>
        <w:pStyle w:val="4"/>
        <w:bidi w:val="0"/>
        <w:rPr>
          <w:rFonts w:hint="eastAsia"/>
          <w:lang w:val="zh-CN"/>
        </w:rPr>
      </w:pPr>
      <w:r>
        <w:rPr>
          <w:rFonts w:hint="eastAsia"/>
          <w:lang w:val="zh-CN"/>
        </w:rPr>
        <w:t>【动物食品安全工作】</w:t>
      </w:r>
    </w:p>
    <w:p w14:paraId="29063C55">
      <w:pPr>
        <w:bidi w:val="0"/>
        <w:rPr>
          <w:rFonts w:hint="eastAsia"/>
          <w:lang w:val="zh-CN"/>
        </w:rPr>
      </w:pPr>
      <w:r>
        <w:rPr>
          <w:rFonts w:hint="eastAsia"/>
          <w:lang w:val="zh-CN"/>
        </w:rPr>
        <w:t>加强“瘦肉精”等违禁药物监管。强化生猪养殖、屠宰环节“瘦肉精”监测，各镇每月监测2个场，每个场抽检2头份，利民屠宰场每日抽检1批2-4头份，2018年抽检“瘦肉精”样品3275份，阳性率为0。做好病死畜禽无害化处理工作。要求各镇（街道）畜牧兽医水产站对病死畜禽进行深埋、消毒处理，发现一起处理一起，确保处理及时、不留盲区。加强违禁饲料添加剂、兽药查处力度，严把生猪各流通环节的检验检疫关，认真做好屠宰场、市场检疫工作，对全市114家饲料生产、经营、使用企业是否存在使用违禁添加剂、假冒伪劣现象进行依法监督检查。</w:t>
      </w:r>
    </w:p>
    <w:p w14:paraId="50B68454">
      <w:pPr>
        <w:pStyle w:val="4"/>
        <w:bidi w:val="0"/>
        <w:rPr>
          <w:rFonts w:hint="eastAsia"/>
          <w:lang w:val="zh-CN"/>
        </w:rPr>
      </w:pPr>
      <w:r>
        <w:rPr>
          <w:rFonts w:hint="eastAsia"/>
          <w:lang w:val="zh-CN"/>
        </w:rPr>
        <w:t>【优化养殖业结构】</w:t>
      </w:r>
    </w:p>
    <w:p w14:paraId="25CFDBEA">
      <w:pPr>
        <w:bidi w:val="0"/>
        <w:rPr>
          <w:rFonts w:hint="eastAsia"/>
          <w:lang w:val="zh-CN"/>
        </w:rPr>
      </w:pPr>
      <w:r>
        <w:rPr>
          <w:rFonts w:hint="eastAsia"/>
          <w:lang w:val="zh-CN"/>
        </w:rPr>
        <w:t>2018年土猪存栏2056头，五黑鸡存栏1.87万只，鸽子存栏9918羽，蜜蜂养殖3096箱；全市黑颈龟等龟类养殖户380多户，在养殖鲟鱼、黄颡鱼和台湾泥鳅、鸭嘴鲟、缩骨鳙鱼等特种水产动物方面都取得较好效益。</w:t>
      </w:r>
    </w:p>
    <w:p w14:paraId="7BFEC36E">
      <w:pPr>
        <w:pStyle w:val="4"/>
        <w:bidi w:val="0"/>
        <w:rPr>
          <w:rFonts w:hint="eastAsia"/>
          <w:lang w:val="zh-CN"/>
        </w:rPr>
      </w:pPr>
      <w:r>
        <w:rPr>
          <w:rFonts w:hint="eastAsia"/>
          <w:lang w:val="zh-CN"/>
        </w:rPr>
        <w:t>【家禽畜类参保工作】</w:t>
      </w:r>
    </w:p>
    <w:p w14:paraId="7BC64B63">
      <w:pPr>
        <w:bidi w:val="0"/>
        <w:rPr>
          <w:rFonts w:hint="eastAsia"/>
          <w:lang w:val="zh-CN"/>
        </w:rPr>
      </w:pPr>
      <w:r>
        <w:rPr>
          <w:rFonts w:hint="eastAsia"/>
          <w:lang w:val="zh-CN"/>
        </w:rPr>
        <w:t>做好政策性能繁母猪、生猪、家禽参保工作。2018年完成能繁母猪投保3.09万头。</w:t>
      </w:r>
      <w:r>
        <w:rPr>
          <w:rFonts w:hint="eastAsia"/>
          <w:b/>
          <w:bCs/>
          <w:lang w:val="zh-CN"/>
        </w:rPr>
        <w:t>（李芳红）</w:t>
      </w:r>
    </w:p>
    <w:p w14:paraId="5D39D8B6">
      <w:pPr>
        <w:pStyle w:val="11"/>
        <w:bidi w:val="0"/>
        <w:rPr>
          <w:rFonts w:hint="eastAsia"/>
          <w:b/>
          <w:bCs/>
          <w:lang w:val="zh-CN"/>
        </w:rPr>
      </w:pPr>
      <w:r>
        <w:rPr>
          <w:rFonts w:hint="eastAsia"/>
          <w:b/>
          <w:bCs/>
          <w:lang w:val="zh-CN"/>
        </w:rPr>
        <w:t>附：2018年市畜牧局领导班子成员名单</w:t>
      </w:r>
    </w:p>
    <w:p w14:paraId="67156948">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张红华</w:t>
      </w:r>
    </w:p>
    <w:p w14:paraId="779D2028">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张帮生</w:t>
      </w:r>
    </w:p>
    <w:p w14:paraId="7B59C1B5">
      <w:pPr>
        <w:pStyle w:val="11"/>
        <w:bidi w:val="0"/>
        <w:ind w:leftChars="500"/>
        <w:rPr>
          <w:rFonts w:hint="eastAsia"/>
          <w:lang w:val="zh-CN"/>
        </w:rPr>
      </w:pPr>
      <w:r>
        <w:rPr>
          <w:rFonts w:hint="eastAsia"/>
          <w:lang w:val="zh-CN"/>
        </w:rPr>
        <w:t>张燕宏</w:t>
      </w:r>
    </w:p>
    <w:p w14:paraId="66D130C5">
      <w:pPr>
        <w:pStyle w:val="11"/>
        <w:bidi w:val="0"/>
        <w:rPr>
          <w:rFonts w:hint="eastAsia"/>
          <w:lang w:val="zh-CN"/>
        </w:rPr>
      </w:pPr>
      <w:r>
        <w:rPr>
          <w:rFonts w:hint="eastAsia"/>
          <w:b/>
          <w:bCs/>
          <w:lang w:val="zh-CN"/>
        </w:rPr>
        <w:t>工会主席：</w:t>
      </w:r>
      <w:r>
        <w:rPr>
          <w:rFonts w:hint="eastAsia"/>
          <w:lang w:val="zh-CN"/>
        </w:rPr>
        <w:t>龚金凤</w:t>
      </w:r>
    </w:p>
    <w:p w14:paraId="23138B20">
      <w:pPr>
        <w:pStyle w:val="11"/>
        <w:bidi w:val="0"/>
        <w:rPr>
          <w:rFonts w:hint="eastAsia"/>
          <w:lang w:val="zh-CN"/>
        </w:rPr>
      </w:pPr>
      <w:r>
        <w:rPr>
          <w:rFonts w:hint="eastAsia"/>
          <w:b/>
          <w:bCs/>
          <w:lang w:val="zh-CN"/>
        </w:rPr>
        <w:t>总畜牧兽医师：</w:t>
      </w:r>
      <w:r>
        <w:rPr>
          <w:rFonts w:hint="eastAsia"/>
          <w:lang w:val="zh-CN"/>
        </w:rPr>
        <w:t>谢俊兰</w:t>
      </w:r>
    </w:p>
    <w:p w14:paraId="6994848F">
      <w:pPr>
        <w:pStyle w:val="3"/>
        <w:bidi w:val="0"/>
        <w:rPr>
          <w:rFonts w:hint="eastAsia"/>
          <w:lang w:val="zh-CN"/>
        </w:rPr>
      </w:pPr>
      <w:r>
        <w:rPr>
          <w:rFonts w:hint="eastAsia"/>
          <w:lang w:val="zh-CN"/>
        </w:rPr>
        <w:t>农业机械化</w:t>
      </w:r>
    </w:p>
    <w:p w14:paraId="53804DD0">
      <w:pPr>
        <w:pStyle w:val="4"/>
        <w:bidi w:val="0"/>
        <w:rPr>
          <w:rFonts w:hint="eastAsia"/>
          <w:lang w:val="zh-CN"/>
        </w:rPr>
      </w:pPr>
      <w:r>
        <w:rPr>
          <w:rFonts w:hint="eastAsia"/>
          <w:lang w:val="zh-CN"/>
        </w:rPr>
        <w:t>【概况】</w:t>
      </w:r>
    </w:p>
    <w:p w14:paraId="1D4E9145">
      <w:pPr>
        <w:bidi w:val="0"/>
        <w:rPr>
          <w:rFonts w:hint="eastAsia"/>
          <w:lang w:val="zh-CN"/>
        </w:rPr>
      </w:pPr>
      <w:r>
        <w:rPr>
          <w:rFonts w:hint="eastAsia"/>
          <w:lang w:val="zh-CN"/>
        </w:rPr>
        <w:t>南雄市农机管理总站隶属市农业局，人员编制5名，2011年农机管理总站经省人力资源保障厅（粤人社函〔2011〕4189号）批复，定为参公单位，副科级事业单位，总站内设机构有：办公室、业务股。</w:t>
      </w:r>
    </w:p>
    <w:p w14:paraId="044ABF6F">
      <w:pPr>
        <w:pStyle w:val="4"/>
        <w:bidi w:val="0"/>
        <w:rPr>
          <w:rFonts w:hint="eastAsia"/>
          <w:lang w:val="zh-CN"/>
        </w:rPr>
      </w:pPr>
      <w:r>
        <w:rPr>
          <w:rFonts w:hint="eastAsia"/>
          <w:lang w:val="zh-CN"/>
        </w:rPr>
        <w:t>【农机作业服务组织】</w:t>
      </w:r>
    </w:p>
    <w:p w14:paraId="1458F320">
      <w:pPr>
        <w:bidi w:val="0"/>
        <w:rPr>
          <w:rFonts w:hint="eastAsia"/>
          <w:lang w:val="zh-CN"/>
        </w:rPr>
      </w:pPr>
      <w:r>
        <w:rPr>
          <w:rFonts w:hint="eastAsia"/>
          <w:lang w:val="zh-CN"/>
        </w:rPr>
        <w:t>2018年，全市农机户3.08万户，其中农机服务专业户1142户，专业户占农机户3.7%。全市农机维修网点78个，农机配件供应网点25个，基本覆盖全市17个镇、1个街道办事处；各类农机经纪人、农机大户、农机经营户在农业生产中发挥着应有作用，全市形成以农机销售、农机维修大户为依托，农机户为基础的农机社会服务体系，为全市农村、农业、农民开展耕、种、收、运等多项农业化作业提供优质、廉价服务，促进农业机械化发展，并且获取经济效益。2018年全市农机从业人员5082人，对比2017年4438人，增加644人，其中拖拉机驾驶员增加112人。2018年全市农机服务总收入5100万元，其中农机作业服务收入1800万元。</w:t>
      </w:r>
    </w:p>
    <w:p w14:paraId="70E8B1DD">
      <w:pPr>
        <w:pStyle w:val="4"/>
        <w:bidi w:val="0"/>
        <w:rPr>
          <w:rFonts w:hint="eastAsia"/>
          <w:lang w:val="zh-CN"/>
        </w:rPr>
      </w:pPr>
      <w:r>
        <w:rPr>
          <w:rFonts w:hint="eastAsia"/>
          <w:lang w:val="zh-CN"/>
        </w:rPr>
        <w:t>【农业机械拥有量】</w:t>
      </w:r>
    </w:p>
    <w:p w14:paraId="24920982">
      <w:pPr>
        <w:bidi w:val="0"/>
        <w:rPr>
          <w:rFonts w:hint="eastAsia"/>
          <w:lang w:val="zh-CN"/>
        </w:rPr>
      </w:pPr>
      <w:r>
        <w:rPr>
          <w:rFonts w:hint="eastAsia"/>
          <w:lang w:val="zh-CN"/>
        </w:rPr>
        <w:t>2018年，农业机械总动力为45.25万千瓦（包括：柴油发动机动力39.13万千瓦，汽油发动机动力0.39万千瓦，电动机动力5.74万千瓦）。其中，拖拉机2.3万台、18.08万千瓦；耕整机0.12万台（套），1.58万千瓦；微耕机0.11万台（套），1.36万千瓦；水泵排灌机械1.05万台；机动植保机0.97万台，0.25万千瓦；谷物联合收割机0.12万台，3.43万千瓦；机动脱粒机3.01万台，9.27万千瓦；农产品初加工动力机械3805台，3.57万千瓦；畜牧加工机械设备2155台（套），1.72万千瓦；水产养殖机械9250台，4362千瓦；农田基本建设机械258台，1.3万千瓦；水稻插秧机825台，465千瓦；干燥机械23台，260千瓦；花生收获机2台，75千瓦。</w:t>
      </w:r>
    </w:p>
    <w:p w14:paraId="459F598A">
      <w:pPr>
        <w:pStyle w:val="4"/>
        <w:bidi w:val="0"/>
        <w:rPr>
          <w:rFonts w:hint="eastAsia"/>
          <w:lang w:val="zh-CN"/>
        </w:rPr>
      </w:pPr>
      <w:r>
        <w:rPr>
          <w:rFonts w:hint="eastAsia"/>
          <w:lang w:val="zh-CN"/>
        </w:rPr>
        <w:t>【农机化生产情况】</w:t>
      </w:r>
    </w:p>
    <w:p w14:paraId="6DA14F87">
      <w:pPr>
        <w:bidi w:val="0"/>
        <w:rPr>
          <w:rFonts w:hint="eastAsia"/>
          <w:lang w:val="zh-CN"/>
        </w:rPr>
      </w:pPr>
      <w:r>
        <w:rPr>
          <w:rFonts w:hint="eastAsia"/>
          <w:lang w:val="zh-CN"/>
        </w:rPr>
        <w:t>全市完成农作物播种面积5.71万公顷，机耕面积5.69万公顷，机耕率99.78%；机播面积3366.3公顷，机播率5.90%；机收面积3.54万公顷，机收率62.08%；耕种收综合化机械水平60.31%，与2017年同期对比增加0.48个百分点。</w:t>
      </w:r>
    </w:p>
    <w:p w14:paraId="591B79B3">
      <w:pPr>
        <w:pStyle w:val="4"/>
        <w:bidi w:val="0"/>
        <w:rPr>
          <w:rFonts w:hint="eastAsia"/>
          <w:lang w:val="zh-CN"/>
        </w:rPr>
      </w:pPr>
      <w:r>
        <w:rPr>
          <w:rFonts w:hint="eastAsia"/>
          <w:lang w:val="zh-CN"/>
        </w:rPr>
        <w:t>【农机购置补贴】</w:t>
      </w:r>
    </w:p>
    <w:p w14:paraId="1AA20F48">
      <w:pPr>
        <w:bidi w:val="0"/>
        <w:rPr>
          <w:rFonts w:hint="eastAsia"/>
          <w:lang w:val="zh-CN"/>
        </w:rPr>
      </w:pPr>
      <w:r>
        <w:rPr>
          <w:rFonts w:hint="eastAsia"/>
          <w:lang w:val="zh-CN"/>
        </w:rPr>
        <w:t>2018年，市农机管理总站争取中央财政农机购置补贴资金250万元，《广东省2018年—2020年中央财政农业机械购置补贴实施方案》落实到位，农民群众购机热情高涨。办理各类型农机具213台，受益农户172户，加快农业机械化发展步伐。</w:t>
      </w:r>
    </w:p>
    <w:p w14:paraId="08D9226A">
      <w:pPr>
        <w:pStyle w:val="4"/>
        <w:bidi w:val="0"/>
        <w:rPr>
          <w:rFonts w:hint="eastAsia"/>
          <w:lang w:val="zh-CN"/>
        </w:rPr>
      </w:pPr>
      <w:r>
        <w:rPr>
          <w:rFonts w:hint="eastAsia"/>
          <w:lang w:val="zh-CN"/>
        </w:rPr>
        <w:t>【农机化管理情况】</w:t>
      </w:r>
    </w:p>
    <w:p w14:paraId="4E1DF162">
      <w:pPr>
        <w:bidi w:val="0"/>
        <w:rPr>
          <w:rFonts w:hint="eastAsia"/>
          <w:lang w:val="zh-CN"/>
        </w:rPr>
      </w:pPr>
      <w:r>
        <w:rPr>
          <w:rFonts w:hint="eastAsia"/>
          <w:lang w:val="zh-CN"/>
        </w:rPr>
        <w:t>全市农机培训215人次，其中培训农机管理人员41人，培训农机技术人员62人，培训农机操作人员112人次；维修各类拖拉机8656台次、联合收割机108台次、运输机械1366台次。全年无重特大农机事故发生。</w:t>
      </w:r>
    </w:p>
    <w:p w14:paraId="0ED1CE62">
      <w:pPr>
        <w:pStyle w:val="4"/>
        <w:bidi w:val="0"/>
        <w:rPr>
          <w:rFonts w:hint="eastAsia"/>
          <w:lang w:val="zh-CN"/>
        </w:rPr>
      </w:pPr>
      <w:r>
        <w:rPr>
          <w:rFonts w:hint="eastAsia"/>
          <w:lang w:val="zh-CN"/>
        </w:rPr>
        <w:t>【农机安全监理工作】</w:t>
      </w:r>
    </w:p>
    <w:p w14:paraId="12085541">
      <w:pPr>
        <w:bidi w:val="0"/>
        <w:rPr>
          <w:rFonts w:hint="eastAsia"/>
          <w:lang w:val="zh-CN"/>
        </w:rPr>
      </w:pPr>
      <w:r>
        <w:rPr>
          <w:rFonts w:hint="eastAsia"/>
          <w:lang w:val="zh-CN"/>
        </w:rPr>
        <w:t>2018年注册上牌入户拖拉机27台、收割机63台。同时，市农机管理总站联合市公安交警部门开展拖拉机道路交通联合执法工作，确保农机安全生产。</w:t>
      </w:r>
    </w:p>
    <w:p w14:paraId="2022A926">
      <w:pPr>
        <w:bidi w:val="0"/>
        <w:jc w:val="right"/>
        <w:rPr>
          <w:rFonts w:hint="eastAsia"/>
          <w:b/>
          <w:bCs/>
          <w:lang w:val="zh-CN"/>
        </w:rPr>
      </w:pPr>
      <w:r>
        <w:rPr>
          <w:rFonts w:hint="eastAsia"/>
          <w:b/>
          <w:bCs/>
          <w:lang w:val="zh-CN"/>
        </w:rPr>
        <w:t>（林雄明）</w:t>
      </w:r>
    </w:p>
    <w:p w14:paraId="00C81EF2">
      <w:pPr>
        <w:pStyle w:val="11"/>
        <w:bidi w:val="0"/>
        <w:rPr>
          <w:rFonts w:hint="eastAsia"/>
          <w:b/>
          <w:bCs/>
          <w:lang w:val="zh-CN"/>
        </w:rPr>
      </w:pPr>
      <w:r>
        <w:rPr>
          <w:rFonts w:hint="eastAsia"/>
          <w:b/>
          <w:bCs/>
          <w:lang w:val="zh-CN"/>
        </w:rPr>
        <w:t>附：2018年市农机管理总站领导班子成员名单</w:t>
      </w:r>
    </w:p>
    <w:p w14:paraId="1F7DF2F4">
      <w:pPr>
        <w:pStyle w:val="11"/>
        <w:bidi w:val="0"/>
        <w:rPr>
          <w:rFonts w:hint="eastAsia"/>
          <w:lang w:val="zh-CN"/>
        </w:rPr>
      </w:pPr>
      <w:r>
        <w:rPr>
          <w:rFonts w:hint="eastAsia"/>
          <w:b/>
          <w:bCs/>
          <w:lang w:val="zh-CN"/>
        </w:rPr>
        <w:t>总站站长：</w:t>
      </w:r>
      <w:r>
        <w:rPr>
          <w:rFonts w:hint="eastAsia"/>
          <w:lang w:val="zh-CN"/>
        </w:rPr>
        <w:t>肖开林（2月任职）</w:t>
      </w:r>
    </w:p>
    <w:p w14:paraId="05F5D058">
      <w:pPr>
        <w:pStyle w:val="11"/>
        <w:bidi w:val="0"/>
        <w:ind w:leftChars="500"/>
        <w:rPr>
          <w:rFonts w:hint="eastAsia"/>
          <w:lang w:val="zh-CN"/>
        </w:rPr>
      </w:pPr>
      <w:r>
        <w:rPr>
          <w:rFonts w:hint="eastAsia"/>
          <w:lang w:val="zh-CN"/>
        </w:rPr>
        <w:t>叶东霞（任至2月）</w:t>
      </w:r>
    </w:p>
    <w:p w14:paraId="280D47A4">
      <w:pPr>
        <w:pStyle w:val="3"/>
        <w:bidi w:val="0"/>
        <w:rPr>
          <w:rFonts w:hint="eastAsia"/>
          <w:lang w:val="zh-CN"/>
        </w:rPr>
      </w:pPr>
      <w:r>
        <w:rPr>
          <w:rFonts w:hint="eastAsia"/>
          <w:lang w:val="zh-CN"/>
        </w:rPr>
        <w:t>林业</w:t>
      </w:r>
    </w:p>
    <w:p w14:paraId="5A6009E4">
      <w:pPr>
        <w:pStyle w:val="4"/>
        <w:bidi w:val="0"/>
        <w:rPr>
          <w:rFonts w:hint="eastAsia"/>
          <w:lang w:val="zh-CN"/>
        </w:rPr>
      </w:pPr>
      <w:r>
        <w:rPr>
          <w:rFonts w:hint="eastAsia"/>
          <w:lang w:val="zh-CN"/>
        </w:rPr>
        <w:t>【概况】</w:t>
      </w:r>
    </w:p>
    <w:p w14:paraId="342451AD">
      <w:pPr>
        <w:bidi w:val="0"/>
        <w:rPr>
          <w:rFonts w:hint="eastAsia"/>
          <w:lang w:val="zh-CN"/>
        </w:rPr>
      </w:pPr>
      <w:r>
        <w:rPr>
          <w:rFonts w:hint="eastAsia"/>
          <w:lang w:val="zh-CN"/>
        </w:rPr>
        <w:t>2018年，南雄市森林面积15.9万公顷，森林资源覆盖率65.28%，森林资源蓄积量达948.4万立方米。建设有青嶂山、小流坑、瀑布、孔江、帽子峰、梅关、珠玑、雄州、苍石寨、观音山、云峰山、竹蒿坑等22个森林公园、2个湿地公园、4个自然保护区，总面积3.31万公顷，占南雄国土面积14.19%。</w:t>
      </w:r>
    </w:p>
    <w:p w14:paraId="66F18393">
      <w:pPr>
        <w:bidi w:val="0"/>
        <w:rPr>
          <w:rFonts w:hint="eastAsia"/>
          <w:lang w:val="zh-CN"/>
        </w:rPr>
      </w:pPr>
      <w:r>
        <w:rPr>
          <w:rFonts w:hint="eastAsia"/>
          <w:lang w:val="zh-CN"/>
        </w:rPr>
        <w:t>南雄林业工作在2018年全省森林资源保护和发展目标责任制考核成绩突出，获广东省通报表扬。</w:t>
      </w:r>
    </w:p>
    <w:p w14:paraId="345EED7E">
      <w:pPr>
        <w:pStyle w:val="4"/>
        <w:bidi w:val="0"/>
        <w:rPr>
          <w:rFonts w:hint="eastAsia"/>
          <w:lang w:val="zh-CN"/>
        </w:rPr>
      </w:pPr>
      <w:r>
        <w:rPr>
          <w:rFonts w:hint="eastAsia"/>
          <w:lang w:val="zh-CN"/>
        </w:rPr>
        <w:t>【重点工程建设】</w:t>
      </w:r>
    </w:p>
    <w:p w14:paraId="3701DA8C">
      <w:pPr>
        <w:bidi w:val="0"/>
        <w:rPr>
          <w:rFonts w:hint="eastAsia"/>
          <w:lang w:val="zh-CN"/>
        </w:rPr>
      </w:pPr>
      <w:r>
        <w:rPr>
          <w:rFonts w:hint="eastAsia"/>
          <w:lang w:val="zh-CN"/>
        </w:rPr>
        <w:t>2018年完成森林碳汇造林工程973.33公顷，占韶关市碳汇造林总面积30%；完成景色景观带建设任务200公顷，对赣韶铁路、韶赣高速和国道323线两侧的道路景观进行完善提升，种植观花、彩叶树种26.67公顷、梅树6.67公顷，完成166.67公顷抚育；完成全市31个省定贫困村乡村绿化美化建设任务；完成对雄州森林公园的景观改造提升，打造“四季常绿，处处成景”的城市生态森林公园；对国道323线珠玑段左侧4.5千米道路景观进行绿化，结合全市国省道路绿化工程的开展，打造一条宽10米的道路景观带。</w:t>
      </w:r>
    </w:p>
    <w:p w14:paraId="0CF0FA1C">
      <w:pPr>
        <w:pStyle w:val="4"/>
        <w:bidi w:val="0"/>
        <w:rPr>
          <w:rFonts w:hint="eastAsia"/>
          <w:lang w:val="zh-CN"/>
        </w:rPr>
      </w:pPr>
      <w:r>
        <w:rPr>
          <w:rFonts w:hint="eastAsia"/>
          <w:lang w:val="zh-CN"/>
        </w:rPr>
        <w:t>【森林抚育】</w:t>
      </w:r>
    </w:p>
    <w:p w14:paraId="6C4EDAEC">
      <w:pPr>
        <w:bidi w:val="0"/>
        <w:rPr>
          <w:rFonts w:hint="eastAsia"/>
          <w:lang w:val="zh-CN"/>
        </w:rPr>
      </w:pPr>
      <w:r>
        <w:rPr>
          <w:rFonts w:hint="eastAsia"/>
          <w:lang w:val="zh-CN"/>
        </w:rPr>
        <w:t>2018年全面完成森林抚育任务6286.67公顷，其中中央森林抚育4666.67公顷、省级森林碳汇抚育1620公顷，项目建设资金1131.31万元。</w:t>
      </w:r>
    </w:p>
    <w:p w14:paraId="2324BD0C">
      <w:pPr>
        <w:pStyle w:val="4"/>
        <w:bidi w:val="0"/>
        <w:rPr>
          <w:rFonts w:hint="eastAsia"/>
          <w:lang w:val="zh-CN"/>
        </w:rPr>
      </w:pPr>
      <w:r>
        <w:rPr>
          <w:rFonts w:hint="eastAsia"/>
          <w:lang w:val="zh-CN"/>
        </w:rPr>
        <w:t>【义务植树活动】</w:t>
      </w:r>
    </w:p>
    <w:p w14:paraId="157A8659">
      <w:pPr>
        <w:bidi w:val="0"/>
        <w:rPr>
          <w:rFonts w:hint="eastAsia"/>
          <w:lang w:val="zh-CN"/>
        </w:rPr>
      </w:pPr>
      <w:r>
        <w:rPr>
          <w:rFonts w:hint="eastAsia"/>
          <w:lang w:val="zh-CN"/>
        </w:rPr>
        <w:t>全市参与义务植树人数23.11万人，种植桂花、香樟、银杏等各类观花彩叶树种69.33万余株（按74株/亩计，折算造林面积0.93万亩），义务植树尽责率、建卡率均达100%。</w:t>
      </w:r>
    </w:p>
    <w:p w14:paraId="46EFAA18">
      <w:pPr>
        <w:pStyle w:val="4"/>
        <w:bidi w:val="0"/>
        <w:rPr>
          <w:rFonts w:hint="eastAsia"/>
          <w:lang w:val="zh-CN"/>
        </w:rPr>
      </w:pPr>
      <w:r>
        <w:rPr>
          <w:rFonts w:hint="eastAsia"/>
          <w:lang w:val="zh-CN"/>
        </w:rPr>
        <w:t>【林木采伐管理】</w:t>
      </w:r>
    </w:p>
    <w:p w14:paraId="4FF92C94">
      <w:pPr>
        <w:bidi w:val="0"/>
        <w:rPr>
          <w:rFonts w:hint="eastAsia"/>
          <w:lang w:val="zh-CN"/>
        </w:rPr>
      </w:pPr>
      <w:r>
        <w:rPr>
          <w:rFonts w:hint="eastAsia"/>
          <w:lang w:val="zh-CN"/>
        </w:rPr>
        <w:t>2018年，对林木采伐加强管理，审批99个采伐伐区，采伐面积317.75公顷，采伐蓄积2.04万立方米。</w:t>
      </w:r>
    </w:p>
    <w:p w14:paraId="0B1FC966">
      <w:pPr>
        <w:pStyle w:val="4"/>
        <w:bidi w:val="0"/>
        <w:rPr>
          <w:rFonts w:hint="eastAsia"/>
          <w:lang w:val="zh-CN"/>
        </w:rPr>
      </w:pPr>
      <w:r>
        <w:rPr>
          <w:rFonts w:hint="eastAsia"/>
          <w:lang w:val="zh-CN"/>
        </w:rPr>
        <w:t>【林地资源管理】</w:t>
      </w:r>
    </w:p>
    <w:p w14:paraId="60595FDA">
      <w:pPr>
        <w:bidi w:val="0"/>
        <w:rPr>
          <w:rFonts w:hint="eastAsia"/>
          <w:lang w:val="zh-CN"/>
        </w:rPr>
      </w:pPr>
      <w:r>
        <w:rPr>
          <w:rFonts w:hint="eastAsia"/>
          <w:lang w:val="zh-CN"/>
        </w:rPr>
        <w:t>征占用林地林办理4宗，面积2.2公顷，植被恢复费60.46万元，为林业生产服务征占用林地亦严格按照林业的有关法律、法规进行审批。同时加强非法采石、取土、采矿的巡查和督察工作。</w:t>
      </w:r>
    </w:p>
    <w:p w14:paraId="3316D0E7">
      <w:pPr>
        <w:pStyle w:val="4"/>
        <w:bidi w:val="0"/>
        <w:rPr>
          <w:rFonts w:hint="eastAsia"/>
          <w:lang w:val="zh-CN"/>
        </w:rPr>
      </w:pPr>
      <w:r>
        <w:rPr>
          <w:rFonts w:hint="eastAsia"/>
          <w:lang w:val="zh-CN"/>
        </w:rPr>
        <w:t>【野生动物保护】</w:t>
      </w:r>
    </w:p>
    <w:p w14:paraId="47AAC638">
      <w:pPr>
        <w:bidi w:val="0"/>
        <w:rPr>
          <w:rFonts w:hint="eastAsia"/>
          <w:lang w:val="zh-CN"/>
        </w:rPr>
      </w:pPr>
      <w:r>
        <w:rPr>
          <w:rFonts w:hint="eastAsia"/>
          <w:lang w:val="zh-CN"/>
        </w:rPr>
        <w:t>2018年，通过“清网行动”“候鸟迁徙”管理等措施，加大野生动物保护和管理，办理8宗“三有”和省重点野生动物驯养繁殖备案工作。</w:t>
      </w:r>
    </w:p>
    <w:p w14:paraId="5F06AC7B">
      <w:pPr>
        <w:pStyle w:val="4"/>
        <w:bidi w:val="0"/>
        <w:rPr>
          <w:rFonts w:hint="eastAsia"/>
          <w:lang w:val="zh-CN"/>
        </w:rPr>
      </w:pPr>
      <w:r>
        <w:rPr>
          <w:rFonts w:hint="eastAsia"/>
          <w:lang w:val="zh-CN"/>
        </w:rPr>
        <w:t>【扫黑除恶专项斗争行动】</w:t>
      </w:r>
    </w:p>
    <w:p w14:paraId="33DEEA19">
      <w:pPr>
        <w:bidi w:val="0"/>
        <w:rPr>
          <w:rFonts w:hint="eastAsia"/>
          <w:lang w:val="zh-CN"/>
        </w:rPr>
      </w:pPr>
      <w:r>
        <w:rPr>
          <w:rFonts w:hint="eastAsia"/>
          <w:lang w:val="zh-CN"/>
        </w:rPr>
        <w:t>立案查处各类森林案件82宗，其中刑事案件立案20宗，破案12宗；林业行政案件立案62宗，查处57宗，涉林治安案件立案查处4宗。查处违法单位9个，违法人员152人次，其中刑事拘留12人次，取保候审2人次，逮捕3人次，移送起诉21人次，行政拘留4人次，行政处罚110人次。</w:t>
      </w:r>
    </w:p>
    <w:p w14:paraId="4C43D37D">
      <w:pPr>
        <w:pStyle w:val="4"/>
        <w:bidi w:val="0"/>
        <w:rPr>
          <w:rFonts w:hint="eastAsia"/>
          <w:lang w:val="zh-CN"/>
        </w:rPr>
      </w:pPr>
      <w:r>
        <w:rPr>
          <w:rFonts w:hint="eastAsia"/>
          <w:lang w:val="zh-CN"/>
        </w:rPr>
        <w:t>【森林防火】</w:t>
      </w:r>
    </w:p>
    <w:p w14:paraId="71B5BEDF">
      <w:pPr>
        <w:bidi w:val="0"/>
        <w:rPr>
          <w:rFonts w:hint="eastAsia"/>
          <w:lang w:val="zh-CN"/>
        </w:rPr>
      </w:pPr>
      <w:r>
        <w:rPr>
          <w:rFonts w:hint="eastAsia"/>
          <w:lang w:val="zh-CN"/>
        </w:rPr>
        <w:t>清明节期间，实行“市领导包镇、镇干部包村、村干部包山头路口”森林防火工作机制，防火期期间市委成立9个督导组到各镇（街道）进行森林防火工作督导检查，林业局组织工作人员到各挂点镇进行防火工作检查，各镇（街道）设立临时性森林防火检查站107个，加强对进入森林防火区人员和车辆进行防火宣传和火源检查。</w:t>
      </w:r>
    </w:p>
    <w:p w14:paraId="32062919">
      <w:pPr>
        <w:pStyle w:val="4"/>
        <w:bidi w:val="0"/>
        <w:rPr>
          <w:rFonts w:hint="eastAsia"/>
          <w:lang w:val="zh-CN"/>
        </w:rPr>
      </w:pPr>
      <w:r>
        <w:rPr>
          <w:rFonts w:hint="eastAsia"/>
          <w:lang w:val="zh-CN"/>
        </w:rPr>
        <w:t>【古树名木管护】</w:t>
      </w:r>
    </w:p>
    <w:p w14:paraId="4F814D8A">
      <w:pPr>
        <w:bidi w:val="0"/>
        <w:rPr>
          <w:rFonts w:hint="eastAsia"/>
          <w:lang w:val="zh-CN"/>
        </w:rPr>
      </w:pPr>
      <w:r>
        <w:rPr>
          <w:rFonts w:hint="eastAsia"/>
          <w:lang w:val="zh-CN"/>
        </w:rPr>
        <w:t>2018年，全市建档古树名木2114株，其中：一级古树89株、二级古树368株、三级古树1657株；林业局与南雄市古树名木保护协会完成百顺红豆杉王、帽子峰楠木王、南亩罗汉松王、南亩樟树王、坪田阳元银杏、油山银杏王，以及澜河楠木群、雄州幸福社区雅榕等13株古树抢救复壮保护管理工作；与南雄市古树名木保护协会联合建立“南雄市古树名木网络认养”网址，引入迅雷直播公司捐资2.48万元认养老城区金叶桥头雅榕一株；向省林业局申报主田香草世界森林公园为南雄市国家“互联网+全民义务植树”基地，申报帽子峰镇洞头村、珠玑镇叟里元村、南亩镇鱼仙村、坪田镇迳洞村、坪田镇新圩村等5个村为“广东绿美古树乡村”。</w:t>
      </w:r>
    </w:p>
    <w:p w14:paraId="0E599386">
      <w:pPr>
        <w:pStyle w:val="4"/>
        <w:bidi w:val="0"/>
        <w:rPr>
          <w:rFonts w:hint="eastAsia"/>
          <w:lang w:val="zh-CN"/>
        </w:rPr>
      </w:pPr>
      <w:r>
        <w:rPr>
          <w:rFonts w:hint="eastAsia"/>
          <w:lang w:val="zh-CN"/>
        </w:rPr>
        <w:t>【林科所】</w:t>
      </w:r>
    </w:p>
    <w:p w14:paraId="2FFF8D13">
      <w:pPr>
        <w:bidi w:val="0"/>
        <w:rPr>
          <w:rFonts w:hint="eastAsia"/>
          <w:lang w:val="zh-CN"/>
        </w:rPr>
      </w:pPr>
      <w:r>
        <w:rPr>
          <w:rFonts w:hint="eastAsia"/>
          <w:lang w:val="zh-CN"/>
        </w:rPr>
        <w:t>2018年，林科所完成苗木培育生产14.67公顷，新增苗木培育面积1.33公顷，培育各类苗木达200多万株，并根据省厅及市林业局营林对南雄市林业重点生态工程造林苗木的规格提出新培育标准和要求，及时在苗木生产和苗木种类上做出培育方面的技术要求，为南雄市2019年各项林业重点生态工程造林提供优质壮苗奠定基础，培育苗木有：枫香60万株、木荷50万株，香樟、杜英各10万株，火力楠、红锥各6万株，闽楠5万株，其他黄花风铃木、黄金香柳、红花木莲、美花红千层等园林绿化苗木50多万株。2018年，在科技应用推广项目方面，林科所配合广东省林业科学院、华南农业大学、南京林业大学进行景观树种在粤北地区引种、繁育调研工作。同时，林科所着眼于苗木市场需求做好市场调查，并根据主管部门部署，做好来年苗木生产规划和培育工作，计划从苗木品质上、品种上作规划，并在科研方面有所提升。</w:t>
      </w:r>
      <w:r>
        <w:rPr>
          <w:rFonts w:hint="eastAsia"/>
          <w:b/>
          <w:bCs/>
          <w:lang w:val="zh-CN"/>
        </w:rPr>
        <w:t>（陈</w:t>
      </w:r>
      <w:r>
        <w:rPr>
          <w:rFonts w:hint="eastAsia"/>
          <w:b/>
          <w:bCs/>
          <w:lang w:val="en-US" w:eastAsia="zh-CN"/>
        </w:rPr>
        <w:t xml:space="preserve">  </w:t>
      </w:r>
      <w:r>
        <w:rPr>
          <w:rFonts w:hint="eastAsia"/>
          <w:b/>
          <w:bCs/>
          <w:lang w:val="zh-CN"/>
        </w:rPr>
        <w:t>帆）</w:t>
      </w:r>
    </w:p>
    <w:p w14:paraId="6AAB6F39">
      <w:pPr>
        <w:pStyle w:val="11"/>
        <w:bidi w:val="0"/>
        <w:rPr>
          <w:rFonts w:hint="eastAsia"/>
          <w:b/>
          <w:bCs/>
          <w:lang w:val="zh-CN"/>
        </w:rPr>
      </w:pPr>
      <w:r>
        <w:rPr>
          <w:rFonts w:hint="eastAsia"/>
          <w:b/>
          <w:bCs/>
          <w:lang w:val="zh-CN"/>
        </w:rPr>
        <w:t>附：2018年市林业局领导班子成员名单</w:t>
      </w:r>
    </w:p>
    <w:p w14:paraId="5C667CEB">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何少波</w:t>
      </w:r>
    </w:p>
    <w:p w14:paraId="58760909">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刘伟凡</w:t>
      </w:r>
      <w:r>
        <w:rPr>
          <w:rFonts w:hint="eastAsia"/>
          <w:lang w:val="en-US" w:eastAsia="zh-CN"/>
        </w:rPr>
        <w:t xml:space="preserve">   </w:t>
      </w:r>
      <w:r>
        <w:rPr>
          <w:rFonts w:hint="eastAsia"/>
          <w:lang w:val="zh-CN"/>
        </w:rPr>
        <w:t>钟小娟</w:t>
      </w:r>
    </w:p>
    <w:p w14:paraId="5ACE1C2C">
      <w:pPr>
        <w:pStyle w:val="11"/>
        <w:bidi w:val="0"/>
        <w:ind w:leftChars="500"/>
        <w:rPr>
          <w:rFonts w:hint="eastAsia"/>
          <w:lang w:val="zh-CN"/>
        </w:rPr>
      </w:pPr>
      <w:r>
        <w:rPr>
          <w:rFonts w:hint="eastAsia"/>
          <w:lang w:val="zh-CN"/>
        </w:rPr>
        <w:t>高韶金</w:t>
      </w:r>
    </w:p>
    <w:p w14:paraId="4A74840F">
      <w:pPr>
        <w:pStyle w:val="11"/>
        <w:bidi w:val="0"/>
        <w:rPr>
          <w:rFonts w:hint="eastAsia"/>
          <w:lang w:val="zh-CN"/>
        </w:rPr>
      </w:pPr>
      <w:r>
        <w:rPr>
          <w:rFonts w:hint="eastAsia"/>
          <w:b/>
          <w:bCs/>
          <w:lang w:val="zh-CN"/>
        </w:rPr>
        <w:t>工会主席：</w:t>
      </w:r>
      <w:r>
        <w:rPr>
          <w:rFonts w:hint="eastAsia"/>
          <w:lang w:val="zh-CN"/>
        </w:rPr>
        <w:t>喻瑶平</w:t>
      </w:r>
    </w:p>
    <w:p w14:paraId="62983FD0">
      <w:pPr>
        <w:pStyle w:val="3"/>
        <w:bidi w:val="0"/>
        <w:rPr>
          <w:rFonts w:hint="eastAsia"/>
          <w:lang w:val="zh-CN"/>
        </w:rPr>
      </w:pPr>
      <w:r>
        <w:rPr>
          <w:rFonts w:hint="eastAsia"/>
          <w:lang w:val="zh-CN"/>
        </w:rPr>
        <w:t>森林公安</w:t>
      </w:r>
    </w:p>
    <w:p w14:paraId="63E4B8EA">
      <w:pPr>
        <w:pStyle w:val="4"/>
        <w:bidi w:val="0"/>
        <w:rPr>
          <w:rFonts w:hint="eastAsia"/>
          <w:lang w:val="zh-CN"/>
        </w:rPr>
      </w:pPr>
      <w:r>
        <w:rPr>
          <w:rFonts w:hint="eastAsia"/>
          <w:lang w:val="zh-CN"/>
        </w:rPr>
        <w:t>【概况】</w:t>
      </w:r>
    </w:p>
    <w:p w14:paraId="7E72D99F">
      <w:pPr>
        <w:bidi w:val="0"/>
        <w:rPr>
          <w:rFonts w:hint="eastAsia"/>
          <w:lang w:val="zh-CN"/>
        </w:rPr>
      </w:pPr>
      <w:r>
        <w:rPr>
          <w:rFonts w:hint="eastAsia"/>
          <w:lang w:val="zh-CN"/>
        </w:rPr>
        <w:t>南雄市公安局森林分局为南雄市林业局直属行政单位的副科级单位，内设政秘股、法制股和治安股（加挂刑警队牌子）3个股（队），下设乌迳、水口和澜河3个派出所，编制32名，在编人员29名。主要职能是负责协调督促和查处破坏森林资源的各种刑事案件和治安案件。</w:t>
      </w:r>
    </w:p>
    <w:p w14:paraId="4E7D9FED">
      <w:pPr>
        <w:pStyle w:val="4"/>
        <w:bidi w:val="0"/>
        <w:rPr>
          <w:rFonts w:hint="eastAsia"/>
          <w:lang w:val="zh-CN"/>
        </w:rPr>
      </w:pPr>
      <w:r>
        <w:rPr>
          <w:rFonts w:hint="eastAsia"/>
          <w:lang w:val="zh-CN"/>
        </w:rPr>
        <w:t>【专项整治行动】</w:t>
      </w:r>
    </w:p>
    <w:p w14:paraId="671CE207">
      <w:pPr>
        <w:bidi w:val="0"/>
        <w:rPr>
          <w:rFonts w:hint="eastAsia"/>
          <w:lang w:val="zh-CN"/>
        </w:rPr>
      </w:pPr>
      <w:r>
        <w:rPr>
          <w:rFonts w:hint="eastAsia"/>
          <w:lang w:val="zh-CN"/>
        </w:rPr>
        <w:t>2018年，在全市开展“护林2018”“绿剑2018”“红线行动”等专项行动，加大对破坏森林资源违法犯罪行为的打击力度，林区治安秩序有明显好转，森林案件呈下降趋势。查处各类森林案件105宗，其中刑事案件26宗，林业行政案件74宗，涉林治安案件5宗，查处各类违法人员172人次，其中刑事拘留8人次，取保候审4人次，逮捕10人次，移送起诉15人次，行政处罚130人次，治安拘留5人次。</w:t>
      </w:r>
    </w:p>
    <w:p w14:paraId="7E5E2DD9">
      <w:pPr>
        <w:pStyle w:val="4"/>
        <w:bidi w:val="0"/>
        <w:rPr>
          <w:rFonts w:hint="eastAsia"/>
          <w:lang w:val="zh-CN"/>
        </w:rPr>
      </w:pPr>
      <w:r>
        <w:rPr>
          <w:rFonts w:hint="eastAsia"/>
          <w:lang w:val="zh-CN"/>
        </w:rPr>
        <w:t>【保护野生动物】</w:t>
      </w:r>
    </w:p>
    <w:p w14:paraId="5C4451A1">
      <w:pPr>
        <w:bidi w:val="0"/>
        <w:rPr>
          <w:rFonts w:hint="eastAsia"/>
          <w:lang w:val="zh-CN"/>
        </w:rPr>
      </w:pPr>
      <w:r>
        <w:rPr>
          <w:rFonts w:hint="eastAsia"/>
          <w:lang w:val="zh-CN"/>
        </w:rPr>
        <w:t>强化野生动物保护管理，出动森林公安民警1200人次，深入辖区18个乡镇，巡护自热保护地、野生动物活动区域98次。查处1宗行政案件（非法运输“三有”保护野生动物案），移送起诉1人次，行政处罚1人次，查获750只“三有”野生保护动物，清缴烧毁捕鸟网120余米，有效保护野生动物资源。</w:t>
      </w:r>
    </w:p>
    <w:p w14:paraId="54A7B901">
      <w:pPr>
        <w:pStyle w:val="4"/>
        <w:bidi w:val="0"/>
        <w:rPr>
          <w:rFonts w:hint="eastAsia"/>
          <w:lang w:val="zh-CN"/>
        </w:rPr>
      </w:pPr>
      <w:r>
        <w:rPr>
          <w:rFonts w:hint="eastAsia"/>
          <w:lang w:val="zh-CN"/>
        </w:rPr>
        <w:t>【山火案件查处】</w:t>
      </w:r>
    </w:p>
    <w:p w14:paraId="0A1E95A2">
      <w:pPr>
        <w:bidi w:val="0"/>
        <w:rPr>
          <w:rFonts w:hint="eastAsia"/>
          <w:lang w:val="zh-CN"/>
        </w:rPr>
      </w:pPr>
      <w:r>
        <w:rPr>
          <w:rFonts w:hint="eastAsia"/>
          <w:lang w:val="zh-CN"/>
        </w:rPr>
        <w:t>查处森林火灾刑事案件1宗、行政案件11宗、治安案件4宗，破获百顺镇尚睦村委会何屋村较有影响力的山火案件，有效遏制违规野外用火行为。通过深入开展专项行动，加强春节、元宵节、清明期间巡逻检查，有效防止因燃放孔明灯、烟花鞭炮引发的森林火灾，在接到火警情报时，采取第一时间赶赴现场调查取证，如实立案，严厉查处故意纵火和失火烧山行为。</w:t>
      </w:r>
    </w:p>
    <w:p w14:paraId="0A8F3E4E">
      <w:pPr>
        <w:pStyle w:val="4"/>
        <w:bidi w:val="0"/>
        <w:rPr>
          <w:rFonts w:hint="eastAsia"/>
          <w:lang w:val="zh-CN"/>
        </w:rPr>
      </w:pPr>
      <w:r>
        <w:rPr>
          <w:rFonts w:hint="eastAsia"/>
          <w:lang w:val="zh-CN"/>
        </w:rPr>
        <w:t>【基础设施建设】</w:t>
      </w:r>
    </w:p>
    <w:p w14:paraId="17B2069F">
      <w:pPr>
        <w:bidi w:val="0"/>
        <w:rPr>
          <w:rFonts w:hint="eastAsia"/>
          <w:lang w:val="zh-CN"/>
        </w:rPr>
      </w:pPr>
      <w:r>
        <w:rPr>
          <w:rFonts w:hint="eastAsia"/>
          <w:lang w:val="zh-CN"/>
        </w:rPr>
        <w:t>5月建成澜河镇派出所业务技术用房项目，于12月启用。为水口、乌迳派出所改造执法办案场所，购置电脑、打印机一批。</w:t>
      </w:r>
    </w:p>
    <w:p w14:paraId="4EC2BF4D">
      <w:pPr>
        <w:pStyle w:val="4"/>
        <w:bidi w:val="0"/>
        <w:rPr>
          <w:rFonts w:hint="eastAsia"/>
          <w:lang w:val="zh-CN"/>
        </w:rPr>
      </w:pPr>
      <w:r>
        <w:rPr>
          <w:rFonts w:hint="eastAsia"/>
          <w:lang w:val="zh-CN"/>
        </w:rPr>
        <w:t>【获得奖励】</w:t>
      </w:r>
    </w:p>
    <w:p w14:paraId="47B93D8E">
      <w:pPr>
        <w:bidi w:val="0"/>
        <w:rPr>
          <w:rFonts w:hint="eastAsia"/>
          <w:lang w:val="zh-CN"/>
        </w:rPr>
      </w:pPr>
      <w:r>
        <w:rPr>
          <w:rFonts w:hint="eastAsia"/>
          <w:lang w:val="zh-CN"/>
        </w:rPr>
        <w:t>2018年，4名民警获韶关市公安局森林分局个人嘉奖1次，4名民警获南雄市公安局先进个人1次。</w:t>
      </w:r>
    </w:p>
    <w:p w14:paraId="5994885C">
      <w:pPr>
        <w:bidi w:val="0"/>
        <w:jc w:val="right"/>
        <w:rPr>
          <w:rFonts w:hint="eastAsia"/>
          <w:b/>
          <w:bCs/>
          <w:lang w:val="zh-CN"/>
        </w:rPr>
      </w:pPr>
      <w:r>
        <w:rPr>
          <w:rFonts w:hint="eastAsia"/>
          <w:b/>
          <w:bCs/>
          <w:lang w:val="zh-CN"/>
        </w:rPr>
        <w:t>（何</w:t>
      </w:r>
      <w:r>
        <w:rPr>
          <w:rFonts w:hint="eastAsia"/>
          <w:b/>
          <w:bCs/>
          <w:lang w:val="en-US" w:eastAsia="zh-CN"/>
        </w:rPr>
        <w:t xml:space="preserve">  </w:t>
      </w:r>
      <w:r>
        <w:rPr>
          <w:rFonts w:hint="eastAsia"/>
          <w:b/>
          <w:bCs/>
          <w:lang w:val="zh-CN"/>
        </w:rPr>
        <w:t>柔）</w:t>
      </w:r>
    </w:p>
    <w:p w14:paraId="50565321">
      <w:pPr>
        <w:pStyle w:val="11"/>
        <w:bidi w:val="0"/>
        <w:rPr>
          <w:rFonts w:hint="eastAsia"/>
          <w:b/>
          <w:bCs/>
          <w:lang w:val="zh-CN"/>
        </w:rPr>
      </w:pPr>
      <w:r>
        <w:rPr>
          <w:rFonts w:hint="eastAsia"/>
          <w:b/>
          <w:bCs/>
          <w:lang w:val="zh-CN"/>
        </w:rPr>
        <w:t>附：2018年市森林公安分局领导班子成员名单</w:t>
      </w:r>
    </w:p>
    <w:p w14:paraId="7821E077">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徐立宏</w:t>
      </w:r>
    </w:p>
    <w:p w14:paraId="48A0DC91">
      <w:pPr>
        <w:pStyle w:val="11"/>
        <w:bidi w:val="0"/>
        <w:rPr>
          <w:rFonts w:hint="eastAsia"/>
          <w:lang w:val="zh-CN"/>
        </w:rPr>
      </w:pPr>
      <w:r>
        <w:rPr>
          <w:rFonts w:hint="eastAsia"/>
          <w:b/>
          <w:bCs/>
          <w:lang w:val="zh-CN"/>
        </w:rPr>
        <w:t>副局长：</w:t>
      </w:r>
      <w:r>
        <w:rPr>
          <w:rFonts w:hint="eastAsia"/>
          <w:lang w:val="zh-CN"/>
        </w:rPr>
        <w:t>曾矿雄</w:t>
      </w:r>
      <w:r>
        <w:rPr>
          <w:rFonts w:hint="eastAsia"/>
          <w:lang w:val="en-US" w:eastAsia="zh-CN"/>
        </w:rPr>
        <w:t xml:space="preserve">   </w:t>
      </w:r>
      <w:r>
        <w:rPr>
          <w:rFonts w:hint="eastAsia"/>
          <w:lang w:val="zh-CN"/>
        </w:rPr>
        <w:t>张文卿</w:t>
      </w:r>
    </w:p>
    <w:p w14:paraId="55B2D34B">
      <w:pPr>
        <w:pStyle w:val="3"/>
        <w:bidi w:val="0"/>
        <w:rPr>
          <w:rFonts w:hint="eastAsia"/>
          <w:lang w:val="zh-CN"/>
        </w:rPr>
      </w:pPr>
      <w:r>
        <w:rPr>
          <w:rFonts w:hint="eastAsia"/>
          <w:lang w:val="zh-CN"/>
        </w:rPr>
        <w:t>翠屏公司</w:t>
      </w:r>
    </w:p>
    <w:p w14:paraId="3BFCD246">
      <w:pPr>
        <w:pStyle w:val="4"/>
        <w:bidi w:val="0"/>
        <w:rPr>
          <w:rFonts w:hint="eastAsia"/>
          <w:lang w:val="zh-CN"/>
        </w:rPr>
      </w:pPr>
      <w:r>
        <w:rPr>
          <w:rFonts w:hint="eastAsia"/>
          <w:lang w:val="zh-CN"/>
        </w:rPr>
        <w:t>【概况】</w:t>
      </w:r>
    </w:p>
    <w:p w14:paraId="4116D15D">
      <w:pPr>
        <w:bidi w:val="0"/>
        <w:rPr>
          <w:rFonts w:hint="eastAsia"/>
          <w:lang w:val="zh-CN"/>
        </w:rPr>
      </w:pPr>
      <w:r>
        <w:rPr>
          <w:rFonts w:hint="eastAsia"/>
          <w:lang w:val="zh-CN"/>
        </w:rPr>
        <w:t>广东翠屏实业股份有限公司（以下简称翠屏公司）是由原南雄国营帽子峰林场全资改组，1994年6月由广东省体改委批准，并经广东省工商局登记注册的股份制有限公司，注册资本6878万元，于2011年8月正式划归韶关市工商局管理。</w:t>
      </w:r>
    </w:p>
    <w:p w14:paraId="0AADDF23">
      <w:pPr>
        <w:bidi w:val="0"/>
        <w:rPr>
          <w:rFonts w:hint="eastAsia"/>
          <w:lang w:val="zh-CN"/>
        </w:rPr>
      </w:pPr>
      <w:r>
        <w:rPr>
          <w:rFonts w:hint="eastAsia"/>
          <w:lang w:val="zh-CN"/>
        </w:rPr>
        <w:t>公司下设办公室、党办、财务部、资产部、人事部、生产部、销售部、电业公司、护林队、维修队、养路队，公司经营主要以林业、电业、旅游业为主。翠屏公司2018年有职工584人，其中在册人员264人，退休320人。</w:t>
      </w:r>
    </w:p>
    <w:p w14:paraId="12838B8D">
      <w:pPr>
        <w:pStyle w:val="4"/>
        <w:bidi w:val="0"/>
        <w:rPr>
          <w:rFonts w:hint="eastAsia"/>
          <w:lang w:val="zh-CN"/>
        </w:rPr>
      </w:pPr>
      <w:r>
        <w:rPr>
          <w:rFonts w:hint="eastAsia"/>
          <w:lang w:val="zh-CN"/>
        </w:rPr>
        <w:t>【林业方面】</w:t>
      </w:r>
    </w:p>
    <w:p w14:paraId="4B87AB35">
      <w:pPr>
        <w:bidi w:val="0"/>
        <w:rPr>
          <w:rFonts w:hint="eastAsia"/>
          <w:lang w:val="zh-CN"/>
        </w:rPr>
      </w:pPr>
      <w:r>
        <w:rPr>
          <w:rFonts w:hint="eastAsia"/>
          <w:lang w:val="zh-CN"/>
        </w:rPr>
        <w:t>2018年6月完成2017年度遗留木材销售，销售木材2875立方米，实现收入230.08万元。8月完成2018年销售木材指标3207立方米，实现木材收入293.88万元。2018年，南雄市政府下达帽子峰林场木材采伐指标为7200立方米，因自然保护区、森林公园划入一些近熟林而不能采伐；林场大门至场部以道路为中心，两边可视范围内的近熟林和过熟林因发展旅游也不能采伐，只能完成3207立方米的木材指标。营林抚育完成碳汇林抚育190.4公顷，使用中央财政专项资金32.56万元。</w:t>
      </w:r>
    </w:p>
    <w:p w14:paraId="71B3B783">
      <w:pPr>
        <w:pStyle w:val="4"/>
        <w:bidi w:val="0"/>
        <w:rPr>
          <w:rFonts w:hint="eastAsia"/>
          <w:lang w:val="zh-CN"/>
        </w:rPr>
      </w:pPr>
      <w:r>
        <w:rPr>
          <w:rFonts w:hint="eastAsia"/>
          <w:lang w:val="zh-CN"/>
        </w:rPr>
        <w:t>【水力发电】</w:t>
      </w:r>
    </w:p>
    <w:p w14:paraId="6D41A8DB">
      <w:pPr>
        <w:bidi w:val="0"/>
        <w:rPr>
          <w:rFonts w:hint="eastAsia"/>
          <w:lang w:val="zh-CN"/>
        </w:rPr>
      </w:pPr>
      <w:r>
        <w:rPr>
          <w:rFonts w:hint="eastAsia"/>
          <w:lang w:val="zh-CN"/>
        </w:rPr>
        <w:t>2018年，全市总体雨量偏少，同时各电站机组设备、线路老化，以及受多次台风影响，导致停机维修现象较多，水力发电收入约380.99万元，完成生产任务85%，同比上年减少约17%。</w:t>
      </w:r>
    </w:p>
    <w:p w14:paraId="5599DF4F">
      <w:pPr>
        <w:pStyle w:val="4"/>
        <w:bidi w:val="0"/>
        <w:rPr>
          <w:rFonts w:hint="eastAsia"/>
          <w:lang w:val="zh-CN"/>
        </w:rPr>
      </w:pPr>
      <w:r>
        <w:rPr>
          <w:rFonts w:hint="eastAsia"/>
          <w:lang w:val="zh-CN"/>
        </w:rPr>
        <w:t>【生态旅游】</w:t>
      </w:r>
    </w:p>
    <w:p w14:paraId="71C36D42">
      <w:pPr>
        <w:bidi w:val="0"/>
        <w:rPr>
          <w:rFonts w:hint="eastAsia"/>
          <w:lang w:val="zh-CN"/>
        </w:rPr>
      </w:pPr>
      <w:r>
        <w:rPr>
          <w:rFonts w:hint="eastAsia"/>
          <w:lang w:val="zh-CN"/>
        </w:rPr>
        <w:t>林场旅游收入主要集中在每年10-12月份，从上年10月份开始将林场旅游经营暂交给韶关丹雄巅峰旅游投资管理公司经营，并由该公司负责林场旅游运营一切工作。2018年接待游客15万多人次，实现旅游收入1000多万元。公司帽子峰林场旅游经营权经第三方中介机构进行评估价值约2.63亿元，招标方案已经市国资委、市府常务会、市委常务会会议审核通过，12月份完成挂网招标。</w:t>
      </w:r>
    </w:p>
    <w:p w14:paraId="391B0964">
      <w:pPr>
        <w:pStyle w:val="4"/>
        <w:bidi w:val="0"/>
        <w:rPr>
          <w:rFonts w:hint="eastAsia"/>
          <w:lang w:val="zh-CN"/>
        </w:rPr>
      </w:pPr>
      <w:r>
        <w:rPr>
          <w:rFonts w:hint="eastAsia"/>
          <w:lang w:val="zh-CN"/>
        </w:rPr>
        <w:t>【国有林场改革】</w:t>
      </w:r>
    </w:p>
    <w:p w14:paraId="0B4659A4">
      <w:pPr>
        <w:bidi w:val="0"/>
        <w:rPr>
          <w:rFonts w:hint="eastAsia"/>
          <w:lang w:val="zh-CN"/>
        </w:rPr>
      </w:pPr>
      <w:r>
        <w:rPr>
          <w:rFonts w:hint="eastAsia"/>
          <w:lang w:val="zh-CN"/>
        </w:rPr>
        <w:t>2018年1月，南雄市编委正式批复帽子峰林场改制为正股级公益一类事业单位（雄编〔2018〕2号文），核定编制10名，经费按财政补助一类拨付。6月4日，本市人社局批复帽子峰林场岗位设置方案（雄人社（事）〔2018〕4号文），设管理岗3个、技术岗4个、工勤岗3个。8月2日正式下达《南雄市人民政府关于实施南雄市国有林场改革实施细则的通知》（雄府函〔2018〕63号文），帽子峰林场国有林场改革开始真正意义上的实施，全体在册人员享受公益一类事业单位工资福利待遇，并纳入南雄市地方财政预算。</w:t>
      </w:r>
    </w:p>
    <w:p w14:paraId="2BF269E7">
      <w:pPr>
        <w:pStyle w:val="4"/>
        <w:bidi w:val="0"/>
        <w:rPr>
          <w:rFonts w:hint="eastAsia"/>
          <w:lang w:val="zh-CN"/>
        </w:rPr>
      </w:pPr>
      <w:r>
        <w:rPr>
          <w:rFonts w:hint="eastAsia"/>
          <w:lang w:val="zh-CN"/>
        </w:rPr>
        <w:t>【大流坑大坝除险加固】</w:t>
      </w:r>
    </w:p>
    <w:p w14:paraId="58FA6165">
      <w:pPr>
        <w:bidi w:val="0"/>
        <w:rPr>
          <w:rFonts w:hint="eastAsia"/>
          <w:lang w:val="zh-CN"/>
        </w:rPr>
      </w:pPr>
      <w:r>
        <w:rPr>
          <w:rFonts w:hint="eastAsia"/>
          <w:lang w:val="zh-CN"/>
        </w:rPr>
        <w:t>公司帽子峰林场大流坑大坝除险加固工程招标完成，工程预算资金300万元，采用EPC模式，纳入市财政项目库，施工单位、监理单位已进场实施，预计2019年5月底完成。</w:t>
      </w:r>
    </w:p>
    <w:p w14:paraId="4A2B2681">
      <w:pPr>
        <w:pStyle w:val="4"/>
        <w:bidi w:val="0"/>
        <w:rPr>
          <w:rFonts w:hint="eastAsia"/>
          <w:lang w:val="zh-CN"/>
        </w:rPr>
      </w:pPr>
      <w:r>
        <w:rPr>
          <w:rFonts w:hint="eastAsia"/>
          <w:lang w:val="zh-CN"/>
        </w:rPr>
        <w:t>【董事会】</w:t>
      </w:r>
    </w:p>
    <w:p w14:paraId="5E63DEB8">
      <w:pPr>
        <w:bidi w:val="0"/>
        <w:rPr>
          <w:rFonts w:hint="eastAsia"/>
          <w:lang w:val="zh-CN"/>
        </w:rPr>
      </w:pPr>
      <w:r>
        <w:rPr>
          <w:rFonts w:hint="eastAsia"/>
          <w:lang w:val="zh-CN"/>
        </w:rPr>
        <w:t>11月22日在市国资办会议室召开一次董事会，审议公司帽子峰林场旅游经营权招标方案须召开临时股东会议讨论通过议题，决定11月30日在帽子峰林场会议室召开临时股东代表大会；会议由公司董事长王弟勤同志主持，与会股东代表一致同意帽子峰林场旅游经营权转让招标方案。</w:t>
      </w:r>
    </w:p>
    <w:p w14:paraId="718FDD99">
      <w:pPr>
        <w:bidi w:val="0"/>
        <w:jc w:val="right"/>
        <w:rPr>
          <w:rFonts w:hint="eastAsia"/>
          <w:b/>
          <w:bCs/>
          <w:lang w:val="zh-CN"/>
        </w:rPr>
      </w:pPr>
      <w:r>
        <w:rPr>
          <w:rFonts w:hint="eastAsia"/>
          <w:b/>
          <w:bCs/>
          <w:lang w:val="zh-CN"/>
        </w:rPr>
        <w:t>（李</w:t>
      </w:r>
      <w:r>
        <w:rPr>
          <w:rFonts w:hint="eastAsia"/>
          <w:b/>
          <w:bCs/>
          <w:lang w:val="en-US" w:eastAsia="zh-CN"/>
        </w:rPr>
        <w:t xml:space="preserve">  </w:t>
      </w:r>
      <w:r>
        <w:rPr>
          <w:rFonts w:hint="eastAsia"/>
          <w:b/>
          <w:bCs/>
          <w:lang w:val="zh-CN"/>
        </w:rPr>
        <w:t>荣）</w:t>
      </w:r>
    </w:p>
    <w:p w14:paraId="14504512">
      <w:pPr>
        <w:pStyle w:val="11"/>
        <w:bidi w:val="0"/>
        <w:rPr>
          <w:rFonts w:hint="eastAsia"/>
          <w:b/>
          <w:bCs/>
          <w:lang w:val="zh-CN"/>
        </w:rPr>
      </w:pPr>
      <w:r>
        <w:rPr>
          <w:rFonts w:hint="eastAsia"/>
          <w:b/>
          <w:bCs/>
          <w:lang w:val="zh-CN"/>
        </w:rPr>
        <w:t>附：2018年市翠屏公司领导班子成员名单</w:t>
      </w:r>
    </w:p>
    <w:p w14:paraId="09DD87A4">
      <w:pPr>
        <w:pStyle w:val="11"/>
        <w:bidi w:val="0"/>
        <w:rPr>
          <w:rFonts w:hint="eastAsia"/>
          <w:lang w:val="zh-CN"/>
        </w:rPr>
      </w:pPr>
      <w:r>
        <w:rPr>
          <w:rFonts w:hint="eastAsia"/>
          <w:b/>
          <w:bCs/>
          <w:lang w:val="zh-CN"/>
        </w:rPr>
        <w:t>党委书记兼董事长：</w:t>
      </w:r>
      <w:r>
        <w:rPr>
          <w:rFonts w:hint="eastAsia"/>
          <w:lang w:val="zh-CN"/>
        </w:rPr>
        <w:t>王弟勤</w:t>
      </w:r>
    </w:p>
    <w:p w14:paraId="678D2646">
      <w:pPr>
        <w:pStyle w:val="11"/>
        <w:bidi w:val="0"/>
        <w:rPr>
          <w:rFonts w:hint="eastAsia"/>
          <w:lang w:val="zh-CN"/>
        </w:rPr>
      </w:pPr>
      <w:r>
        <w:rPr>
          <w:rFonts w:hint="eastAsia"/>
          <w:b/>
          <w:bCs/>
          <w:lang w:val="zh-CN"/>
        </w:rPr>
        <w:t>党委副书记、总经理：</w:t>
      </w:r>
      <w:r>
        <w:rPr>
          <w:rFonts w:hint="eastAsia"/>
          <w:lang w:val="zh-CN"/>
        </w:rPr>
        <w:t>张春辉</w:t>
      </w:r>
    </w:p>
    <w:p w14:paraId="4711A4B9">
      <w:pPr>
        <w:pStyle w:val="11"/>
        <w:bidi w:val="0"/>
        <w:rPr>
          <w:rFonts w:hint="eastAsia"/>
          <w:lang w:val="zh-CN"/>
        </w:rPr>
      </w:pPr>
      <w:r>
        <w:rPr>
          <w:rFonts w:hint="eastAsia"/>
          <w:b/>
          <w:bCs/>
          <w:lang w:val="zh-CN"/>
        </w:rPr>
        <w:t>副总经理：</w:t>
      </w:r>
      <w:r>
        <w:rPr>
          <w:rFonts w:hint="eastAsia"/>
          <w:lang w:val="zh-CN"/>
        </w:rPr>
        <w:t>黄志荣</w:t>
      </w:r>
      <w:r>
        <w:rPr>
          <w:rFonts w:hint="eastAsia"/>
          <w:lang w:val="en-US" w:eastAsia="zh-CN"/>
        </w:rPr>
        <w:t xml:space="preserve">   </w:t>
      </w:r>
      <w:r>
        <w:rPr>
          <w:rFonts w:hint="eastAsia"/>
          <w:lang w:val="zh-CN"/>
        </w:rPr>
        <w:t>钟达辉</w:t>
      </w:r>
    </w:p>
    <w:p w14:paraId="439704CE">
      <w:pPr>
        <w:pStyle w:val="11"/>
        <w:bidi w:val="0"/>
        <w:rPr>
          <w:rFonts w:hint="eastAsia"/>
          <w:lang w:val="zh-CN"/>
        </w:rPr>
      </w:pPr>
      <w:r>
        <w:rPr>
          <w:rFonts w:hint="eastAsia"/>
          <w:b/>
          <w:bCs/>
          <w:lang w:val="zh-CN"/>
        </w:rPr>
        <w:t>党委组织、宣传委员：</w:t>
      </w:r>
      <w:r>
        <w:rPr>
          <w:rFonts w:hint="eastAsia"/>
          <w:lang w:val="zh-CN"/>
        </w:rPr>
        <w:t>李</w:t>
      </w:r>
      <w:r>
        <w:rPr>
          <w:rFonts w:hint="eastAsia"/>
          <w:lang w:val="en-US" w:eastAsia="zh-CN"/>
        </w:rPr>
        <w:t xml:space="preserve">  </w:t>
      </w:r>
      <w:r>
        <w:rPr>
          <w:rFonts w:hint="eastAsia"/>
          <w:lang w:val="zh-CN"/>
        </w:rPr>
        <w:t>荣</w:t>
      </w:r>
    </w:p>
    <w:p w14:paraId="132DFB7C">
      <w:pPr>
        <w:pStyle w:val="11"/>
        <w:bidi w:val="0"/>
        <w:rPr>
          <w:rFonts w:hint="eastAsia"/>
          <w:lang w:val="zh-CN"/>
        </w:rPr>
      </w:pPr>
      <w:r>
        <w:rPr>
          <w:rFonts w:hint="eastAsia"/>
          <w:b/>
          <w:bCs/>
          <w:lang w:val="zh-CN"/>
        </w:rPr>
        <w:t>职工董事：</w:t>
      </w:r>
      <w:r>
        <w:rPr>
          <w:rFonts w:hint="eastAsia"/>
          <w:lang w:val="zh-CN"/>
        </w:rPr>
        <w:t>戴树范</w:t>
      </w:r>
    </w:p>
    <w:p w14:paraId="5D92759A">
      <w:pPr>
        <w:pStyle w:val="11"/>
        <w:bidi w:val="0"/>
        <w:rPr>
          <w:rFonts w:hint="eastAsia"/>
          <w:lang w:val="zh-CN"/>
        </w:rPr>
      </w:pPr>
      <w:r>
        <w:rPr>
          <w:rFonts w:hint="eastAsia"/>
          <w:b/>
          <w:bCs/>
          <w:lang w:val="zh-CN"/>
        </w:rPr>
        <w:t>职工监事：</w:t>
      </w:r>
      <w:r>
        <w:rPr>
          <w:rFonts w:hint="eastAsia"/>
          <w:lang w:val="zh-CN"/>
        </w:rPr>
        <w:t>罗荣贵</w:t>
      </w:r>
    </w:p>
    <w:p w14:paraId="462FC487">
      <w:pPr>
        <w:pStyle w:val="3"/>
        <w:bidi w:val="0"/>
        <w:rPr>
          <w:rFonts w:hint="eastAsia"/>
          <w:lang w:val="zh-CN"/>
        </w:rPr>
      </w:pPr>
      <w:r>
        <w:rPr>
          <w:rFonts w:hint="eastAsia"/>
          <w:lang w:val="zh-CN"/>
        </w:rPr>
        <w:t>广东孔江国家湿地公园</w:t>
      </w:r>
    </w:p>
    <w:p w14:paraId="1A2D8788">
      <w:pPr>
        <w:pStyle w:val="4"/>
        <w:bidi w:val="0"/>
        <w:rPr>
          <w:rFonts w:hint="eastAsia"/>
          <w:lang w:val="zh-CN"/>
        </w:rPr>
      </w:pPr>
      <w:r>
        <w:rPr>
          <w:rFonts w:hint="eastAsia"/>
          <w:lang w:val="zh-CN"/>
        </w:rPr>
        <w:t>【概况】</w:t>
      </w:r>
    </w:p>
    <w:p w14:paraId="2ACE849F">
      <w:pPr>
        <w:bidi w:val="0"/>
        <w:rPr>
          <w:rFonts w:hint="eastAsia"/>
          <w:lang w:val="zh-CN"/>
        </w:rPr>
      </w:pPr>
      <w:r>
        <w:rPr>
          <w:rFonts w:hint="eastAsia"/>
          <w:lang w:val="zh-CN"/>
        </w:rPr>
        <w:t>广东孔江国家湿地公园，于2011年3月25日经国家林业局正式批准为国家级湿地公园建设试点，2016年8月通过国家林业局验收，正式成为“国家湿地公园”。南雄市孔江国家湿地公园管理处于2011年12月31日成立，为正科级一类公益事业单位，核定人员编制12人，领导职数2名，主任1名，副主任1名；内设6个正股级机构：综合股、科研宣教股、社区共管股、气象水文水质监测站、野生动植物监测救护站、湿地保护管理站。广东孔江国家湿地公园地处南雄市境东北角的孔江上游，距南雄市区43千米，为北江源头之一，总面积1667.9公顷，湿地面积639.2公顷。公园内有野生维管植物171科571属1029种，野生、陆生水生、两栖动物48目166科357属574种，生物多样性丰富。</w:t>
      </w:r>
    </w:p>
    <w:p w14:paraId="66E66C4D">
      <w:pPr>
        <w:pStyle w:val="4"/>
        <w:bidi w:val="0"/>
        <w:rPr>
          <w:rFonts w:hint="eastAsia"/>
          <w:lang w:val="zh-CN"/>
        </w:rPr>
      </w:pPr>
      <w:r>
        <w:rPr>
          <w:rFonts w:hint="eastAsia"/>
          <w:lang w:val="zh-CN"/>
        </w:rPr>
        <w:t>【湿地资源保护】</w:t>
      </w:r>
    </w:p>
    <w:p w14:paraId="5D4D6DFB">
      <w:pPr>
        <w:bidi w:val="0"/>
        <w:rPr>
          <w:rFonts w:hint="eastAsia"/>
          <w:lang w:val="zh-CN"/>
        </w:rPr>
      </w:pPr>
      <w:r>
        <w:rPr>
          <w:rFonts w:hint="eastAsia"/>
          <w:lang w:val="zh-CN"/>
        </w:rPr>
        <w:t>2018年投资145万元，在广东孔江国家湿地公园新建界碑、界桩，改善办公条件、美化周边环境；购置巡护工作艇和扑火器具，提升湿地资源管护能力。每月向韶关市林业局报告湿地公园范围内违法违规情况，全年未发生非法侵占湿地资源等违法违规行为，防火期内未发生山火。同时争取到本级财政资金48.26万元，完成湿地公园周边9家养殖场关停清理工作，进一步净化水库水体水质，大部分水质达国家地表Ⅰ类标准。</w:t>
      </w:r>
    </w:p>
    <w:p w14:paraId="711C6A3F">
      <w:pPr>
        <w:pStyle w:val="4"/>
        <w:bidi w:val="0"/>
        <w:rPr>
          <w:rFonts w:hint="eastAsia"/>
          <w:lang w:val="zh-CN"/>
        </w:rPr>
      </w:pPr>
      <w:r>
        <w:rPr>
          <w:rFonts w:hint="eastAsia"/>
          <w:lang w:val="zh-CN"/>
        </w:rPr>
        <w:t>【湿地恢复与修复】</w:t>
      </w:r>
    </w:p>
    <w:p w14:paraId="39B1638A">
      <w:pPr>
        <w:bidi w:val="0"/>
        <w:rPr>
          <w:rFonts w:hint="eastAsia"/>
          <w:lang w:val="zh-CN"/>
        </w:rPr>
      </w:pPr>
      <w:r>
        <w:rPr>
          <w:rFonts w:hint="eastAsia"/>
          <w:lang w:val="zh-CN"/>
        </w:rPr>
        <w:t>2018年投资116万元完成广东孔江国家湿地公园地带性植被恢复与重建项目与鸟类栖息生境改造修复工程项目，完成原建生态项目66.67公顷抚育工程，为野生动物和水禽营造良好栖息场所，也为今后营造湿地景观奠定基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B012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7816195">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5535" cy="3674745"/>
                  <wp:effectExtent l="0" t="0" r="5715" b="1905"/>
                  <wp:docPr id="126" name="图片 126" descr="南雄年鉴2019_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南雄年鉴2019_0101"/>
                          <pic:cNvPicPr>
                            <a:picLocks noChangeAspect="1"/>
                          </pic:cNvPicPr>
                        </pic:nvPicPr>
                        <pic:blipFill>
                          <a:blip r:embed="rId113"/>
                          <a:stretch>
                            <a:fillRect/>
                          </a:stretch>
                        </pic:blipFill>
                        <pic:spPr>
                          <a:xfrm>
                            <a:off x="0" y="0"/>
                            <a:ext cx="6185535" cy="3674745"/>
                          </a:xfrm>
                          <a:prstGeom prst="rect">
                            <a:avLst/>
                          </a:prstGeom>
                        </pic:spPr>
                      </pic:pic>
                    </a:graphicData>
                  </a:graphic>
                </wp:inline>
              </w:drawing>
            </w:r>
          </w:p>
        </w:tc>
      </w:tr>
      <w:tr w14:paraId="64C04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72B84E8">
            <w:pPr>
              <w:bidi w:val="0"/>
              <w:rPr>
                <w:rFonts w:hint="eastAsia"/>
                <w:vertAlign w:val="baseline"/>
                <w:lang w:val="zh-CN"/>
              </w:rPr>
            </w:pPr>
            <w:r>
              <w:rPr>
                <w:rFonts w:hint="eastAsia" w:ascii="FZKTK--GBK1-0" w:hAnsi="FZKTK--GBK1-0" w:eastAsia="FZKTK--GBK1-0"/>
                <w:sz w:val="20"/>
              </w:rPr>
              <w:t>孔江湿地公园百岛湖景（孔江国家湿地公园管理处</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2BD8A161">
      <w:pPr>
        <w:pStyle w:val="4"/>
        <w:bidi w:val="0"/>
        <w:rPr>
          <w:rFonts w:hint="eastAsia"/>
          <w:lang w:val="zh-CN"/>
        </w:rPr>
      </w:pPr>
      <w:r>
        <w:rPr>
          <w:rFonts w:hint="eastAsia"/>
          <w:lang w:val="zh-CN"/>
        </w:rPr>
        <w:t>【湿地科研监测】</w:t>
      </w:r>
    </w:p>
    <w:p w14:paraId="728063D8">
      <w:pPr>
        <w:bidi w:val="0"/>
        <w:rPr>
          <w:rFonts w:hint="eastAsia"/>
          <w:lang w:val="zh-CN"/>
        </w:rPr>
      </w:pPr>
      <w:r>
        <w:rPr>
          <w:rFonts w:hint="eastAsia"/>
          <w:lang w:val="zh-CN"/>
        </w:rPr>
        <w:t>加强与当地环保、气象、水务等职能部门交流合作，在湿地公园内设立水文水质气象监测点，全天候监测湿地公园内的温度、雨量、风向、风速、水质等，随时掌握上述指标的变化，并根据变化制定相应的保护措施，提高湿地水质，保护湿地生境。通过加强与外单位联系合作，实现科研监测数据资源共享，初步建立孔江国家湿地公园水文、气象、水质、鸟类等监测数据库。与林之源（北京）林业工程咨询有限公司广州分公司合作开展为期三年（2017—2019年）的湿地公园湿地资源与环境动态监测项目，对湿地公园的湿地资源与环境动态进行定期监测（含水体水质监测、环境污染监测和野生动物栖息地环境监测），并在每季度出具一份本季度监测报告，项目完成时编制《广东孔江国家湿地公园湿地资源与环境动态监测分析报告》。投资25.69万元，分别在广东孔江国家湿地公园范围内老布塘、黄泥塘2处建立鸟类监测站点，为开展鸟类监测工作提供平台。</w:t>
      </w:r>
    </w:p>
    <w:p w14:paraId="76B19BF4">
      <w:pPr>
        <w:pStyle w:val="4"/>
        <w:bidi w:val="0"/>
        <w:rPr>
          <w:rFonts w:hint="eastAsia"/>
          <w:lang w:val="zh-CN"/>
        </w:rPr>
      </w:pPr>
      <w:r>
        <w:rPr>
          <w:rFonts w:hint="eastAsia"/>
          <w:lang w:val="zh-CN"/>
        </w:rPr>
        <w:t>【湿地科普宣教】</w:t>
      </w:r>
    </w:p>
    <w:p w14:paraId="342A5A77">
      <w:pPr>
        <w:bidi w:val="0"/>
        <w:rPr>
          <w:rFonts w:hint="eastAsia"/>
          <w:lang w:val="zh-CN"/>
        </w:rPr>
      </w:pPr>
      <w:r>
        <w:rPr>
          <w:rFonts w:hint="eastAsia"/>
          <w:lang w:val="zh-CN"/>
        </w:rPr>
        <w:t>2018年“爱鸟周”期间，南雄市孔江国家湿地公园管理处与南雄市林业局、小流坑-青嶂山省级自然保护区、曲江罗坑鳄蜥国家级自然保护区、南雄市第一小学等单位观鸟爱好者及部分小学生（小记者）代表，到广东孔江国家湿地公园、罗坑鳄蜥国家级自然保护区和小流坑—青嶂山省级自然保护区联合开展观鸟活动，让青少年朋友积极参与到爱鸟护鸟、保护湿地资源的行列中来。与市教育局、市关工委、市文联联合开展以“保护湿地”为主题的征文、绘画、书法、摄影等比赛，使保护湿地意识深入人心。投资50万元实施“八个一”项目，即设计制作一个广东孔江国家湿地公园logo、征集一句广东孔江国家湿地公园宣传口号、设计制作一套广东孔江国家湿地公园纪念品、征集一部分广东孔江国家湿地公园岛名、策划制作一盘广东孔江国家湿地公园宣传片、设计印刷一份广东孔江国家湿地公园导游图、设计制作一本广东孔江国家湿地公园宣传解说手册、创作一首广东孔江国家湿地公园主题歌，进一步树立广东孔江国家湿地公园良好形象。</w:t>
      </w:r>
    </w:p>
    <w:p w14:paraId="7272ABC0">
      <w:pPr>
        <w:pStyle w:val="4"/>
        <w:bidi w:val="0"/>
        <w:rPr>
          <w:rFonts w:hint="eastAsia"/>
          <w:lang w:val="zh-CN"/>
        </w:rPr>
      </w:pPr>
      <w:r>
        <w:rPr>
          <w:rFonts w:hint="eastAsia"/>
          <w:lang w:val="zh-CN"/>
        </w:rPr>
        <w:t>【建设资金筹措】</w:t>
      </w:r>
    </w:p>
    <w:p w14:paraId="04FB032F">
      <w:pPr>
        <w:bidi w:val="0"/>
        <w:rPr>
          <w:rFonts w:hint="eastAsia"/>
          <w:b/>
          <w:bCs/>
          <w:lang w:val="zh-CN"/>
        </w:rPr>
      </w:pPr>
      <w:r>
        <w:rPr>
          <w:rFonts w:hint="eastAsia"/>
          <w:lang w:val="zh-CN"/>
        </w:rPr>
        <w:t>2018年向中央、省和本级财政争取资金446万元。完成2019年度省财政湿地补贴资金100万元项目储备，并将相关资料上报省林业厅，同时申报2019年中央预算内林业投资建设计划资金项目储备1055.55万元。</w:t>
      </w:r>
      <w:r>
        <w:rPr>
          <w:rFonts w:hint="eastAsia"/>
          <w:b/>
          <w:bCs/>
          <w:lang w:val="zh-CN"/>
        </w:rPr>
        <w:t>（邓婉璐）</w:t>
      </w:r>
    </w:p>
    <w:p w14:paraId="4C58074D">
      <w:pPr>
        <w:pStyle w:val="11"/>
        <w:bidi w:val="0"/>
        <w:rPr>
          <w:rFonts w:hint="eastAsia"/>
          <w:b/>
          <w:bCs/>
          <w:lang w:val="zh-CN"/>
        </w:rPr>
      </w:pPr>
      <w:r>
        <w:rPr>
          <w:rFonts w:hint="eastAsia"/>
          <w:b/>
          <w:bCs/>
          <w:lang w:val="zh-CN"/>
        </w:rPr>
        <w:t>附：2018年市孔江国家湿地公园管理处领导班子成员名单</w:t>
      </w:r>
    </w:p>
    <w:p w14:paraId="1CE597F8">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何明华</w:t>
      </w:r>
    </w:p>
    <w:p w14:paraId="6BCBDD7E">
      <w:pPr>
        <w:pStyle w:val="11"/>
        <w:bidi w:val="0"/>
        <w:rPr>
          <w:rFonts w:hint="eastAsia"/>
          <w:lang w:val="zh-CN"/>
        </w:rPr>
      </w:pPr>
      <w:r>
        <w:rPr>
          <w:rFonts w:hint="eastAsia"/>
          <w:b/>
          <w:bCs/>
          <w:lang w:val="zh-CN"/>
        </w:rPr>
        <w:t>副主任：</w:t>
      </w:r>
      <w:r>
        <w:rPr>
          <w:rFonts w:hint="eastAsia"/>
          <w:lang w:val="zh-CN"/>
        </w:rPr>
        <w:t>雷会雄</w:t>
      </w:r>
    </w:p>
    <w:p w14:paraId="042877C9">
      <w:pPr>
        <w:pStyle w:val="3"/>
        <w:bidi w:val="0"/>
        <w:rPr>
          <w:rFonts w:hint="eastAsia"/>
          <w:lang w:val="zh-CN"/>
        </w:rPr>
      </w:pPr>
      <w:r>
        <w:rPr>
          <w:rFonts w:hint="eastAsia"/>
          <w:lang w:val="zh-CN"/>
        </w:rPr>
        <w:t>小流坑—青嶂山省级自然保护区管理处</w:t>
      </w:r>
    </w:p>
    <w:p w14:paraId="655FD4A9">
      <w:pPr>
        <w:pStyle w:val="4"/>
        <w:bidi w:val="0"/>
        <w:rPr>
          <w:rFonts w:hint="eastAsia"/>
          <w:lang w:val="zh-CN"/>
        </w:rPr>
      </w:pPr>
      <w:r>
        <w:rPr>
          <w:rFonts w:hint="eastAsia"/>
          <w:lang w:val="zh-CN"/>
        </w:rPr>
        <w:t>【概况】</w:t>
      </w:r>
    </w:p>
    <w:p w14:paraId="19A87270">
      <w:pPr>
        <w:bidi w:val="0"/>
        <w:rPr>
          <w:rFonts w:hint="eastAsia"/>
          <w:lang w:val="zh-CN"/>
        </w:rPr>
      </w:pPr>
      <w:r>
        <w:rPr>
          <w:rFonts w:hint="eastAsia"/>
          <w:lang w:val="zh-CN"/>
        </w:rPr>
        <w:t>南雄小流坑—青嶂山自然保护区于2007年11月16日经广东省人民政府办公室同意升格为省级自然保护区，总面积7874公顷，核心区3703.2公顷，缓冲区1841.2公顷，实验区2329.6公顷，重点保护对象是亚热带森林生态系统及珍稀动植物资源。2007年12月26日，经广东省机构编制委员会办公室批准同意成立广东南雄小流坑—青嶂山省级自然保护区管理处，负责广东南雄小流坑—青嶂山省级自然保护区的具体管护工作，为副处级事业单位，核定事业编12名，其中主任1名，副主任1名，人员经费由省财政核拨。2009年8月保护区管理机构组建完成，内设机构有综合科、保护管理科、科研宣教科，在职7人。</w:t>
      </w:r>
    </w:p>
    <w:p w14:paraId="619039BA">
      <w:pPr>
        <w:bidi w:val="0"/>
        <w:rPr>
          <w:rFonts w:hint="eastAsia"/>
          <w:lang w:val="zh-CN"/>
        </w:rPr>
      </w:pPr>
      <w:r>
        <w:rPr>
          <w:rFonts w:hint="eastAsia"/>
          <w:lang w:val="zh-CN"/>
        </w:rPr>
        <w:t>2015年10月成为中国生物圈保护区网络成员单位。2018年通过开展“绿盾2018”自然资源保护专项行动、采用TBS挂网喷播和客土种植技术进行植草复绿，持续实施市级森林效益补偿政策等自然资源管护措施。</w:t>
      </w:r>
    </w:p>
    <w:p w14:paraId="75F5775D">
      <w:pPr>
        <w:pStyle w:val="4"/>
        <w:bidi w:val="0"/>
        <w:rPr>
          <w:rFonts w:hint="eastAsia"/>
          <w:lang w:val="zh-CN"/>
        </w:rPr>
      </w:pPr>
      <w:r>
        <w:rPr>
          <w:rFonts w:hint="eastAsia"/>
          <w:lang w:val="zh-CN"/>
        </w:rPr>
        <w:t>【林业生态建设】</w:t>
      </w:r>
    </w:p>
    <w:p w14:paraId="00448F73">
      <w:pPr>
        <w:bidi w:val="0"/>
        <w:rPr>
          <w:rFonts w:hint="eastAsia"/>
          <w:lang w:val="zh-CN"/>
        </w:rPr>
      </w:pPr>
      <w:r>
        <w:rPr>
          <w:rFonts w:hint="eastAsia"/>
          <w:lang w:val="zh-CN"/>
        </w:rPr>
        <w:t>2018年5—6月，广东南雄小流坑—青嶂山省级自然保护区管理处启动生态保护红线划定工作，对韶关市生态保护红线面积扣减划定方案进行核对，实现自然保护区内功能区、边界范围及村庄、建设用地、果场、设施等全面矢量化管理。5月11日，由广东省自然保护区管理办公室、广东省自然保护区研究中心、华南农业大学、广东生态工程职业学院等相关专家人员组成自然保护区有效管理评价考评小组，对广东南雄小流坑—青嶂山省级自然保护区有效管理进行实地考评，综合得分94分，基础得分86分，考评结果为“良”。7月，广东南雄小流坑-青嶂山省级自然保护区利用广东省林业厅林火远程视频操控系统配套设施项目，投资30万元建设森林火灾实时监测预警系统，在自然保护区主要交通路口和生产生活聚集区，安装4个林火视频监控前端和6个林区道路视频监控，形成“省—市—县—前端”四级传输网络的准确定位和快速处理机制。</w:t>
      </w:r>
    </w:p>
    <w:p w14:paraId="322F8FEB">
      <w:pPr>
        <w:pStyle w:val="4"/>
        <w:bidi w:val="0"/>
        <w:rPr>
          <w:rFonts w:hint="eastAsia"/>
          <w:lang w:val="zh-CN"/>
        </w:rPr>
      </w:pPr>
      <w:r>
        <w:rPr>
          <w:rFonts w:hint="eastAsia"/>
          <w:lang w:val="zh-CN"/>
        </w:rPr>
        <w:t>【森林生态效益补偿】</w:t>
      </w:r>
    </w:p>
    <w:p w14:paraId="1B6B2416">
      <w:pPr>
        <w:bidi w:val="0"/>
        <w:rPr>
          <w:rFonts w:hint="eastAsia"/>
          <w:lang w:val="zh-CN"/>
        </w:rPr>
      </w:pPr>
      <w:r>
        <w:rPr>
          <w:rFonts w:hint="eastAsia"/>
          <w:lang w:val="zh-CN"/>
        </w:rPr>
        <w:t>2018年，全市实施市级森林生态效益补偿惠民政策，补偿标准为每公顷林地补助120元，补偿资金92.64万元，列入南雄年度财政预算支出。</w:t>
      </w:r>
    </w:p>
    <w:p w14:paraId="56C1E89C">
      <w:pPr>
        <w:pStyle w:val="4"/>
        <w:bidi w:val="0"/>
        <w:rPr>
          <w:rFonts w:hint="eastAsia"/>
          <w:lang w:val="zh-CN"/>
        </w:rPr>
      </w:pPr>
      <w:r>
        <w:rPr>
          <w:rFonts w:hint="eastAsia"/>
          <w:lang w:val="zh-CN"/>
        </w:rPr>
        <w:t>【自然资源保护】</w:t>
      </w:r>
    </w:p>
    <w:p w14:paraId="5AC16AC8">
      <w:pPr>
        <w:bidi w:val="0"/>
        <w:rPr>
          <w:rFonts w:hint="eastAsia"/>
          <w:lang w:val="zh-CN"/>
        </w:rPr>
      </w:pPr>
      <w:r>
        <w:rPr>
          <w:rFonts w:hint="eastAsia"/>
          <w:lang w:val="zh-CN"/>
        </w:rPr>
        <w:t>3—6月组织开展保护野生动物“清网”行动、水电违规建设风险隐患排查、违规放牧清查等排查行动，核查90处人类活动点，其中工矿1处，能源设施13处（其中电站11处，通信塔1处，气象设施1处），养殖场29处，居民点16处，农业设施12处，占用林地3处，其他设施16处（其中占用河道1处）。7—12月组织开展保护区违法违规人类活动大整治行动，29个牛羊违规养殖场由南雄林业局统一限期搬迁、拆除，实行关停清养并申请财政资金合理补偿；3宗占用林地由南雄市公安局森林分局立案查处；占用保护区河道建自来水过滤池1宗，由水务局执法大队依法治理。</w:t>
      </w:r>
    </w:p>
    <w:p w14:paraId="152B6E9A">
      <w:pPr>
        <w:pStyle w:val="4"/>
        <w:bidi w:val="0"/>
        <w:rPr>
          <w:rFonts w:hint="eastAsia"/>
          <w:lang w:val="zh-CN"/>
        </w:rPr>
      </w:pPr>
      <w:r>
        <w:rPr>
          <w:rFonts w:hint="eastAsia"/>
          <w:lang w:val="zh-CN"/>
        </w:rPr>
        <w:t>【森林防火】</w:t>
      </w:r>
    </w:p>
    <w:p w14:paraId="03481422">
      <w:pPr>
        <w:bidi w:val="0"/>
        <w:rPr>
          <w:rFonts w:hint="eastAsia"/>
          <w:lang w:val="zh-CN"/>
        </w:rPr>
      </w:pPr>
      <w:r>
        <w:rPr>
          <w:rFonts w:hint="eastAsia"/>
          <w:lang w:val="zh-CN"/>
        </w:rPr>
        <w:t>落实森林防火责任制，坚持防火期间24小时值班制、领导带班制和零报告制，制定2018年森林火灾应急处置办法，签订防火责任书，划定护林责任区，落实巡护责任人；进一步强化森林火灾防范措施，做好割草机、阻燃服、汽油、机油、火把的采购，风力灭火机的检修等森林防火物资储备工作；进一步抓好防火培训演练，对自然保护区内高危火险的坟头地块，开展割草除灌、清理可燃物的拆危破险大行动；进一步强化野外火源的管理，重点做好“清明”“冬至”等节假日期间的防火工作，实行不放假、全员值守，主要交通路口设哨卡控制火源管理，对进出车辆和人群进行登记，开展保护区火灾隐患排查和清理整治。</w:t>
      </w:r>
    </w:p>
    <w:p w14:paraId="5AEB911B">
      <w:pPr>
        <w:bidi w:val="0"/>
        <w:rPr>
          <w:rFonts w:hint="eastAsia"/>
          <w:lang w:val="zh-CN"/>
        </w:rPr>
      </w:pPr>
      <w:r>
        <w:rPr>
          <w:rFonts w:hint="eastAsia"/>
          <w:lang w:val="zh-CN"/>
        </w:rPr>
        <w:t>9月进入防火戒严期，在保护区道路沿线、旅游景区以及森林防火重点区域，制作森林防火固定宣传牌（碑）20块，埋设界桩和功能区桩250个。11月森林防火宣传月和防火特别防护期，制作100条护林防火宣传横幅标语，与全体巡护人员签订森林防火责任书。</w:t>
      </w:r>
    </w:p>
    <w:p w14:paraId="37818510">
      <w:pPr>
        <w:pStyle w:val="4"/>
        <w:bidi w:val="0"/>
        <w:rPr>
          <w:rFonts w:hint="eastAsia"/>
          <w:lang w:val="zh-CN"/>
        </w:rPr>
      </w:pPr>
      <w:r>
        <w:rPr>
          <w:rFonts w:hint="eastAsia"/>
          <w:lang w:val="zh-CN"/>
        </w:rPr>
        <w:t>【科研监测】</w:t>
      </w:r>
    </w:p>
    <w:p w14:paraId="6AF9FAA8">
      <w:pPr>
        <w:bidi w:val="0"/>
        <w:rPr>
          <w:rFonts w:hint="eastAsia"/>
          <w:lang w:val="zh-CN"/>
        </w:rPr>
      </w:pPr>
      <w:r>
        <w:rPr>
          <w:rFonts w:hint="eastAsia"/>
          <w:lang w:val="zh-CN"/>
        </w:rPr>
        <w:t>2018年，保护区濒危野生动植物监测与评估项目，完成下坪残次林测流堰设备安装、青嶂山东风坳与下坪地表径流场和林冠截留实验场设备安装运行；开展青嶂山顶和青嶂山景区6个植物样地（每个面积0.16公顷）植物调查，树木定位、编号、挂牌；采集6个植物样地的土壤样品，进行理化性质测定；每月定期开展空气、水土等生态因子监测，收集降雨、林冠截留、地表径流、集水区总径流和水土流失及5个水质固定监测点、7个空气负氧离子和PM2.5固定监测点等监测数据。7月编写出版《广东南雄小流坑—青嶂山省级自然保护区动植物多样性研究》。书中收录广东南雄小流坑—青嶂山省级自然保护区野生植物、鸟类、爬行和两栖类、兽类名录，对动植物资源稀有性、区系和分布等进行分析，提出管护对策。</w:t>
      </w:r>
    </w:p>
    <w:p w14:paraId="0A9D2257">
      <w:pPr>
        <w:pStyle w:val="4"/>
        <w:bidi w:val="0"/>
        <w:rPr>
          <w:rFonts w:hint="eastAsia"/>
          <w:lang w:val="zh-CN"/>
        </w:rPr>
      </w:pPr>
      <w:r>
        <w:rPr>
          <w:rFonts w:hint="eastAsia"/>
          <w:lang w:val="zh-CN"/>
        </w:rPr>
        <w:t>【科普宣教】</w:t>
      </w:r>
    </w:p>
    <w:p w14:paraId="4A81DDC5">
      <w:pPr>
        <w:bidi w:val="0"/>
        <w:rPr>
          <w:rFonts w:hint="eastAsia"/>
          <w:lang w:val="zh-CN"/>
        </w:rPr>
      </w:pPr>
      <w:r>
        <w:rPr>
          <w:rFonts w:hint="eastAsia"/>
          <w:lang w:val="zh-CN"/>
        </w:rPr>
        <w:t>2月4日在雄州公园开展野生动植物宣传活动，向市民展临览水鹿、斑林狸、穿山甲等国家二级保护动物标本，传授野生动物基本常识，派发1000本野生动植物保护手册。3月16—18日，联合市林业局、广东曲江罗坑鳄蜥国家级保护区、南雄孔江国家湿地公园、市第一小学在广东南雄小流坑—青嶂山省级自然保护区举行“爱鸟周”宣传活动，向师生们开设观鸟类知识讲座，带师生们亲临野外进行观鸟、识鸟、爱鸟体验，守护绿水青山，保护野生动植物。</w:t>
      </w:r>
    </w:p>
    <w:p w14:paraId="6CC8CA57">
      <w:pPr>
        <w:bidi w:val="0"/>
        <w:jc w:val="right"/>
        <w:rPr>
          <w:rFonts w:hint="eastAsia"/>
          <w:b/>
          <w:bCs/>
          <w:lang w:val="zh-CN"/>
        </w:rPr>
      </w:pPr>
      <w:r>
        <w:rPr>
          <w:rFonts w:hint="eastAsia"/>
          <w:b/>
          <w:bCs/>
          <w:lang w:val="zh-CN"/>
        </w:rPr>
        <w:t>（郭绪兵）</w:t>
      </w:r>
    </w:p>
    <w:p w14:paraId="28480D14">
      <w:pPr>
        <w:pStyle w:val="11"/>
        <w:bidi w:val="0"/>
        <w:rPr>
          <w:rFonts w:hint="eastAsia"/>
          <w:b/>
          <w:bCs/>
          <w:lang w:val="zh-CN"/>
        </w:rPr>
      </w:pPr>
      <w:r>
        <w:rPr>
          <w:rFonts w:hint="eastAsia"/>
          <w:b/>
          <w:bCs/>
          <w:lang w:val="zh-CN"/>
        </w:rPr>
        <w:t>附：2018年广东南雄小流坑—青嶂山省级自然保护区管理处领导班子成员名单</w:t>
      </w:r>
    </w:p>
    <w:p w14:paraId="544B304C">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张英宏（兼）</w:t>
      </w:r>
    </w:p>
    <w:p w14:paraId="6696B7D7">
      <w:pPr>
        <w:pStyle w:val="11"/>
        <w:bidi w:val="0"/>
        <w:rPr>
          <w:rFonts w:hint="eastAsia"/>
          <w:lang w:val="zh-CN"/>
        </w:rPr>
      </w:pPr>
      <w:r>
        <w:rPr>
          <w:rFonts w:hint="eastAsia"/>
          <w:b/>
          <w:bCs/>
          <w:lang w:val="zh-CN"/>
        </w:rPr>
        <w:t>副主任：</w:t>
      </w:r>
      <w:r>
        <w:rPr>
          <w:rFonts w:hint="eastAsia"/>
          <w:lang w:val="zh-CN"/>
        </w:rPr>
        <w:t>胡</w:t>
      </w:r>
      <w:r>
        <w:rPr>
          <w:rFonts w:hint="eastAsia"/>
          <w:lang w:val="en-US" w:eastAsia="zh-CN"/>
        </w:rPr>
        <w:t xml:space="preserve">  </w:t>
      </w:r>
      <w:r>
        <w:rPr>
          <w:rFonts w:hint="eastAsia"/>
          <w:lang w:val="zh-CN"/>
        </w:rPr>
        <w:t>辉</w:t>
      </w:r>
    </w:p>
    <w:p w14:paraId="13271DB1">
      <w:pPr>
        <w:pStyle w:val="3"/>
        <w:bidi w:val="0"/>
        <w:rPr>
          <w:rFonts w:hint="eastAsia"/>
          <w:lang w:val="zh-CN"/>
        </w:rPr>
      </w:pPr>
      <w:r>
        <w:rPr>
          <w:rFonts w:hint="eastAsia"/>
          <w:lang w:val="zh-CN"/>
        </w:rPr>
        <w:t>恐龙化石群省级自然保护区</w:t>
      </w:r>
    </w:p>
    <w:p w14:paraId="2E945C5A">
      <w:pPr>
        <w:pStyle w:val="4"/>
        <w:bidi w:val="0"/>
        <w:rPr>
          <w:rFonts w:hint="eastAsia"/>
          <w:lang w:val="zh-CN"/>
        </w:rPr>
      </w:pPr>
      <w:r>
        <w:rPr>
          <w:rFonts w:hint="eastAsia"/>
          <w:lang w:val="zh-CN"/>
        </w:rPr>
        <w:t>【概况】</w:t>
      </w:r>
    </w:p>
    <w:p w14:paraId="1F6671AA">
      <w:pPr>
        <w:bidi w:val="0"/>
        <w:rPr>
          <w:rFonts w:hint="eastAsia"/>
          <w:lang w:val="zh-CN"/>
        </w:rPr>
      </w:pPr>
      <w:r>
        <w:rPr>
          <w:rFonts w:hint="eastAsia"/>
          <w:lang w:val="zh-CN"/>
        </w:rPr>
        <w:t>广东南雄恐龙化石群省级自然保护区于2005年5月26日经广东</w:t>
      </w:r>
      <w:r>
        <w:rPr>
          <w:rFonts w:hint="eastAsia"/>
          <w:lang w:val="en-US" w:eastAsia="zh-CN"/>
        </w:rPr>
        <w:t>省</w:t>
      </w:r>
      <w:r>
        <w:rPr>
          <w:rFonts w:hint="eastAsia"/>
          <w:lang w:val="zh-CN"/>
        </w:rPr>
        <w:t>人民政府批复升格为省级自然保护区，属地质遗迹类自然保护区。其管理机构——广东南雄恐龙化石群省级自然保护区管理处，为副处级一类公益事业单位，核定事业编制7人，领导职数2个，其中主任1名，副主任1名，人员经费由省财政核拨；内设三个副科级机构：综合科、管护科、宣教科。保护区位于广东省南雄市，主要分为三个区：一区位于南雄城南——主田镇一带，实验区位于主田——南雄公路东侧及东1—5千米范围左右的谭塘坪、石子桥、杨梅山、白石坑、石陂水，面积约9.41平方千米，缓冲区则在主田——南雄公路线东侧0.41—1.5千米范围左右，面积2.27平方千米，核心区为缓冲区及实验区包围的山墚上，面积约0.84平方千米，保护一区总面积12.52平方千米；二区位于湖口镇——水口镇公路西南一带的龙凤塘—上湖洞—罗佛寨等地，实验区位于湖口上湖洞、武台岗、矮岭、莲竹塘、中坪、园圃等地，面积14.2平方千米，缓冲区位于长坑、下湖、张河坝等地，面积2.46平方千米，核心区为缓冲区及实验区包围的山墚上，面积1.25平方千米，保护二区总面积17.91平方千米；三区位于黄坑镇东北一带的杨梅坑——坪岭等地，实验区位于灯笼排、蜡树园、新田圩、浆田等地，面积9.26平方千米，缓冲区位于坪塘、逆龙坑等地，面积1.58平方千米，核心区为缓冲区及实验区包围的山墚上，面积0.94平方千米，保护三区总面积11.78平方千米。整个自然保护区涉及8个镇，核心区面积3.03平方千米，总面积42.21平方千米。</w:t>
      </w:r>
    </w:p>
    <w:p w14:paraId="76B64258">
      <w:pPr>
        <w:pStyle w:val="4"/>
        <w:bidi w:val="0"/>
        <w:rPr>
          <w:rFonts w:hint="eastAsia"/>
          <w:lang w:val="zh-CN"/>
        </w:rPr>
      </w:pPr>
      <w:r>
        <w:rPr>
          <w:rFonts w:hint="eastAsia"/>
          <w:lang w:val="zh-CN"/>
        </w:rPr>
        <w:t>【资源状况】</w:t>
      </w:r>
    </w:p>
    <w:p w14:paraId="11592DA6">
      <w:pPr>
        <w:bidi w:val="0"/>
        <w:rPr>
          <w:rFonts w:hint="eastAsia"/>
          <w:lang w:val="zh-CN"/>
        </w:rPr>
      </w:pPr>
      <w:r>
        <w:rPr>
          <w:rFonts w:hint="eastAsia"/>
          <w:lang w:val="zh-CN"/>
        </w:rPr>
        <w:t>保护区属地质遗迹类型自然保护区，重点保护南雄区域内的古生物化石及典型地层剖面等地质遗迹。古生物遗迹类：恐龙蛋化石，目前南雄所发现的恐龙蛋化石共计6蛋科、9蛋属、16蛋种，还有一些恐龙蛋化石未研究。晚白垩世恐龙动物群发现并记述的恐龙类包括兽脚类、蜥脚类、鸟脚类等计4属4种，龟鳖类1属1种，此外还有一些属于肉食龙类、虚骨龙类、结节龙类以及蜥蜴类的骨骼化石。在南雄盆地采集有14个类群的恐龙蛋化石，恐龙骨骼化石，龟化石，哺乳类化石。地质遗迹类：地层剖面，其中包括典型的E/K界线地层剖面，南雄红层典型地貌红砂岭，丹霞地貌，沉积相特征标志、古气候特征标志。</w:t>
      </w:r>
    </w:p>
    <w:p w14:paraId="0C418B05">
      <w:pPr>
        <w:pStyle w:val="4"/>
        <w:bidi w:val="0"/>
        <w:rPr>
          <w:rFonts w:hint="eastAsia"/>
          <w:lang w:val="zh-CN"/>
        </w:rPr>
      </w:pPr>
      <w:r>
        <w:rPr>
          <w:rFonts w:hint="eastAsia"/>
          <w:lang w:val="zh-CN"/>
        </w:rPr>
        <w:t>【科教宣传】</w:t>
      </w:r>
    </w:p>
    <w:p w14:paraId="16DC6C60">
      <w:pPr>
        <w:bidi w:val="0"/>
        <w:rPr>
          <w:rFonts w:hint="eastAsia"/>
          <w:lang w:val="zh-CN"/>
        </w:rPr>
      </w:pPr>
      <w:r>
        <w:rPr>
          <w:rFonts w:hint="eastAsia"/>
          <w:lang w:val="zh-CN"/>
        </w:rPr>
        <w:t>2018年，广东广播电视台、《2018中国影像方志·南雄篇》摄影组到保护区拍摄南雄恐龙化石、恐龙足迹、恐龙骨骼、地质遗迹等题材宣传片，宣传南雄在国内、国外古生物界集恐龙化石、恐龙足迹、恐龙骨骼“三者并存”的稀有古生物化石及地质遗迹宝贵资源；与市电视台合作拍摄系列专题片《恐龙之声》，全方位、多形式宣传自然保护区管理条例、恐龙知识、南雄恐龙化石的种类、恐龙化石群保护工作的历史沿革和保护区、地质公园范围、分布情况、保护措施等；与科研单位、大中专院校、中小学校联合开展3次科普教育活动；利用第49个“4·22世界地球日”，联合广东省地质灾害防治中心等单位举办主题为“珍惜自然资源，呵护美丽国土”大型科普宣传活动，向广大市民和游客发放《中华人民共和国自然保护区条例》《古生物化石条例》《地学科普知识手册》等宣传资料；在各重要地质遗迹保护点、保护区范围内的村（居）委会设立古生物化石和地质遗迹宣传栏，并向保护区范围内的镇、村干部、群众等发放相关宣传资料，宣传保护国家古生物化石和地质遗迹的重要性，提高人们保护意识。</w:t>
      </w:r>
    </w:p>
    <w:p w14:paraId="4158DD22">
      <w:pPr>
        <w:pStyle w:val="4"/>
        <w:bidi w:val="0"/>
        <w:rPr>
          <w:rFonts w:hint="eastAsia"/>
          <w:lang w:val="zh-CN"/>
        </w:rPr>
      </w:pPr>
      <w:r>
        <w:rPr>
          <w:rFonts w:hint="eastAsia"/>
          <w:lang w:val="zh-CN"/>
        </w:rPr>
        <w:t>【管护举措】</w:t>
      </w:r>
    </w:p>
    <w:p w14:paraId="05B2F429">
      <w:pPr>
        <w:bidi w:val="0"/>
        <w:rPr>
          <w:rFonts w:hint="eastAsia"/>
          <w:lang w:val="zh-CN"/>
        </w:rPr>
      </w:pPr>
      <w:r>
        <w:rPr>
          <w:rFonts w:hint="eastAsia"/>
          <w:lang w:val="zh-CN"/>
        </w:rPr>
        <w:t>2018年购置1台无人机、2台平板电脑、2个GPS、2个执法仪用于保护区开展日常巡查管护；在保护区范围内共安装15个电子摄像头，形成一套完整视频监控体系，进行24小时全方位监控，随时掌握保护区古生物化石和地质遗迹安全动态情况；完善建设省级地质公园苍石寨园区科考道、罗佛寨、下坪地质遗迹科普广场附属工程；取得韶关市政府批准同意启动保护区总体规划的修编工作，经过一年努力，在有关职能部门和镇（街）支持配合下，修编工作通过由省林业厅组织的专家评审。</w:t>
      </w:r>
    </w:p>
    <w:p w14:paraId="61AAB4A0">
      <w:pPr>
        <w:pStyle w:val="4"/>
        <w:bidi w:val="0"/>
        <w:rPr>
          <w:rFonts w:hint="eastAsia"/>
          <w:lang w:val="zh-CN"/>
        </w:rPr>
      </w:pPr>
      <w:r>
        <w:rPr>
          <w:rFonts w:hint="eastAsia"/>
          <w:lang w:val="zh-CN"/>
        </w:rPr>
        <w:t>【资金筹措】</w:t>
      </w:r>
    </w:p>
    <w:p w14:paraId="0BF84DEC">
      <w:pPr>
        <w:bidi w:val="0"/>
        <w:rPr>
          <w:rFonts w:hint="eastAsia"/>
          <w:lang w:val="zh-CN"/>
        </w:rPr>
      </w:pPr>
      <w:r>
        <w:rPr>
          <w:rFonts w:hint="eastAsia"/>
          <w:lang w:val="zh-CN"/>
        </w:rPr>
        <w:t>2018年申请到省级资金140万元、本级财政资金140万元。</w:t>
      </w:r>
      <w:r>
        <w:rPr>
          <w:rFonts w:hint="eastAsia"/>
          <w:b/>
          <w:bCs/>
          <w:lang w:val="zh-CN"/>
        </w:rPr>
        <w:t>（叶秀兰）</w:t>
      </w:r>
    </w:p>
    <w:p w14:paraId="14D14ECA">
      <w:pPr>
        <w:pStyle w:val="11"/>
        <w:bidi w:val="0"/>
        <w:rPr>
          <w:rFonts w:hint="eastAsia"/>
          <w:b/>
          <w:bCs/>
          <w:lang w:val="zh-CN"/>
        </w:rPr>
      </w:pPr>
      <w:r>
        <w:rPr>
          <w:rFonts w:hint="eastAsia"/>
          <w:b/>
          <w:bCs/>
          <w:lang w:val="zh-CN"/>
        </w:rPr>
        <w:t>附：2018年广东南雄恐龙化石群省级自然保护区管理处领导班子成员名单</w:t>
      </w:r>
    </w:p>
    <w:p w14:paraId="329A2B38">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刘</w:t>
      </w:r>
      <w:r>
        <w:rPr>
          <w:rFonts w:hint="eastAsia"/>
          <w:lang w:val="en-US" w:eastAsia="zh-CN"/>
        </w:rPr>
        <w:t xml:space="preserve">  </w:t>
      </w:r>
      <w:r>
        <w:rPr>
          <w:rFonts w:hint="eastAsia"/>
          <w:lang w:val="zh-CN"/>
        </w:rPr>
        <w:t>飞</w:t>
      </w:r>
    </w:p>
    <w:p w14:paraId="56F577DA">
      <w:pPr>
        <w:pStyle w:val="11"/>
        <w:bidi w:val="0"/>
        <w:rPr>
          <w:rFonts w:hint="eastAsia"/>
          <w:lang w:val="zh-CN"/>
        </w:rPr>
      </w:pPr>
      <w:r>
        <w:rPr>
          <w:rFonts w:hint="eastAsia"/>
          <w:b/>
          <w:bCs/>
          <w:lang w:val="zh-CN"/>
        </w:rPr>
        <w:t>副主任：</w:t>
      </w:r>
      <w:r>
        <w:rPr>
          <w:rFonts w:hint="eastAsia"/>
          <w:lang w:val="zh-CN"/>
        </w:rPr>
        <w:t>马月明</w:t>
      </w:r>
    </w:p>
    <w:p w14:paraId="4FD61102">
      <w:pPr>
        <w:pStyle w:val="3"/>
        <w:bidi w:val="0"/>
        <w:rPr>
          <w:rFonts w:hint="eastAsia"/>
          <w:lang w:val="zh-CN"/>
        </w:rPr>
      </w:pPr>
      <w:r>
        <w:rPr>
          <w:rFonts w:hint="eastAsia"/>
          <w:lang w:val="zh-CN"/>
        </w:rPr>
        <w:t>水利</w:t>
      </w:r>
    </w:p>
    <w:p w14:paraId="09382210">
      <w:pPr>
        <w:pStyle w:val="4"/>
        <w:bidi w:val="0"/>
        <w:rPr>
          <w:rFonts w:hint="eastAsia"/>
          <w:lang w:val="zh-CN"/>
        </w:rPr>
      </w:pPr>
      <w:r>
        <w:rPr>
          <w:rFonts w:hint="eastAsia"/>
          <w:lang w:val="zh-CN"/>
        </w:rPr>
        <w:t>【概况】</w:t>
      </w:r>
    </w:p>
    <w:p w14:paraId="23BB5FB8">
      <w:pPr>
        <w:bidi w:val="0"/>
        <w:rPr>
          <w:rFonts w:hint="eastAsia"/>
          <w:lang w:val="zh-CN"/>
        </w:rPr>
      </w:pPr>
      <w:r>
        <w:rPr>
          <w:rFonts w:hint="eastAsia"/>
          <w:lang w:val="zh-CN"/>
        </w:rPr>
        <w:t>南雄市水务局原名“广东省南雄县水电局”。1996年6月，南雄撤县设市后，改为“南雄市水利电力局”。1997年4月，南雄市进行机构改革，更名为“南雄市水利局”。2010年8月，根据南雄市机构编制委员会文件，经南雄市人民政府同意，设立南雄市水务局，为市政府工作部门，将原市水利局的职责划入南雄市水务局。机关行政编制23名，后勤服务人员数2名。有11个内设机构：办公室、人事监察股、水政股、规划计划股、建设与管理股、农水和水资源管理股、财务审计股、农电管理股、防汛防旱防风指挥部办公室、水库移民办公室、河长制管理股。</w:t>
      </w:r>
    </w:p>
    <w:p w14:paraId="291C25FA">
      <w:pPr>
        <w:bidi w:val="0"/>
        <w:rPr>
          <w:rFonts w:hint="eastAsia"/>
          <w:lang w:val="zh-CN"/>
        </w:rPr>
      </w:pPr>
      <w:r>
        <w:rPr>
          <w:rFonts w:hint="eastAsia"/>
          <w:lang w:val="zh-CN"/>
        </w:rPr>
        <w:t>下设13个事业单位：水政监察大队、水利水电工程质量安全监督站、河堤管理所、水利建设工程建设管理中心、机电排灌管理总站、瀑布灌区工程管理所、中坪灌区工程管理所、孔江水库工程管理所、大源水库工程管理所、横江水库工程管理所、宝江水库工程管理所、乌坭水库工程管理所、蛇岭水库工程管理所，其中1个参公管理单位，8个公益一类事业单位，4个公益二类事业单位。</w:t>
      </w:r>
    </w:p>
    <w:p w14:paraId="3AD0E037">
      <w:pPr>
        <w:bidi w:val="0"/>
        <w:rPr>
          <w:rFonts w:hint="eastAsia"/>
          <w:lang w:val="zh-CN"/>
        </w:rPr>
      </w:pPr>
      <w:r>
        <w:rPr>
          <w:rFonts w:hint="eastAsia"/>
          <w:lang w:val="zh-CN"/>
        </w:rPr>
        <w:t>2018年机关在编人员21人，事业单位在编人员177人，提拔1名副科级领导和3名中层骨干。</w:t>
      </w:r>
    </w:p>
    <w:p w14:paraId="64A41A69">
      <w:pPr>
        <w:pStyle w:val="4"/>
        <w:bidi w:val="0"/>
        <w:rPr>
          <w:rFonts w:hint="eastAsia"/>
          <w:lang w:val="zh-CN"/>
        </w:rPr>
      </w:pPr>
      <w:r>
        <w:rPr>
          <w:rFonts w:hint="eastAsia"/>
          <w:lang w:val="zh-CN"/>
        </w:rPr>
        <w:t>【防汛抗旱】</w:t>
      </w:r>
    </w:p>
    <w:p w14:paraId="32912223">
      <w:pPr>
        <w:bidi w:val="0"/>
        <w:rPr>
          <w:rFonts w:hint="eastAsia"/>
          <w:lang w:val="zh-CN"/>
        </w:rPr>
      </w:pPr>
      <w:r>
        <w:rPr>
          <w:rFonts w:hint="eastAsia"/>
          <w:lang w:val="zh-CN"/>
        </w:rPr>
        <w:t>4月16日开始进入汛期。1—12月，区域内平均降雨总量1263.6毫米，同比上年增加2%，同比多年平均多1%。全市13宗重点水库总的正常库容为1.67亿立方米，年内最大蓄水量为9989.39万立方米，占总正常库容的59.9%，最少蓄水量6460.92万立方米，占总正常库容的38.7%。各水库未出现溢洪，2018年度全市农作物受旱面积4413.33公顷，其中轻旱2126.67公顷，重旱2046.67公顷，绝收240.53公顷。2018年全市经历2场强降雨，水毁水利设施5处，通过多方筹措资金和群众投工投劳，完成水毁水利工程修复工作，修复水毁水利工程5处，投入资金40多万元。</w:t>
      </w:r>
    </w:p>
    <w:p w14:paraId="2D70E108">
      <w:pPr>
        <w:pStyle w:val="4"/>
        <w:bidi w:val="0"/>
        <w:rPr>
          <w:rFonts w:hint="eastAsia"/>
          <w:lang w:val="zh-CN"/>
        </w:rPr>
      </w:pPr>
      <w:r>
        <w:rPr>
          <w:rFonts w:hint="eastAsia"/>
          <w:lang w:val="zh-CN"/>
        </w:rPr>
        <w:t>【水利重点工程】</w:t>
      </w:r>
    </w:p>
    <w:p w14:paraId="59DD6D62">
      <w:pPr>
        <w:bidi w:val="0"/>
        <w:rPr>
          <w:rFonts w:hint="eastAsia"/>
          <w:lang w:val="zh-CN"/>
        </w:rPr>
      </w:pPr>
      <w:r>
        <w:rPr>
          <w:rFonts w:hint="eastAsia"/>
          <w:lang w:val="zh-CN"/>
        </w:rPr>
        <w:t>开展山区五市中小河流治理2个项目，河道治理总长69.4千米，概算总投资为1.22亿元。完成全市村村通自来水工程（苍石水库自来水厂工程、宝江水库自来水厂工程、坪田镇自来水厂工程和北城区自来水管网工程）PPP项目的前期工作。在全市范围内开展“乱占、乱堆、乱建、乱采”调查摸底工作。调查统计有3宗，处理2宗。2017年病险山塘除险加固工程项目完成除险加固小山塘21宗，涉及坪田、界址、油山、南亩、水口、乌迳、珠玑、湖口、帽子峰、雄州街道、江头11个镇（街道），工程总投资1000万元，9月底，21宗山塘基本完工。</w:t>
      </w:r>
    </w:p>
    <w:p w14:paraId="7C144945">
      <w:pPr>
        <w:pStyle w:val="4"/>
        <w:bidi w:val="0"/>
        <w:rPr>
          <w:rFonts w:hint="eastAsia"/>
          <w:lang w:val="zh-CN"/>
        </w:rPr>
      </w:pPr>
      <w:r>
        <w:rPr>
          <w:rFonts w:hint="eastAsia"/>
          <w:lang w:val="zh-CN"/>
        </w:rPr>
        <w:t>【水资源管理】</w:t>
      </w:r>
    </w:p>
    <w:p w14:paraId="35484D15">
      <w:pPr>
        <w:bidi w:val="0"/>
        <w:rPr>
          <w:rFonts w:hint="eastAsia"/>
          <w:lang w:val="zh-CN"/>
        </w:rPr>
      </w:pPr>
      <w:r>
        <w:rPr>
          <w:rFonts w:hint="eastAsia"/>
          <w:lang w:val="zh-CN"/>
        </w:rPr>
        <w:t>2018年，全市用水总量为2.64亿立方米，地下水开采量为130万立方米，工业用水量为1876万立方米，生活用水量为1555万立方米，万元GDP用水量为219立方米/万元，万元工业增加值用水量为120立方米/万元，水功能区水质达标率100%，城镇供水水源达标率100%，“三条红线”全部达标。</w:t>
      </w:r>
    </w:p>
    <w:p w14:paraId="78E6F4C4">
      <w:pPr>
        <w:pStyle w:val="4"/>
        <w:bidi w:val="0"/>
        <w:rPr>
          <w:rFonts w:hint="eastAsia"/>
          <w:lang w:val="zh-CN"/>
        </w:rPr>
      </w:pPr>
      <w:r>
        <w:rPr>
          <w:rFonts w:hint="eastAsia"/>
          <w:lang w:val="zh-CN"/>
        </w:rPr>
        <w:t>【小水电站情况】</w:t>
      </w:r>
    </w:p>
    <w:p w14:paraId="2974C109">
      <w:pPr>
        <w:bidi w:val="0"/>
        <w:rPr>
          <w:rFonts w:hint="eastAsia"/>
          <w:lang w:val="zh-CN"/>
        </w:rPr>
      </w:pPr>
      <w:r>
        <w:rPr>
          <w:rFonts w:hint="eastAsia"/>
          <w:lang w:val="zh-CN"/>
        </w:rPr>
        <w:t>2018年，全市共有小水电站187个。落实小水电安全生产“双主体责任”工作，签订责任书。汛前开展重点专项督查农村小水电站安全生产，确保安全度汛。11月，组织开展全市小水电安全生产培训。</w:t>
      </w:r>
    </w:p>
    <w:p w14:paraId="3187ADB5">
      <w:pPr>
        <w:pStyle w:val="4"/>
        <w:bidi w:val="0"/>
        <w:rPr>
          <w:rFonts w:hint="eastAsia"/>
          <w:lang w:val="zh-CN"/>
        </w:rPr>
      </w:pPr>
      <w:r>
        <w:rPr>
          <w:rFonts w:hint="eastAsia"/>
          <w:lang w:val="zh-CN"/>
        </w:rPr>
        <w:t>【执法情况】</w:t>
      </w:r>
    </w:p>
    <w:p w14:paraId="65D2A82D">
      <w:pPr>
        <w:bidi w:val="0"/>
        <w:rPr>
          <w:rFonts w:hint="eastAsia"/>
          <w:lang w:val="zh-CN"/>
        </w:rPr>
      </w:pPr>
      <w:r>
        <w:rPr>
          <w:rFonts w:hint="eastAsia"/>
          <w:lang w:val="zh-CN"/>
        </w:rPr>
        <w:t>开展第26届“世界水日”及第31届“中国水周”水法宣传。公布《南雄市河砂可采区范围》《南雄市河砂禁采区范围》。加大日常水行政执法巡查，出动巡查车辆267台（次）、执法人员843人次，依法查处河砂违法违规行为40宗，罚款26.58万元。对全市河道范围内的砂石船舶进行清理整治工作，79艘砂石船舶于7月清理上岸。同时，依法严格开展取水许可和水资源费、县管河道采砂出让费工作，2018年征收水资源费352万元。</w:t>
      </w:r>
    </w:p>
    <w:p w14:paraId="2CA6D2E2">
      <w:pPr>
        <w:pStyle w:val="4"/>
        <w:bidi w:val="0"/>
        <w:rPr>
          <w:rFonts w:hint="eastAsia"/>
          <w:lang w:val="zh-CN"/>
        </w:rPr>
      </w:pPr>
      <w:r>
        <w:rPr>
          <w:rFonts w:hint="eastAsia"/>
          <w:lang w:val="zh-CN"/>
        </w:rPr>
        <w:t>【水库移民】</w:t>
      </w:r>
    </w:p>
    <w:p w14:paraId="326A3230">
      <w:pPr>
        <w:bidi w:val="0"/>
        <w:rPr>
          <w:rFonts w:hint="eastAsia"/>
          <w:lang w:val="zh-CN"/>
        </w:rPr>
      </w:pPr>
      <w:r>
        <w:rPr>
          <w:rFonts w:hint="eastAsia"/>
          <w:lang w:val="zh-CN"/>
        </w:rPr>
        <w:t>2018年，完成2017年水库移民资金414.43万元的项目。2018年水库资金214万元项目正在实施，直补资金正在申请拨付中。</w:t>
      </w:r>
    </w:p>
    <w:p w14:paraId="581B5366">
      <w:pPr>
        <w:pStyle w:val="4"/>
        <w:bidi w:val="0"/>
        <w:rPr>
          <w:rFonts w:hint="eastAsia"/>
          <w:lang w:val="zh-CN"/>
        </w:rPr>
      </w:pPr>
      <w:r>
        <w:rPr>
          <w:rFonts w:hint="eastAsia"/>
          <w:lang w:val="zh-CN"/>
        </w:rPr>
        <w:t>【精准扶贫】</w:t>
      </w:r>
    </w:p>
    <w:p w14:paraId="43312EFA">
      <w:pPr>
        <w:bidi w:val="0"/>
        <w:rPr>
          <w:rFonts w:hint="eastAsia"/>
          <w:lang w:val="zh-CN"/>
        </w:rPr>
      </w:pPr>
      <w:r>
        <w:rPr>
          <w:rFonts w:hint="eastAsia"/>
          <w:lang w:val="zh-CN"/>
        </w:rPr>
        <w:t>2018年，南雄市水务局挂点扶贫南亩镇长洞村和水塘村。筹款近4万元帮助长洞村委会和水塘村委会修葺破旧屋顶和门窗，改善办公环境；筹款5万元帮助建设长洞村高标准基层党组织活动阵地；帮助长洞向阳村小组修复水毁水槽，解决40多亩农田灌溉问题。2018年，长洞、水塘村29户家庭开展“以奖代补”项目。长洞村1户、水塘村5户完成危房改造，并申请到危房改造补助款。完成水塘、长洞村治理河长9.32千米，清淤疏浚4.89千米，河道护岸长度2.94千米，均为生态浆砌石护脚或格宾笼护脚；维修加固陂头3座；改造机耕桥13座，完成投资340万元。</w:t>
      </w:r>
    </w:p>
    <w:p w14:paraId="1F376811">
      <w:pPr>
        <w:bidi w:val="0"/>
        <w:ind w:left="0" w:leftChars="0" w:firstLine="0" w:firstLineChars="0"/>
        <w:jc w:val="center"/>
        <w:rPr>
          <w:rFonts w:hint="eastAsia"/>
          <w:b/>
          <w:bCs/>
          <w:lang w:val="zh-CN"/>
        </w:rPr>
      </w:pPr>
      <w:r>
        <w:rPr>
          <w:rFonts w:hint="eastAsia"/>
          <w:b/>
          <w:bCs/>
          <w:lang w:val="zh-CN"/>
        </w:rPr>
        <w:t>表3</w:t>
      </w:r>
      <w:r>
        <w:rPr>
          <w:rFonts w:hint="eastAsia"/>
          <w:b/>
          <w:bCs/>
          <w:lang w:val="en-US" w:eastAsia="zh-CN"/>
        </w:rPr>
        <w:t xml:space="preserve">  </w:t>
      </w:r>
      <w:r>
        <w:rPr>
          <w:rFonts w:hint="eastAsia"/>
          <w:b/>
          <w:bCs/>
          <w:lang w:val="zh-CN"/>
        </w:rPr>
        <w:t>山区五市中小河流治理2018年项目达标长度</w:t>
      </w:r>
    </w:p>
    <w:tbl>
      <w:tblPr>
        <w:tblStyle w:val="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9"/>
        <w:gridCol w:w="3902"/>
        <w:gridCol w:w="1548"/>
        <w:gridCol w:w="1512"/>
        <w:gridCol w:w="1263"/>
        <w:gridCol w:w="1094"/>
      </w:tblGrid>
      <w:tr w14:paraId="6DE0D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1" w:type="pct"/>
            <w:tcBorders>
              <w:left w:val="nil"/>
            </w:tcBorders>
            <w:vAlign w:val="center"/>
          </w:tcPr>
          <w:p w14:paraId="62C1A8F5">
            <w:pPr>
              <w:pStyle w:val="11"/>
              <w:bidi w:val="0"/>
              <w:jc w:val="center"/>
              <w:rPr>
                <w:rFonts w:hint="default"/>
                <w:b/>
                <w:bCs/>
                <w:lang w:val="en-US" w:eastAsia="zh-CN"/>
              </w:rPr>
            </w:pPr>
            <w:r>
              <w:rPr>
                <w:rFonts w:hint="eastAsia"/>
                <w:b/>
                <w:bCs/>
                <w:lang w:val="en-US" w:eastAsia="zh-CN"/>
              </w:rPr>
              <w:t>序号</w:t>
            </w:r>
          </w:p>
        </w:tc>
        <w:tc>
          <w:tcPr>
            <w:tcW w:w="1959" w:type="pct"/>
            <w:vAlign w:val="center"/>
          </w:tcPr>
          <w:p w14:paraId="431DD8E8">
            <w:pPr>
              <w:pStyle w:val="11"/>
              <w:bidi w:val="0"/>
              <w:jc w:val="center"/>
              <w:rPr>
                <w:rFonts w:hint="default"/>
                <w:b/>
                <w:bCs/>
                <w:lang w:val="en-US" w:eastAsia="zh-CN"/>
              </w:rPr>
            </w:pPr>
            <w:r>
              <w:rPr>
                <w:rFonts w:hint="eastAsia"/>
                <w:b/>
                <w:bCs/>
                <w:lang w:val="en-US" w:eastAsia="zh-CN"/>
              </w:rPr>
              <w:t>项目名称</w:t>
            </w:r>
          </w:p>
        </w:tc>
        <w:tc>
          <w:tcPr>
            <w:tcW w:w="777" w:type="pct"/>
            <w:vAlign w:val="center"/>
          </w:tcPr>
          <w:p w14:paraId="57CA5656">
            <w:pPr>
              <w:pStyle w:val="11"/>
              <w:bidi w:val="0"/>
              <w:jc w:val="center"/>
              <w:rPr>
                <w:rFonts w:hint="default"/>
                <w:b/>
                <w:bCs/>
                <w:lang w:val="en-US" w:eastAsia="zh-CN"/>
              </w:rPr>
            </w:pPr>
            <w:r>
              <w:rPr>
                <w:rFonts w:hint="eastAsia"/>
                <w:b/>
                <w:bCs/>
                <w:lang w:val="en-US" w:eastAsia="zh-CN"/>
              </w:rPr>
              <w:t>所在镇、村</w:t>
            </w:r>
          </w:p>
        </w:tc>
        <w:tc>
          <w:tcPr>
            <w:tcW w:w="759" w:type="pct"/>
            <w:vAlign w:val="center"/>
          </w:tcPr>
          <w:p w14:paraId="5562E36F">
            <w:pPr>
              <w:pStyle w:val="11"/>
              <w:bidi w:val="0"/>
              <w:jc w:val="center"/>
              <w:rPr>
                <w:rFonts w:hint="default"/>
                <w:b/>
                <w:bCs/>
                <w:lang w:val="en-US" w:eastAsia="zh-CN"/>
              </w:rPr>
            </w:pPr>
            <w:r>
              <w:rPr>
                <w:rFonts w:hint="eastAsia"/>
                <w:b/>
                <w:bCs/>
                <w:lang w:val="en-US" w:eastAsia="zh-CN"/>
              </w:rPr>
              <w:t>建设地点（镇）</w:t>
            </w:r>
          </w:p>
        </w:tc>
        <w:tc>
          <w:tcPr>
            <w:tcW w:w="634" w:type="pct"/>
            <w:vAlign w:val="center"/>
          </w:tcPr>
          <w:p w14:paraId="6A30A519">
            <w:pPr>
              <w:pStyle w:val="11"/>
              <w:bidi w:val="0"/>
              <w:jc w:val="center"/>
              <w:rPr>
                <w:rFonts w:hint="default"/>
                <w:b/>
                <w:bCs/>
                <w:lang w:val="en-US" w:eastAsia="zh-CN"/>
              </w:rPr>
            </w:pPr>
            <w:r>
              <w:rPr>
                <w:rFonts w:hint="eastAsia"/>
                <w:b/>
                <w:bCs/>
                <w:lang w:val="en-US" w:eastAsia="zh-CN"/>
              </w:rPr>
              <w:t>河段长度（千米）</w:t>
            </w:r>
          </w:p>
        </w:tc>
        <w:tc>
          <w:tcPr>
            <w:tcW w:w="549" w:type="pct"/>
            <w:tcBorders>
              <w:right w:val="nil"/>
            </w:tcBorders>
            <w:vAlign w:val="center"/>
          </w:tcPr>
          <w:p w14:paraId="0B25F6BD">
            <w:pPr>
              <w:pStyle w:val="11"/>
              <w:bidi w:val="0"/>
              <w:jc w:val="center"/>
              <w:rPr>
                <w:rFonts w:hint="default"/>
                <w:b/>
                <w:bCs/>
                <w:lang w:val="en-US" w:eastAsia="zh-CN"/>
              </w:rPr>
            </w:pPr>
            <w:r>
              <w:rPr>
                <w:rFonts w:hint="eastAsia"/>
                <w:b/>
                <w:bCs/>
                <w:lang w:val="en-US" w:eastAsia="zh-CN"/>
              </w:rPr>
              <w:t>防洪标准</w:t>
            </w:r>
          </w:p>
        </w:tc>
      </w:tr>
      <w:tr w14:paraId="5A893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1" w:type="pct"/>
            <w:tcBorders>
              <w:left w:val="nil"/>
            </w:tcBorders>
            <w:vAlign w:val="center"/>
          </w:tcPr>
          <w:p w14:paraId="0EFD47EB">
            <w:pPr>
              <w:pStyle w:val="11"/>
              <w:bidi w:val="0"/>
              <w:jc w:val="center"/>
              <w:rPr>
                <w:rFonts w:hint="eastAsia"/>
                <w:lang w:eastAsia="zh-CN"/>
              </w:rPr>
            </w:pPr>
            <w:r>
              <w:rPr>
                <w:lang w:val="zh-CN"/>
              </w:rPr>
              <w:t>1</w:t>
            </w:r>
          </w:p>
        </w:tc>
        <w:tc>
          <w:tcPr>
            <w:tcW w:w="1959" w:type="pct"/>
            <w:vAlign w:val="center"/>
          </w:tcPr>
          <w:p w14:paraId="240C0C84">
            <w:pPr>
              <w:pStyle w:val="11"/>
              <w:bidi w:val="0"/>
              <w:jc w:val="both"/>
              <w:rPr>
                <w:rFonts w:hint="eastAsia"/>
                <w:lang w:eastAsia="zh-CN"/>
              </w:rPr>
            </w:pPr>
            <w:r>
              <w:rPr>
                <w:rFonts w:hint="eastAsia"/>
                <w:lang w:val="zh-CN"/>
              </w:rPr>
              <w:t>南雄市</w:t>
            </w:r>
            <w:r>
              <w:rPr>
                <w:lang w:val="zh-CN"/>
              </w:rPr>
              <w:t>2017</w:t>
            </w:r>
            <w:r>
              <w:rPr>
                <w:rFonts w:hint="eastAsia"/>
                <w:lang w:val="zh-CN"/>
              </w:rPr>
              <w:t>（二期）项目浈江干流治理工程（一）（龙凤塘至上三洲段）</w:t>
            </w:r>
            <w:r>
              <w:rPr>
                <w:lang w:val="zh-CN"/>
              </w:rPr>
              <w:t>EPC</w:t>
            </w:r>
            <w:r>
              <w:rPr>
                <w:rFonts w:hint="eastAsia"/>
                <w:lang w:val="zh-CN"/>
              </w:rPr>
              <w:t>总承包</w:t>
            </w:r>
          </w:p>
        </w:tc>
        <w:tc>
          <w:tcPr>
            <w:tcW w:w="777" w:type="pct"/>
            <w:vAlign w:val="center"/>
          </w:tcPr>
          <w:p w14:paraId="102208D1">
            <w:pPr>
              <w:pStyle w:val="11"/>
              <w:bidi w:val="0"/>
              <w:jc w:val="both"/>
              <w:rPr>
                <w:rFonts w:hint="eastAsia"/>
                <w:lang w:eastAsia="zh-CN"/>
              </w:rPr>
            </w:pPr>
            <w:r>
              <w:rPr>
                <w:rFonts w:hint="eastAsia"/>
                <w:lang w:val="zh-CN"/>
              </w:rPr>
              <w:t>雄州街道、江头镇、水口镇</w:t>
            </w:r>
          </w:p>
        </w:tc>
        <w:tc>
          <w:tcPr>
            <w:tcW w:w="759" w:type="pct"/>
            <w:vAlign w:val="center"/>
          </w:tcPr>
          <w:p w14:paraId="7B9AC7FE">
            <w:pPr>
              <w:pStyle w:val="11"/>
              <w:bidi w:val="0"/>
              <w:jc w:val="both"/>
              <w:rPr>
                <w:rFonts w:hint="eastAsia"/>
                <w:lang w:eastAsia="zh-CN"/>
              </w:rPr>
            </w:pPr>
            <w:r>
              <w:rPr>
                <w:rFonts w:hint="eastAsia"/>
                <w:lang w:val="zh-CN"/>
              </w:rPr>
              <w:t>雄州街道、江头镇、水口镇</w:t>
            </w:r>
          </w:p>
        </w:tc>
        <w:tc>
          <w:tcPr>
            <w:tcW w:w="634" w:type="pct"/>
            <w:vAlign w:val="center"/>
          </w:tcPr>
          <w:p w14:paraId="1B32D66C">
            <w:pPr>
              <w:pStyle w:val="11"/>
              <w:bidi w:val="0"/>
              <w:jc w:val="center"/>
              <w:rPr>
                <w:rFonts w:hint="eastAsia"/>
                <w:lang w:eastAsia="zh-CN"/>
              </w:rPr>
            </w:pPr>
            <w:r>
              <w:rPr>
                <w:lang w:val="zh-CN"/>
              </w:rPr>
              <w:t>20.685</w:t>
            </w:r>
          </w:p>
        </w:tc>
        <w:tc>
          <w:tcPr>
            <w:tcW w:w="549" w:type="pct"/>
            <w:tcBorders>
              <w:right w:val="nil"/>
            </w:tcBorders>
            <w:vAlign w:val="center"/>
          </w:tcPr>
          <w:p w14:paraId="039A0196">
            <w:pPr>
              <w:pStyle w:val="11"/>
              <w:bidi w:val="0"/>
              <w:jc w:val="center"/>
              <w:rPr>
                <w:rFonts w:hint="eastAsia"/>
                <w:lang w:eastAsia="zh-CN"/>
              </w:rPr>
            </w:pPr>
            <w:r>
              <w:rPr>
                <w:lang w:val="zh-CN"/>
              </w:rPr>
              <w:t>5</w:t>
            </w:r>
            <w:r>
              <w:rPr>
                <w:rFonts w:hint="eastAsia"/>
                <w:lang w:val="zh-CN"/>
              </w:rPr>
              <w:t>—</w:t>
            </w:r>
            <w:r>
              <w:rPr>
                <w:lang w:val="zh-CN"/>
              </w:rPr>
              <w:t>10</w:t>
            </w:r>
            <w:r>
              <w:rPr>
                <w:rFonts w:hint="eastAsia"/>
                <w:lang w:val="zh-CN"/>
              </w:rPr>
              <w:t>年</w:t>
            </w:r>
          </w:p>
        </w:tc>
      </w:tr>
      <w:tr w14:paraId="562C1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1" w:type="pct"/>
            <w:tcBorders>
              <w:left w:val="nil"/>
            </w:tcBorders>
            <w:vAlign w:val="center"/>
          </w:tcPr>
          <w:p w14:paraId="5B46E0F5">
            <w:pPr>
              <w:pStyle w:val="11"/>
              <w:bidi w:val="0"/>
              <w:jc w:val="center"/>
              <w:rPr>
                <w:rFonts w:hint="eastAsia"/>
                <w:lang w:eastAsia="zh-CN"/>
              </w:rPr>
            </w:pPr>
            <w:r>
              <w:rPr>
                <w:lang w:val="zh-CN"/>
              </w:rPr>
              <w:t>2</w:t>
            </w:r>
          </w:p>
        </w:tc>
        <w:tc>
          <w:tcPr>
            <w:tcW w:w="1959" w:type="pct"/>
            <w:vAlign w:val="center"/>
          </w:tcPr>
          <w:p w14:paraId="43DD3309">
            <w:pPr>
              <w:pStyle w:val="11"/>
              <w:bidi w:val="0"/>
              <w:jc w:val="both"/>
              <w:rPr>
                <w:rFonts w:hint="eastAsia"/>
                <w:lang w:eastAsia="zh-CN"/>
              </w:rPr>
            </w:pPr>
            <w:r>
              <w:rPr>
                <w:rFonts w:hint="eastAsia"/>
                <w:lang w:val="zh-CN"/>
              </w:rPr>
              <w:t>南雄市</w:t>
            </w:r>
            <w:r>
              <w:rPr>
                <w:lang w:val="zh-CN"/>
              </w:rPr>
              <w:t>2017</w:t>
            </w:r>
            <w:r>
              <w:rPr>
                <w:rFonts w:hint="eastAsia"/>
                <w:lang w:val="zh-CN"/>
              </w:rPr>
              <w:t>年（二期）项目其他浈江一级支流治理工程（一）（芙蓉水、中边水、大沙洲水、水塘水、邓公桥水）</w:t>
            </w:r>
          </w:p>
        </w:tc>
        <w:tc>
          <w:tcPr>
            <w:tcW w:w="777" w:type="pct"/>
            <w:vAlign w:val="center"/>
          </w:tcPr>
          <w:p w14:paraId="699818E9">
            <w:pPr>
              <w:pStyle w:val="11"/>
              <w:bidi w:val="0"/>
              <w:jc w:val="both"/>
              <w:rPr>
                <w:rFonts w:hint="eastAsia"/>
                <w:lang w:eastAsia="zh-CN"/>
              </w:rPr>
            </w:pPr>
            <w:r>
              <w:rPr>
                <w:rFonts w:hint="eastAsia"/>
                <w:lang w:val="zh-CN"/>
              </w:rPr>
              <w:t>南亩镇、百顺镇、湖口镇</w:t>
            </w:r>
          </w:p>
        </w:tc>
        <w:tc>
          <w:tcPr>
            <w:tcW w:w="759" w:type="pct"/>
            <w:vAlign w:val="center"/>
          </w:tcPr>
          <w:p w14:paraId="02A96949">
            <w:pPr>
              <w:pStyle w:val="11"/>
              <w:bidi w:val="0"/>
              <w:jc w:val="both"/>
              <w:rPr>
                <w:rFonts w:hint="eastAsia"/>
                <w:lang w:eastAsia="zh-CN"/>
              </w:rPr>
            </w:pPr>
            <w:r>
              <w:rPr>
                <w:rFonts w:hint="eastAsia"/>
                <w:lang w:val="zh-CN"/>
              </w:rPr>
              <w:t>南亩镇、百顺镇、湖口镇</w:t>
            </w:r>
          </w:p>
        </w:tc>
        <w:tc>
          <w:tcPr>
            <w:tcW w:w="634" w:type="pct"/>
            <w:vAlign w:val="center"/>
          </w:tcPr>
          <w:p w14:paraId="4901EE93">
            <w:pPr>
              <w:pStyle w:val="11"/>
              <w:bidi w:val="0"/>
              <w:jc w:val="center"/>
              <w:rPr>
                <w:rFonts w:hint="eastAsia"/>
                <w:lang w:eastAsia="zh-CN"/>
              </w:rPr>
            </w:pPr>
            <w:r>
              <w:rPr>
                <w:lang w:val="zh-CN"/>
              </w:rPr>
              <w:t>38.67</w:t>
            </w:r>
          </w:p>
        </w:tc>
        <w:tc>
          <w:tcPr>
            <w:tcW w:w="549" w:type="pct"/>
            <w:tcBorders>
              <w:right w:val="nil"/>
            </w:tcBorders>
            <w:vAlign w:val="center"/>
          </w:tcPr>
          <w:p w14:paraId="63B7479B">
            <w:pPr>
              <w:pStyle w:val="11"/>
              <w:bidi w:val="0"/>
              <w:jc w:val="center"/>
              <w:rPr>
                <w:rFonts w:hint="eastAsia"/>
                <w:lang w:eastAsia="zh-CN"/>
              </w:rPr>
            </w:pPr>
            <w:r>
              <w:rPr>
                <w:lang w:val="zh-CN"/>
              </w:rPr>
              <w:t>5</w:t>
            </w:r>
            <w:r>
              <w:rPr>
                <w:rFonts w:hint="eastAsia"/>
                <w:lang w:val="zh-CN"/>
              </w:rPr>
              <w:t>—</w:t>
            </w:r>
            <w:r>
              <w:rPr>
                <w:lang w:val="zh-CN"/>
              </w:rPr>
              <w:t>10</w:t>
            </w:r>
            <w:r>
              <w:rPr>
                <w:rFonts w:hint="eastAsia"/>
                <w:lang w:val="zh-CN"/>
              </w:rPr>
              <w:t>年</w:t>
            </w:r>
          </w:p>
        </w:tc>
      </w:tr>
      <w:tr w14:paraId="16D8D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1" w:type="pct"/>
            <w:tcBorders>
              <w:left w:val="nil"/>
            </w:tcBorders>
            <w:vAlign w:val="center"/>
          </w:tcPr>
          <w:p w14:paraId="52A1510A">
            <w:pPr>
              <w:pStyle w:val="11"/>
              <w:bidi w:val="0"/>
              <w:jc w:val="center"/>
              <w:rPr>
                <w:rFonts w:hint="eastAsia"/>
                <w:lang w:eastAsia="zh-CN"/>
              </w:rPr>
            </w:pPr>
            <w:r>
              <w:rPr>
                <w:lang w:val="zh-CN"/>
              </w:rPr>
              <w:t>3</w:t>
            </w:r>
          </w:p>
        </w:tc>
        <w:tc>
          <w:tcPr>
            <w:tcW w:w="1959" w:type="pct"/>
            <w:vAlign w:val="center"/>
          </w:tcPr>
          <w:p w14:paraId="5C0CC3D5">
            <w:pPr>
              <w:pStyle w:val="11"/>
              <w:bidi w:val="0"/>
              <w:jc w:val="both"/>
              <w:rPr>
                <w:rFonts w:hint="eastAsia"/>
                <w:lang w:eastAsia="zh-CN"/>
              </w:rPr>
            </w:pPr>
            <w:r>
              <w:rPr>
                <w:rFonts w:hint="eastAsia"/>
                <w:lang w:val="zh-CN"/>
              </w:rPr>
              <w:t>南雄市</w:t>
            </w:r>
            <w:r>
              <w:rPr>
                <w:lang w:val="zh-CN"/>
              </w:rPr>
              <w:t>2018</w:t>
            </w:r>
            <w:r>
              <w:rPr>
                <w:rFonts w:hint="eastAsia"/>
                <w:lang w:val="zh-CN"/>
              </w:rPr>
              <w:t>年项目其他浈江一级支流治理工程（二）（庙前水、杨沥水、琵琶岭水、大竹水、延村水）</w:t>
            </w:r>
          </w:p>
        </w:tc>
        <w:tc>
          <w:tcPr>
            <w:tcW w:w="777" w:type="pct"/>
            <w:vAlign w:val="center"/>
          </w:tcPr>
          <w:p w14:paraId="780D55A4">
            <w:pPr>
              <w:pStyle w:val="11"/>
              <w:bidi w:val="0"/>
              <w:jc w:val="both"/>
              <w:rPr>
                <w:rFonts w:hint="eastAsia"/>
                <w:lang w:eastAsia="zh-CN"/>
              </w:rPr>
            </w:pPr>
            <w:r>
              <w:rPr>
                <w:rFonts w:hint="eastAsia"/>
                <w:lang w:val="zh-CN"/>
              </w:rPr>
              <w:t>乌迳镇、全安镇、油山镇</w:t>
            </w:r>
          </w:p>
        </w:tc>
        <w:tc>
          <w:tcPr>
            <w:tcW w:w="759" w:type="pct"/>
            <w:vAlign w:val="center"/>
          </w:tcPr>
          <w:p w14:paraId="334C1607">
            <w:pPr>
              <w:pStyle w:val="11"/>
              <w:bidi w:val="0"/>
              <w:jc w:val="both"/>
              <w:rPr>
                <w:rFonts w:hint="eastAsia"/>
                <w:lang w:eastAsia="zh-CN"/>
              </w:rPr>
            </w:pPr>
            <w:r>
              <w:rPr>
                <w:rFonts w:hint="eastAsia"/>
                <w:lang w:val="zh-CN"/>
              </w:rPr>
              <w:t>乌迳镇、全安镇、油山镇</w:t>
            </w:r>
          </w:p>
        </w:tc>
        <w:tc>
          <w:tcPr>
            <w:tcW w:w="634" w:type="pct"/>
            <w:vAlign w:val="center"/>
          </w:tcPr>
          <w:p w14:paraId="06E4C32A">
            <w:pPr>
              <w:pStyle w:val="11"/>
              <w:bidi w:val="0"/>
              <w:jc w:val="center"/>
              <w:rPr>
                <w:rFonts w:hint="eastAsia"/>
                <w:lang w:eastAsia="zh-CN"/>
              </w:rPr>
            </w:pPr>
            <w:r>
              <w:rPr>
                <w:lang w:val="zh-CN"/>
              </w:rPr>
              <w:t>45.1</w:t>
            </w:r>
          </w:p>
        </w:tc>
        <w:tc>
          <w:tcPr>
            <w:tcW w:w="549" w:type="pct"/>
            <w:tcBorders>
              <w:right w:val="nil"/>
            </w:tcBorders>
            <w:vAlign w:val="center"/>
          </w:tcPr>
          <w:p w14:paraId="268681B5">
            <w:pPr>
              <w:pStyle w:val="11"/>
              <w:bidi w:val="0"/>
              <w:jc w:val="center"/>
              <w:rPr>
                <w:rFonts w:hint="eastAsia"/>
                <w:lang w:eastAsia="zh-CN"/>
              </w:rPr>
            </w:pPr>
            <w:r>
              <w:rPr>
                <w:lang w:val="zh-CN"/>
              </w:rPr>
              <w:t>5</w:t>
            </w:r>
            <w:r>
              <w:rPr>
                <w:rFonts w:hint="eastAsia"/>
                <w:lang w:val="zh-CN"/>
              </w:rPr>
              <w:t>—</w:t>
            </w:r>
            <w:r>
              <w:rPr>
                <w:lang w:val="zh-CN"/>
              </w:rPr>
              <w:t>10</w:t>
            </w:r>
            <w:r>
              <w:rPr>
                <w:rFonts w:hint="eastAsia"/>
                <w:lang w:val="zh-CN"/>
              </w:rPr>
              <w:t>年</w:t>
            </w:r>
          </w:p>
        </w:tc>
      </w:tr>
      <w:tr w14:paraId="1B020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1" w:type="pct"/>
            <w:tcBorders>
              <w:left w:val="nil"/>
            </w:tcBorders>
            <w:vAlign w:val="center"/>
          </w:tcPr>
          <w:p w14:paraId="2548B452">
            <w:pPr>
              <w:pStyle w:val="11"/>
              <w:bidi w:val="0"/>
              <w:jc w:val="center"/>
              <w:rPr>
                <w:rFonts w:hint="eastAsia"/>
                <w:lang w:eastAsia="zh-CN"/>
              </w:rPr>
            </w:pPr>
            <w:r>
              <w:rPr>
                <w:lang w:val="zh-CN"/>
              </w:rPr>
              <w:t>4</w:t>
            </w:r>
          </w:p>
        </w:tc>
        <w:tc>
          <w:tcPr>
            <w:tcW w:w="1959" w:type="pct"/>
            <w:vAlign w:val="center"/>
          </w:tcPr>
          <w:p w14:paraId="55413262">
            <w:pPr>
              <w:pStyle w:val="11"/>
              <w:bidi w:val="0"/>
              <w:jc w:val="both"/>
              <w:rPr>
                <w:rFonts w:hint="eastAsia"/>
                <w:lang w:eastAsia="zh-CN"/>
              </w:rPr>
            </w:pPr>
            <w:r>
              <w:rPr>
                <w:lang w:val="zh-CN"/>
              </w:rPr>
              <w:t>2018</w:t>
            </w:r>
            <w:r>
              <w:rPr>
                <w:rFonts w:hint="eastAsia"/>
                <w:lang w:val="zh-CN"/>
              </w:rPr>
              <w:t>年浈江干流治理工程（二）（坪地山至头渡段）</w:t>
            </w:r>
          </w:p>
        </w:tc>
        <w:tc>
          <w:tcPr>
            <w:tcW w:w="777" w:type="pct"/>
            <w:vAlign w:val="center"/>
          </w:tcPr>
          <w:p w14:paraId="63D427F2">
            <w:pPr>
              <w:pStyle w:val="11"/>
              <w:bidi w:val="0"/>
              <w:jc w:val="both"/>
              <w:rPr>
                <w:rFonts w:hint="eastAsia"/>
                <w:lang w:eastAsia="zh-CN"/>
              </w:rPr>
            </w:pPr>
            <w:r>
              <w:rPr>
                <w:rFonts w:hint="eastAsia"/>
                <w:lang w:val="zh-CN"/>
              </w:rPr>
              <w:t>乌迳镇、黄坑镇、水口镇、湖口镇</w:t>
            </w:r>
          </w:p>
        </w:tc>
        <w:tc>
          <w:tcPr>
            <w:tcW w:w="759" w:type="pct"/>
            <w:vAlign w:val="center"/>
          </w:tcPr>
          <w:p w14:paraId="0F7E3F2A">
            <w:pPr>
              <w:pStyle w:val="11"/>
              <w:bidi w:val="0"/>
              <w:jc w:val="both"/>
              <w:rPr>
                <w:rFonts w:hint="eastAsia"/>
                <w:lang w:eastAsia="zh-CN"/>
              </w:rPr>
            </w:pPr>
            <w:r>
              <w:rPr>
                <w:rFonts w:hint="eastAsia"/>
                <w:lang w:val="zh-CN"/>
              </w:rPr>
              <w:t>乌迳镇、黄坑镇、水口镇、湖口镇</w:t>
            </w:r>
          </w:p>
        </w:tc>
        <w:tc>
          <w:tcPr>
            <w:tcW w:w="634" w:type="pct"/>
            <w:vAlign w:val="center"/>
          </w:tcPr>
          <w:p w14:paraId="59B6ED2D">
            <w:pPr>
              <w:pStyle w:val="11"/>
              <w:bidi w:val="0"/>
              <w:jc w:val="center"/>
              <w:rPr>
                <w:rFonts w:hint="eastAsia"/>
                <w:lang w:eastAsia="zh-CN"/>
              </w:rPr>
            </w:pPr>
            <w:r>
              <w:rPr>
                <w:lang w:val="zh-CN"/>
              </w:rPr>
              <w:t>24.3</w:t>
            </w:r>
          </w:p>
        </w:tc>
        <w:tc>
          <w:tcPr>
            <w:tcW w:w="549" w:type="pct"/>
            <w:tcBorders>
              <w:right w:val="nil"/>
            </w:tcBorders>
            <w:vAlign w:val="center"/>
          </w:tcPr>
          <w:p w14:paraId="0A8BB3FF">
            <w:pPr>
              <w:pStyle w:val="11"/>
              <w:bidi w:val="0"/>
              <w:jc w:val="center"/>
              <w:rPr>
                <w:rFonts w:hint="eastAsia"/>
                <w:lang w:eastAsia="zh-CN"/>
              </w:rPr>
            </w:pPr>
            <w:r>
              <w:rPr>
                <w:lang w:val="zh-CN"/>
              </w:rPr>
              <w:t>5</w:t>
            </w:r>
            <w:r>
              <w:rPr>
                <w:rFonts w:hint="eastAsia"/>
                <w:lang w:val="zh-CN"/>
              </w:rPr>
              <w:t>—</w:t>
            </w:r>
            <w:r>
              <w:rPr>
                <w:lang w:val="zh-CN"/>
              </w:rPr>
              <w:t>10</w:t>
            </w:r>
            <w:r>
              <w:rPr>
                <w:rFonts w:hint="eastAsia"/>
                <w:lang w:val="zh-CN"/>
              </w:rPr>
              <w:t>年</w:t>
            </w:r>
          </w:p>
        </w:tc>
      </w:tr>
      <w:tr w14:paraId="30F1A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1" w:type="pct"/>
            <w:tcBorders>
              <w:left w:val="nil"/>
            </w:tcBorders>
            <w:vAlign w:val="center"/>
          </w:tcPr>
          <w:p w14:paraId="5461BA6B">
            <w:pPr>
              <w:pStyle w:val="11"/>
              <w:bidi w:val="0"/>
              <w:jc w:val="center"/>
              <w:rPr>
                <w:rFonts w:hint="eastAsia"/>
                <w:lang w:eastAsia="zh-CN"/>
              </w:rPr>
            </w:pPr>
            <w:r>
              <w:rPr>
                <w:lang w:val="zh-CN"/>
              </w:rPr>
              <w:t>5</w:t>
            </w:r>
          </w:p>
        </w:tc>
        <w:tc>
          <w:tcPr>
            <w:tcW w:w="1959" w:type="pct"/>
            <w:vAlign w:val="center"/>
          </w:tcPr>
          <w:p w14:paraId="1E2A2669">
            <w:pPr>
              <w:pStyle w:val="11"/>
              <w:bidi w:val="0"/>
              <w:jc w:val="both"/>
              <w:rPr>
                <w:rFonts w:hint="eastAsia"/>
                <w:lang w:eastAsia="zh-CN"/>
              </w:rPr>
            </w:pPr>
            <w:r>
              <w:rPr>
                <w:rFonts w:hint="eastAsia"/>
                <w:lang w:val="zh-CN"/>
              </w:rPr>
              <w:t>合计</w:t>
            </w:r>
          </w:p>
        </w:tc>
        <w:tc>
          <w:tcPr>
            <w:tcW w:w="777" w:type="pct"/>
            <w:vAlign w:val="center"/>
          </w:tcPr>
          <w:p w14:paraId="0492552A">
            <w:pPr>
              <w:pStyle w:val="11"/>
              <w:bidi w:val="0"/>
              <w:jc w:val="both"/>
              <w:rPr>
                <w:rFonts w:hint="eastAsia"/>
                <w:lang w:eastAsia="zh-CN"/>
              </w:rPr>
            </w:pPr>
          </w:p>
        </w:tc>
        <w:tc>
          <w:tcPr>
            <w:tcW w:w="759" w:type="pct"/>
            <w:vAlign w:val="center"/>
          </w:tcPr>
          <w:p w14:paraId="1B6DB647">
            <w:pPr>
              <w:pStyle w:val="11"/>
              <w:bidi w:val="0"/>
              <w:jc w:val="both"/>
              <w:rPr>
                <w:rFonts w:hint="eastAsia"/>
                <w:lang w:eastAsia="zh-CN"/>
              </w:rPr>
            </w:pPr>
          </w:p>
        </w:tc>
        <w:tc>
          <w:tcPr>
            <w:tcW w:w="634" w:type="pct"/>
            <w:vAlign w:val="center"/>
          </w:tcPr>
          <w:p w14:paraId="32D6B19B">
            <w:pPr>
              <w:pStyle w:val="11"/>
              <w:bidi w:val="0"/>
              <w:jc w:val="center"/>
              <w:rPr>
                <w:rFonts w:hint="eastAsia"/>
                <w:lang w:eastAsia="zh-CN"/>
              </w:rPr>
            </w:pPr>
            <w:r>
              <w:rPr>
                <w:lang w:val="zh-CN"/>
              </w:rPr>
              <w:t>128.755</w:t>
            </w:r>
          </w:p>
        </w:tc>
        <w:tc>
          <w:tcPr>
            <w:tcW w:w="549" w:type="pct"/>
            <w:tcBorders>
              <w:right w:val="nil"/>
            </w:tcBorders>
            <w:vAlign w:val="center"/>
          </w:tcPr>
          <w:p w14:paraId="22E1E44B">
            <w:pPr>
              <w:pStyle w:val="11"/>
              <w:bidi w:val="0"/>
              <w:jc w:val="center"/>
              <w:rPr>
                <w:rFonts w:hint="eastAsia"/>
                <w:lang w:eastAsia="zh-CN"/>
              </w:rPr>
            </w:pPr>
          </w:p>
        </w:tc>
      </w:tr>
    </w:tbl>
    <w:p w14:paraId="73CA0BF6">
      <w:pPr>
        <w:bidi w:val="0"/>
        <w:ind w:left="0" w:leftChars="0" w:firstLine="0" w:firstLineChars="0"/>
        <w:jc w:val="center"/>
        <w:rPr>
          <w:rFonts w:hint="eastAsia"/>
          <w:b/>
          <w:bCs/>
          <w:lang w:val="zh-CN"/>
        </w:rPr>
      </w:pPr>
      <w:r>
        <w:rPr>
          <w:rFonts w:hint="eastAsia"/>
          <w:b/>
          <w:bCs/>
          <w:lang w:val="zh-CN"/>
        </w:rPr>
        <w:t>表4</w:t>
      </w:r>
      <w:r>
        <w:rPr>
          <w:rFonts w:hint="eastAsia"/>
          <w:b/>
          <w:bCs/>
          <w:lang w:val="en-US" w:eastAsia="zh-CN"/>
        </w:rPr>
        <w:t xml:space="preserve">  </w:t>
      </w:r>
      <w:r>
        <w:rPr>
          <w:rFonts w:hint="eastAsia"/>
          <w:b/>
          <w:bCs/>
          <w:lang w:val="zh-CN"/>
        </w:rPr>
        <w:t>南雄市大中型水库特性表</w:t>
      </w:r>
    </w:p>
    <w:tbl>
      <w:tblPr>
        <w:tblStyle w:val="7"/>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96"/>
        <w:gridCol w:w="635"/>
        <w:gridCol w:w="865"/>
        <w:gridCol w:w="843"/>
        <w:gridCol w:w="935"/>
        <w:gridCol w:w="855"/>
        <w:gridCol w:w="902"/>
        <w:gridCol w:w="890"/>
        <w:gridCol w:w="920"/>
        <w:gridCol w:w="910"/>
        <w:gridCol w:w="1045"/>
      </w:tblGrid>
      <w:tr w14:paraId="0F736B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blHeader/>
        </w:trPr>
        <w:tc>
          <w:tcPr>
            <w:tcW w:w="508" w:type="pct"/>
            <w:vMerge w:val="restart"/>
            <w:shd w:val="clear" w:color="auto" w:fill="FFFFFF"/>
            <w:noWrap w:val="0"/>
            <w:tcMar>
              <w:top w:w="28" w:type="dxa"/>
              <w:left w:w="28" w:type="dxa"/>
              <w:bottom w:w="28" w:type="dxa"/>
              <w:right w:w="28" w:type="dxa"/>
            </w:tcMar>
            <w:vAlign w:val="center"/>
          </w:tcPr>
          <w:p w14:paraId="3A6941F4">
            <w:pPr>
              <w:pStyle w:val="11"/>
              <w:bidi w:val="0"/>
              <w:jc w:val="center"/>
              <w:rPr>
                <w:rFonts w:hint="eastAsia"/>
                <w:b/>
                <w:bCs/>
                <w:lang w:val="zh-CN"/>
              </w:rPr>
            </w:pPr>
            <w:r>
              <w:rPr>
                <w:rFonts w:hint="eastAsia"/>
                <w:b/>
                <w:bCs/>
                <w:lang w:val="zh-CN"/>
              </w:rPr>
              <w:t>水库名称</w:t>
            </w:r>
          </w:p>
        </w:tc>
        <w:tc>
          <w:tcPr>
            <w:tcW w:w="324" w:type="pct"/>
            <w:vMerge w:val="restart"/>
            <w:shd w:val="clear" w:color="auto" w:fill="FFFFFF"/>
            <w:noWrap w:val="0"/>
            <w:tcMar>
              <w:top w:w="28" w:type="dxa"/>
              <w:left w:w="28" w:type="dxa"/>
              <w:bottom w:w="28" w:type="dxa"/>
              <w:right w:w="28" w:type="dxa"/>
            </w:tcMar>
            <w:vAlign w:val="center"/>
          </w:tcPr>
          <w:p w14:paraId="4CED7043">
            <w:pPr>
              <w:pStyle w:val="11"/>
              <w:bidi w:val="0"/>
              <w:jc w:val="center"/>
              <w:rPr>
                <w:rFonts w:hint="eastAsia"/>
                <w:b/>
                <w:bCs/>
                <w:lang w:val="zh-CN"/>
              </w:rPr>
            </w:pPr>
            <w:r>
              <w:rPr>
                <w:rFonts w:hint="eastAsia"/>
                <w:b/>
                <w:bCs/>
                <w:lang w:val="zh-CN"/>
              </w:rPr>
              <w:t>所在河流</w:t>
            </w:r>
          </w:p>
        </w:tc>
        <w:tc>
          <w:tcPr>
            <w:tcW w:w="441" w:type="pct"/>
            <w:vMerge w:val="restart"/>
            <w:shd w:val="clear" w:color="auto" w:fill="FFFFFF"/>
            <w:noWrap w:val="0"/>
            <w:tcMar>
              <w:top w:w="28" w:type="dxa"/>
              <w:left w:w="28" w:type="dxa"/>
              <w:bottom w:w="28" w:type="dxa"/>
              <w:right w:w="28" w:type="dxa"/>
            </w:tcMar>
            <w:vAlign w:val="center"/>
          </w:tcPr>
          <w:p w14:paraId="57182FFC">
            <w:pPr>
              <w:pStyle w:val="11"/>
              <w:bidi w:val="0"/>
              <w:jc w:val="center"/>
              <w:rPr>
                <w:rFonts w:hint="eastAsia"/>
                <w:b/>
                <w:bCs/>
                <w:lang w:val="zh-CN"/>
              </w:rPr>
            </w:pPr>
            <w:r>
              <w:rPr>
                <w:rFonts w:hint="eastAsia"/>
                <w:b/>
                <w:bCs/>
                <w:lang w:val="zh-CN"/>
              </w:rPr>
              <w:t>集雨面积（km3）</w:t>
            </w:r>
          </w:p>
        </w:tc>
        <w:tc>
          <w:tcPr>
            <w:tcW w:w="430" w:type="pct"/>
            <w:vMerge w:val="restart"/>
            <w:shd w:val="clear" w:color="auto" w:fill="FFFFFF"/>
            <w:noWrap w:val="0"/>
            <w:tcMar>
              <w:top w:w="28" w:type="dxa"/>
              <w:left w:w="28" w:type="dxa"/>
              <w:bottom w:w="28" w:type="dxa"/>
              <w:right w:w="28" w:type="dxa"/>
            </w:tcMar>
            <w:vAlign w:val="center"/>
          </w:tcPr>
          <w:p w14:paraId="40BC5DED">
            <w:pPr>
              <w:pStyle w:val="11"/>
              <w:bidi w:val="0"/>
              <w:jc w:val="center"/>
              <w:rPr>
                <w:rFonts w:hint="eastAsia"/>
                <w:b/>
                <w:bCs/>
                <w:lang w:val="zh-CN"/>
              </w:rPr>
            </w:pPr>
            <w:r>
              <w:rPr>
                <w:rFonts w:hint="eastAsia"/>
                <w:b/>
                <w:bCs/>
                <w:lang w:val="zh-CN"/>
              </w:rPr>
              <w:t>总库容（亿m3）</w:t>
            </w:r>
          </w:p>
        </w:tc>
        <w:tc>
          <w:tcPr>
            <w:tcW w:w="477" w:type="pct"/>
            <w:vMerge w:val="restart"/>
            <w:shd w:val="clear" w:color="auto" w:fill="FFFFFF"/>
            <w:noWrap w:val="0"/>
            <w:tcMar>
              <w:top w:w="28" w:type="dxa"/>
              <w:left w:w="28" w:type="dxa"/>
              <w:bottom w:w="28" w:type="dxa"/>
              <w:right w:w="28" w:type="dxa"/>
            </w:tcMar>
            <w:vAlign w:val="center"/>
          </w:tcPr>
          <w:p w14:paraId="110958CE">
            <w:pPr>
              <w:pStyle w:val="11"/>
              <w:bidi w:val="0"/>
              <w:jc w:val="center"/>
              <w:rPr>
                <w:rFonts w:hint="eastAsia"/>
                <w:b/>
                <w:bCs/>
                <w:lang w:val="zh-CN"/>
              </w:rPr>
            </w:pPr>
            <w:r>
              <w:rPr>
                <w:rFonts w:hint="eastAsia"/>
                <w:b/>
                <w:bCs/>
                <w:lang w:val="zh-CN"/>
              </w:rPr>
              <w:t>防洪库容（亿m3）</w:t>
            </w:r>
          </w:p>
        </w:tc>
        <w:tc>
          <w:tcPr>
            <w:tcW w:w="896" w:type="pct"/>
            <w:gridSpan w:val="2"/>
            <w:shd w:val="clear" w:color="auto" w:fill="FFFFFF"/>
            <w:noWrap w:val="0"/>
            <w:tcMar>
              <w:top w:w="28" w:type="dxa"/>
              <w:left w:w="28" w:type="dxa"/>
              <w:bottom w:w="28" w:type="dxa"/>
              <w:right w:w="28" w:type="dxa"/>
            </w:tcMar>
            <w:vAlign w:val="center"/>
          </w:tcPr>
          <w:p w14:paraId="56B1C82D">
            <w:pPr>
              <w:pStyle w:val="11"/>
              <w:bidi w:val="0"/>
              <w:jc w:val="center"/>
              <w:rPr>
                <w:rFonts w:hint="eastAsia"/>
                <w:b/>
                <w:bCs/>
                <w:lang w:val="zh-CN"/>
              </w:rPr>
            </w:pPr>
            <w:r>
              <w:rPr>
                <w:rFonts w:hint="eastAsia"/>
                <w:b/>
                <w:bCs/>
                <w:lang w:val="zh-CN"/>
              </w:rPr>
              <w:t>特征水位</w:t>
            </w:r>
          </w:p>
        </w:tc>
        <w:tc>
          <w:tcPr>
            <w:tcW w:w="1920" w:type="pct"/>
            <w:gridSpan w:val="4"/>
            <w:shd w:val="clear" w:color="auto" w:fill="FFFFFF"/>
            <w:noWrap w:val="0"/>
            <w:tcMar>
              <w:top w:w="28" w:type="dxa"/>
              <w:left w:w="28" w:type="dxa"/>
              <w:bottom w:w="28" w:type="dxa"/>
              <w:right w:w="28" w:type="dxa"/>
            </w:tcMar>
            <w:vAlign w:val="center"/>
          </w:tcPr>
          <w:p w14:paraId="56AFB6FD">
            <w:pPr>
              <w:pStyle w:val="11"/>
              <w:bidi w:val="0"/>
              <w:jc w:val="center"/>
              <w:rPr>
                <w:rFonts w:hint="eastAsia"/>
                <w:b/>
                <w:bCs/>
                <w:lang w:val="zh-CN"/>
              </w:rPr>
            </w:pPr>
            <w:r>
              <w:rPr>
                <w:rFonts w:hint="eastAsia"/>
                <w:b/>
                <w:bCs/>
                <w:lang w:val="zh-CN"/>
              </w:rPr>
              <w:t>主坝</w:t>
            </w:r>
          </w:p>
        </w:tc>
      </w:tr>
      <w:tr w14:paraId="149426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blHeader/>
        </w:trPr>
        <w:tc>
          <w:tcPr>
            <w:tcW w:w="508" w:type="pct"/>
            <w:vMerge w:val="continue"/>
            <w:shd w:val="clear" w:color="auto" w:fill="FFFFFF"/>
            <w:noWrap w:val="0"/>
            <w:vAlign w:val="center"/>
          </w:tcPr>
          <w:p w14:paraId="14EA1E3B">
            <w:pPr>
              <w:pStyle w:val="11"/>
              <w:bidi w:val="0"/>
              <w:jc w:val="center"/>
              <w:rPr>
                <w:rFonts w:hint="eastAsia"/>
                <w:b/>
                <w:bCs/>
              </w:rPr>
            </w:pPr>
          </w:p>
        </w:tc>
        <w:tc>
          <w:tcPr>
            <w:tcW w:w="324" w:type="pct"/>
            <w:vMerge w:val="continue"/>
            <w:shd w:val="clear" w:color="auto" w:fill="FFFFFF"/>
            <w:noWrap w:val="0"/>
            <w:vAlign w:val="center"/>
          </w:tcPr>
          <w:p w14:paraId="78F5F969">
            <w:pPr>
              <w:pStyle w:val="11"/>
              <w:bidi w:val="0"/>
              <w:jc w:val="center"/>
              <w:rPr>
                <w:rFonts w:hint="eastAsia"/>
                <w:b/>
                <w:bCs/>
              </w:rPr>
            </w:pPr>
          </w:p>
        </w:tc>
        <w:tc>
          <w:tcPr>
            <w:tcW w:w="441" w:type="pct"/>
            <w:vMerge w:val="continue"/>
            <w:shd w:val="clear" w:color="auto" w:fill="FFFFFF"/>
            <w:noWrap w:val="0"/>
            <w:vAlign w:val="center"/>
          </w:tcPr>
          <w:p w14:paraId="7B6ED724">
            <w:pPr>
              <w:pStyle w:val="11"/>
              <w:bidi w:val="0"/>
              <w:jc w:val="center"/>
              <w:rPr>
                <w:rFonts w:hint="eastAsia"/>
                <w:b/>
                <w:bCs/>
              </w:rPr>
            </w:pPr>
          </w:p>
        </w:tc>
        <w:tc>
          <w:tcPr>
            <w:tcW w:w="430" w:type="pct"/>
            <w:vMerge w:val="continue"/>
            <w:shd w:val="clear" w:color="auto" w:fill="FFFFFF"/>
            <w:noWrap w:val="0"/>
            <w:vAlign w:val="center"/>
          </w:tcPr>
          <w:p w14:paraId="7BC62DD9">
            <w:pPr>
              <w:pStyle w:val="11"/>
              <w:bidi w:val="0"/>
              <w:jc w:val="center"/>
              <w:rPr>
                <w:rFonts w:hint="eastAsia"/>
                <w:b/>
                <w:bCs/>
              </w:rPr>
            </w:pPr>
          </w:p>
        </w:tc>
        <w:tc>
          <w:tcPr>
            <w:tcW w:w="477" w:type="pct"/>
            <w:vMerge w:val="continue"/>
            <w:shd w:val="clear" w:color="auto" w:fill="FFFFFF"/>
            <w:noWrap w:val="0"/>
            <w:vAlign w:val="center"/>
          </w:tcPr>
          <w:p w14:paraId="56E6C73F">
            <w:pPr>
              <w:pStyle w:val="11"/>
              <w:bidi w:val="0"/>
              <w:jc w:val="center"/>
              <w:rPr>
                <w:rFonts w:hint="eastAsia"/>
                <w:b/>
                <w:bCs/>
              </w:rPr>
            </w:pPr>
          </w:p>
        </w:tc>
        <w:tc>
          <w:tcPr>
            <w:tcW w:w="436" w:type="pct"/>
            <w:shd w:val="clear" w:color="auto" w:fill="FFFFFF"/>
            <w:noWrap w:val="0"/>
            <w:tcMar>
              <w:top w:w="28" w:type="dxa"/>
              <w:left w:w="28" w:type="dxa"/>
              <w:bottom w:w="28" w:type="dxa"/>
              <w:right w:w="28" w:type="dxa"/>
            </w:tcMar>
            <w:vAlign w:val="center"/>
          </w:tcPr>
          <w:p w14:paraId="562A0158">
            <w:pPr>
              <w:pStyle w:val="11"/>
              <w:bidi w:val="0"/>
              <w:jc w:val="center"/>
              <w:rPr>
                <w:rFonts w:hint="eastAsia"/>
                <w:b/>
                <w:bCs/>
                <w:lang w:val="zh-CN"/>
              </w:rPr>
            </w:pPr>
            <w:r>
              <w:rPr>
                <w:rFonts w:hint="eastAsia"/>
                <w:b/>
                <w:bCs/>
                <w:lang w:val="zh-CN"/>
              </w:rPr>
              <w:t>死水位</w:t>
            </w:r>
          </w:p>
        </w:tc>
        <w:tc>
          <w:tcPr>
            <w:tcW w:w="460" w:type="pct"/>
            <w:shd w:val="clear" w:color="auto" w:fill="FFFFFF"/>
            <w:noWrap w:val="0"/>
            <w:tcMar>
              <w:top w:w="28" w:type="dxa"/>
              <w:left w:w="28" w:type="dxa"/>
              <w:bottom w:w="28" w:type="dxa"/>
              <w:right w:w="28" w:type="dxa"/>
            </w:tcMar>
            <w:vAlign w:val="center"/>
          </w:tcPr>
          <w:p w14:paraId="7E1612E3">
            <w:pPr>
              <w:pStyle w:val="11"/>
              <w:bidi w:val="0"/>
              <w:jc w:val="center"/>
              <w:rPr>
                <w:rFonts w:hint="eastAsia"/>
                <w:b/>
                <w:bCs/>
                <w:lang w:val="zh-CN"/>
              </w:rPr>
            </w:pPr>
            <w:r>
              <w:rPr>
                <w:rFonts w:hint="eastAsia"/>
                <w:b/>
                <w:bCs/>
                <w:lang w:val="zh-CN"/>
              </w:rPr>
              <w:t>死库容</w:t>
            </w:r>
          </w:p>
        </w:tc>
        <w:tc>
          <w:tcPr>
            <w:tcW w:w="454" w:type="pct"/>
            <w:shd w:val="clear" w:color="auto" w:fill="FFFFFF"/>
            <w:noWrap w:val="0"/>
            <w:tcMar>
              <w:top w:w="28" w:type="dxa"/>
              <w:left w:w="28" w:type="dxa"/>
              <w:bottom w:w="28" w:type="dxa"/>
              <w:right w:w="28" w:type="dxa"/>
            </w:tcMar>
            <w:vAlign w:val="center"/>
          </w:tcPr>
          <w:p w14:paraId="752BF825">
            <w:pPr>
              <w:pStyle w:val="11"/>
              <w:bidi w:val="0"/>
              <w:jc w:val="center"/>
              <w:rPr>
                <w:rFonts w:hint="eastAsia"/>
                <w:b/>
                <w:bCs/>
                <w:lang w:val="zh-CN"/>
              </w:rPr>
            </w:pPr>
            <w:r>
              <w:rPr>
                <w:rFonts w:hint="eastAsia"/>
                <w:b/>
                <w:bCs/>
                <w:lang w:val="zh-CN"/>
              </w:rPr>
              <w:t>坝型</w:t>
            </w:r>
          </w:p>
        </w:tc>
        <w:tc>
          <w:tcPr>
            <w:tcW w:w="469" w:type="pct"/>
            <w:shd w:val="clear" w:color="auto" w:fill="FFFFFF"/>
            <w:noWrap w:val="0"/>
            <w:tcMar>
              <w:top w:w="28" w:type="dxa"/>
              <w:left w:w="28" w:type="dxa"/>
              <w:bottom w:w="28" w:type="dxa"/>
              <w:right w:w="28" w:type="dxa"/>
            </w:tcMar>
            <w:vAlign w:val="center"/>
          </w:tcPr>
          <w:p w14:paraId="67281E11">
            <w:pPr>
              <w:pStyle w:val="11"/>
              <w:bidi w:val="0"/>
              <w:jc w:val="center"/>
              <w:rPr>
                <w:rFonts w:hint="eastAsia"/>
                <w:b/>
                <w:bCs/>
                <w:lang w:val="zh-CN"/>
              </w:rPr>
            </w:pPr>
            <w:r>
              <w:rPr>
                <w:rFonts w:hint="eastAsia"/>
                <w:b/>
                <w:bCs/>
                <w:lang w:val="zh-CN"/>
              </w:rPr>
              <w:t>最大坝高（m）</w:t>
            </w:r>
          </w:p>
        </w:tc>
        <w:tc>
          <w:tcPr>
            <w:tcW w:w="464" w:type="pct"/>
            <w:shd w:val="clear" w:color="auto" w:fill="FFFFFF"/>
            <w:noWrap w:val="0"/>
            <w:tcMar>
              <w:top w:w="28" w:type="dxa"/>
              <w:left w:w="28" w:type="dxa"/>
              <w:bottom w:w="28" w:type="dxa"/>
              <w:right w:w="28" w:type="dxa"/>
            </w:tcMar>
            <w:vAlign w:val="center"/>
          </w:tcPr>
          <w:p w14:paraId="2CC02D10">
            <w:pPr>
              <w:pStyle w:val="11"/>
              <w:bidi w:val="0"/>
              <w:jc w:val="center"/>
              <w:rPr>
                <w:rFonts w:hint="eastAsia"/>
                <w:b/>
                <w:bCs/>
                <w:lang w:val="zh-CN"/>
              </w:rPr>
            </w:pPr>
            <w:r>
              <w:rPr>
                <w:rFonts w:hint="eastAsia"/>
                <w:b/>
                <w:bCs/>
                <w:lang w:val="zh-CN"/>
              </w:rPr>
              <w:t>坝顶高程（m）</w:t>
            </w:r>
          </w:p>
        </w:tc>
        <w:tc>
          <w:tcPr>
            <w:tcW w:w="531" w:type="pct"/>
            <w:shd w:val="clear" w:color="auto" w:fill="FFFFFF"/>
            <w:noWrap w:val="0"/>
            <w:tcMar>
              <w:top w:w="28" w:type="dxa"/>
              <w:left w:w="28" w:type="dxa"/>
              <w:bottom w:w="28" w:type="dxa"/>
              <w:right w:w="28" w:type="dxa"/>
            </w:tcMar>
            <w:vAlign w:val="center"/>
          </w:tcPr>
          <w:p w14:paraId="51FE857C">
            <w:pPr>
              <w:pStyle w:val="11"/>
              <w:bidi w:val="0"/>
              <w:jc w:val="center"/>
              <w:rPr>
                <w:rFonts w:hint="eastAsia"/>
                <w:b/>
                <w:bCs/>
                <w:lang w:val="zh-CN"/>
              </w:rPr>
            </w:pPr>
            <w:r>
              <w:rPr>
                <w:rFonts w:hint="eastAsia"/>
                <w:b/>
                <w:bCs/>
                <w:lang w:val="zh-CN"/>
              </w:rPr>
              <w:t>坝顶长度（m）</w:t>
            </w:r>
          </w:p>
        </w:tc>
      </w:tr>
      <w:tr w14:paraId="3AB08F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508" w:type="pct"/>
            <w:shd w:val="clear" w:color="auto" w:fill="FFFFFF"/>
            <w:noWrap w:val="0"/>
            <w:tcMar>
              <w:top w:w="57" w:type="dxa"/>
              <w:left w:w="57" w:type="dxa"/>
              <w:bottom w:w="57" w:type="dxa"/>
              <w:right w:w="57" w:type="dxa"/>
            </w:tcMar>
            <w:vAlign w:val="center"/>
          </w:tcPr>
          <w:p w14:paraId="69CDD7F5">
            <w:pPr>
              <w:pStyle w:val="11"/>
              <w:bidi w:val="0"/>
              <w:jc w:val="center"/>
              <w:rPr>
                <w:rFonts w:hint="eastAsia"/>
                <w:lang w:val="zh-CN"/>
              </w:rPr>
            </w:pPr>
            <w:r>
              <w:rPr>
                <w:rFonts w:hint="eastAsia"/>
                <w:lang w:val="zh-CN"/>
              </w:rPr>
              <w:t>孔江水库</w:t>
            </w:r>
          </w:p>
        </w:tc>
        <w:tc>
          <w:tcPr>
            <w:tcW w:w="324" w:type="pct"/>
            <w:shd w:val="clear" w:color="auto" w:fill="FFFFFF"/>
            <w:noWrap w:val="0"/>
            <w:tcMar>
              <w:top w:w="57" w:type="dxa"/>
              <w:left w:w="57" w:type="dxa"/>
              <w:bottom w:w="57" w:type="dxa"/>
              <w:right w:w="57" w:type="dxa"/>
            </w:tcMar>
            <w:vAlign w:val="center"/>
          </w:tcPr>
          <w:p w14:paraId="7B4E3099">
            <w:pPr>
              <w:pStyle w:val="11"/>
              <w:bidi w:val="0"/>
              <w:jc w:val="center"/>
              <w:rPr>
                <w:rFonts w:hint="eastAsia"/>
                <w:lang w:val="zh-CN"/>
              </w:rPr>
            </w:pPr>
            <w:r>
              <w:rPr>
                <w:rFonts w:hint="eastAsia"/>
                <w:lang w:val="zh-CN"/>
              </w:rPr>
              <w:t>北江</w:t>
            </w:r>
          </w:p>
        </w:tc>
        <w:tc>
          <w:tcPr>
            <w:tcW w:w="441" w:type="pct"/>
            <w:shd w:val="clear" w:color="auto" w:fill="FFFFFF"/>
            <w:noWrap w:val="0"/>
            <w:tcMar>
              <w:top w:w="57" w:type="dxa"/>
              <w:left w:w="57" w:type="dxa"/>
              <w:bottom w:w="57" w:type="dxa"/>
              <w:right w:w="57" w:type="dxa"/>
            </w:tcMar>
            <w:vAlign w:val="center"/>
          </w:tcPr>
          <w:p w14:paraId="34864609">
            <w:pPr>
              <w:pStyle w:val="11"/>
              <w:bidi w:val="0"/>
              <w:jc w:val="center"/>
              <w:rPr>
                <w:rFonts w:hint="eastAsia"/>
                <w:lang w:val="zh-CN"/>
              </w:rPr>
            </w:pPr>
            <w:r>
              <w:rPr>
                <w:rFonts w:hint="eastAsia"/>
                <w:lang w:val="zh-CN"/>
              </w:rPr>
              <w:t>79.4</w:t>
            </w:r>
          </w:p>
        </w:tc>
        <w:tc>
          <w:tcPr>
            <w:tcW w:w="430" w:type="pct"/>
            <w:shd w:val="clear" w:color="auto" w:fill="FFFFFF"/>
            <w:noWrap w:val="0"/>
            <w:tcMar>
              <w:top w:w="57" w:type="dxa"/>
              <w:left w:w="57" w:type="dxa"/>
              <w:bottom w:w="57" w:type="dxa"/>
              <w:right w:w="57" w:type="dxa"/>
            </w:tcMar>
            <w:vAlign w:val="center"/>
          </w:tcPr>
          <w:p w14:paraId="32250C27">
            <w:pPr>
              <w:pStyle w:val="11"/>
              <w:bidi w:val="0"/>
              <w:jc w:val="center"/>
              <w:rPr>
                <w:rFonts w:hint="eastAsia"/>
                <w:lang w:val="zh-CN"/>
              </w:rPr>
            </w:pPr>
            <w:r>
              <w:rPr>
                <w:rFonts w:hint="eastAsia"/>
                <w:lang w:val="zh-CN"/>
              </w:rPr>
              <w:t>0.6522</w:t>
            </w:r>
          </w:p>
        </w:tc>
        <w:tc>
          <w:tcPr>
            <w:tcW w:w="477" w:type="pct"/>
            <w:shd w:val="clear" w:color="auto" w:fill="FFFFFF"/>
            <w:noWrap w:val="0"/>
            <w:tcMar>
              <w:top w:w="57" w:type="dxa"/>
              <w:left w:w="57" w:type="dxa"/>
              <w:bottom w:w="57" w:type="dxa"/>
              <w:right w:w="57" w:type="dxa"/>
            </w:tcMar>
            <w:vAlign w:val="center"/>
          </w:tcPr>
          <w:p w14:paraId="1A0019DE">
            <w:pPr>
              <w:pStyle w:val="11"/>
              <w:bidi w:val="0"/>
              <w:jc w:val="center"/>
              <w:rPr>
                <w:rFonts w:hint="eastAsia"/>
                <w:lang w:val="zh-CN"/>
              </w:rPr>
            </w:pPr>
            <w:r>
              <w:rPr>
                <w:rFonts w:hint="eastAsia"/>
                <w:lang w:val="zh-CN"/>
              </w:rPr>
              <w:t>0.166</w:t>
            </w:r>
          </w:p>
        </w:tc>
        <w:tc>
          <w:tcPr>
            <w:tcW w:w="436" w:type="pct"/>
            <w:shd w:val="clear" w:color="auto" w:fill="FFFFFF"/>
            <w:noWrap w:val="0"/>
            <w:tcMar>
              <w:top w:w="57" w:type="dxa"/>
              <w:left w:w="57" w:type="dxa"/>
              <w:bottom w:w="57" w:type="dxa"/>
              <w:right w:w="57" w:type="dxa"/>
            </w:tcMar>
            <w:vAlign w:val="center"/>
          </w:tcPr>
          <w:p w14:paraId="63047F7E">
            <w:pPr>
              <w:pStyle w:val="11"/>
              <w:bidi w:val="0"/>
              <w:jc w:val="center"/>
              <w:rPr>
                <w:rFonts w:hint="eastAsia"/>
                <w:lang w:val="zh-CN"/>
              </w:rPr>
            </w:pPr>
            <w:r>
              <w:rPr>
                <w:rFonts w:hint="eastAsia"/>
                <w:lang w:val="zh-CN"/>
              </w:rPr>
              <w:t>186.5</w:t>
            </w:r>
          </w:p>
        </w:tc>
        <w:tc>
          <w:tcPr>
            <w:tcW w:w="460" w:type="pct"/>
            <w:shd w:val="clear" w:color="auto" w:fill="FFFFFF"/>
            <w:noWrap w:val="0"/>
            <w:tcMar>
              <w:top w:w="57" w:type="dxa"/>
              <w:left w:w="57" w:type="dxa"/>
              <w:bottom w:w="57" w:type="dxa"/>
              <w:right w:w="57" w:type="dxa"/>
            </w:tcMar>
            <w:vAlign w:val="center"/>
          </w:tcPr>
          <w:p w14:paraId="51393699">
            <w:pPr>
              <w:pStyle w:val="11"/>
              <w:bidi w:val="0"/>
              <w:jc w:val="center"/>
              <w:rPr>
                <w:rFonts w:hint="eastAsia"/>
                <w:lang w:val="zh-CN"/>
              </w:rPr>
            </w:pPr>
            <w:r>
              <w:rPr>
                <w:rFonts w:hint="eastAsia"/>
                <w:lang w:val="zh-CN"/>
              </w:rPr>
              <w:t>0.183</w:t>
            </w:r>
          </w:p>
        </w:tc>
        <w:tc>
          <w:tcPr>
            <w:tcW w:w="454" w:type="pct"/>
            <w:shd w:val="clear" w:color="auto" w:fill="FFFFFF"/>
            <w:noWrap w:val="0"/>
            <w:tcMar>
              <w:top w:w="57" w:type="dxa"/>
              <w:left w:w="57" w:type="dxa"/>
              <w:bottom w:w="57" w:type="dxa"/>
              <w:right w:w="57" w:type="dxa"/>
            </w:tcMar>
            <w:vAlign w:val="center"/>
          </w:tcPr>
          <w:p w14:paraId="0C93597B">
            <w:pPr>
              <w:pStyle w:val="11"/>
              <w:bidi w:val="0"/>
              <w:jc w:val="center"/>
              <w:rPr>
                <w:rFonts w:hint="eastAsia"/>
                <w:lang w:val="zh-CN"/>
              </w:rPr>
            </w:pPr>
            <w:r>
              <w:rPr>
                <w:rFonts w:hint="eastAsia"/>
                <w:lang w:val="zh-CN"/>
              </w:rPr>
              <w:t>土石坝</w:t>
            </w:r>
          </w:p>
        </w:tc>
        <w:tc>
          <w:tcPr>
            <w:tcW w:w="469" w:type="pct"/>
            <w:shd w:val="clear" w:color="auto" w:fill="FFFFFF"/>
            <w:noWrap w:val="0"/>
            <w:tcMar>
              <w:top w:w="57" w:type="dxa"/>
              <w:left w:w="57" w:type="dxa"/>
              <w:bottom w:w="57" w:type="dxa"/>
              <w:right w:w="57" w:type="dxa"/>
            </w:tcMar>
            <w:vAlign w:val="center"/>
          </w:tcPr>
          <w:p w14:paraId="016503B9">
            <w:pPr>
              <w:pStyle w:val="11"/>
              <w:bidi w:val="0"/>
              <w:jc w:val="center"/>
              <w:rPr>
                <w:rFonts w:hint="eastAsia"/>
                <w:lang w:val="zh-CN"/>
              </w:rPr>
            </w:pPr>
            <w:r>
              <w:rPr>
                <w:rFonts w:hint="eastAsia"/>
                <w:lang w:val="zh-CN"/>
              </w:rPr>
              <w:t>27.94</w:t>
            </w:r>
          </w:p>
        </w:tc>
        <w:tc>
          <w:tcPr>
            <w:tcW w:w="464" w:type="pct"/>
            <w:shd w:val="clear" w:color="auto" w:fill="FFFFFF"/>
            <w:noWrap w:val="0"/>
            <w:tcMar>
              <w:top w:w="57" w:type="dxa"/>
              <w:left w:w="57" w:type="dxa"/>
              <w:bottom w:w="57" w:type="dxa"/>
              <w:right w:w="57" w:type="dxa"/>
            </w:tcMar>
            <w:vAlign w:val="center"/>
          </w:tcPr>
          <w:p w14:paraId="767C7220">
            <w:pPr>
              <w:pStyle w:val="11"/>
              <w:bidi w:val="0"/>
              <w:jc w:val="center"/>
              <w:rPr>
                <w:rFonts w:hint="eastAsia"/>
                <w:lang w:val="zh-CN"/>
              </w:rPr>
            </w:pPr>
            <w:r>
              <w:rPr>
                <w:rFonts w:hint="eastAsia"/>
                <w:lang w:val="zh-CN"/>
              </w:rPr>
              <w:t>197.4</w:t>
            </w:r>
          </w:p>
        </w:tc>
        <w:tc>
          <w:tcPr>
            <w:tcW w:w="531" w:type="pct"/>
            <w:shd w:val="clear" w:color="auto" w:fill="FFFFFF"/>
            <w:noWrap w:val="0"/>
            <w:tcMar>
              <w:top w:w="57" w:type="dxa"/>
              <w:left w:w="57" w:type="dxa"/>
              <w:bottom w:w="57" w:type="dxa"/>
              <w:right w:w="57" w:type="dxa"/>
            </w:tcMar>
            <w:vAlign w:val="center"/>
          </w:tcPr>
          <w:p w14:paraId="37A491FC">
            <w:pPr>
              <w:pStyle w:val="11"/>
              <w:bidi w:val="0"/>
              <w:jc w:val="center"/>
              <w:rPr>
                <w:rFonts w:hint="eastAsia"/>
                <w:lang w:val="zh-CN"/>
              </w:rPr>
            </w:pPr>
            <w:r>
              <w:rPr>
                <w:rFonts w:hint="eastAsia"/>
                <w:lang w:val="zh-CN"/>
              </w:rPr>
              <w:t>260</w:t>
            </w:r>
          </w:p>
        </w:tc>
      </w:tr>
      <w:tr w14:paraId="2D17FF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508" w:type="pct"/>
            <w:shd w:val="clear" w:color="auto" w:fill="FFFFFF"/>
            <w:noWrap w:val="0"/>
            <w:tcMar>
              <w:top w:w="57" w:type="dxa"/>
              <w:left w:w="57" w:type="dxa"/>
              <w:bottom w:w="57" w:type="dxa"/>
              <w:right w:w="57" w:type="dxa"/>
            </w:tcMar>
            <w:vAlign w:val="center"/>
          </w:tcPr>
          <w:p w14:paraId="73C35878">
            <w:pPr>
              <w:pStyle w:val="11"/>
              <w:bidi w:val="0"/>
              <w:jc w:val="center"/>
              <w:rPr>
                <w:rFonts w:hint="eastAsia"/>
                <w:lang w:val="zh-CN"/>
              </w:rPr>
            </w:pPr>
            <w:r>
              <w:rPr>
                <w:rFonts w:hint="eastAsia"/>
                <w:lang w:val="zh-CN"/>
              </w:rPr>
              <w:t>瀑布水库</w:t>
            </w:r>
          </w:p>
        </w:tc>
        <w:tc>
          <w:tcPr>
            <w:tcW w:w="324" w:type="pct"/>
            <w:shd w:val="clear" w:color="auto" w:fill="FFFFFF"/>
            <w:noWrap w:val="0"/>
            <w:tcMar>
              <w:top w:w="57" w:type="dxa"/>
              <w:left w:w="57" w:type="dxa"/>
              <w:bottom w:w="57" w:type="dxa"/>
              <w:right w:w="57" w:type="dxa"/>
            </w:tcMar>
            <w:vAlign w:val="center"/>
          </w:tcPr>
          <w:p w14:paraId="3C03B363">
            <w:pPr>
              <w:pStyle w:val="11"/>
              <w:bidi w:val="0"/>
              <w:jc w:val="center"/>
              <w:rPr>
                <w:rFonts w:hint="eastAsia"/>
                <w:lang w:val="zh-CN"/>
              </w:rPr>
            </w:pPr>
            <w:r>
              <w:rPr>
                <w:rFonts w:hint="eastAsia"/>
                <w:lang w:val="zh-CN"/>
              </w:rPr>
              <w:t>北江</w:t>
            </w:r>
          </w:p>
        </w:tc>
        <w:tc>
          <w:tcPr>
            <w:tcW w:w="441" w:type="pct"/>
            <w:shd w:val="clear" w:color="auto" w:fill="FFFFFF"/>
            <w:noWrap w:val="0"/>
            <w:tcMar>
              <w:top w:w="57" w:type="dxa"/>
              <w:left w:w="57" w:type="dxa"/>
              <w:bottom w:w="57" w:type="dxa"/>
              <w:right w:w="57" w:type="dxa"/>
            </w:tcMar>
            <w:vAlign w:val="center"/>
          </w:tcPr>
          <w:p w14:paraId="25FCE53A">
            <w:pPr>
              <w:pStyle w:val="11"/>
              <w:bidi w:val="0"/>
              <w:jc w:val="center"/>
              <w:rPr>
                <w:rFonts w:hint="eastAsia"/>
                <w:lang w:val="zh-CN"/>
              </w:rPr>
            </w:pPr>
            <w:r>
              <w:rPr>
                <w:rFonts w:hint="eastAsia"/>
                <w:lang w:val="zh-CN"/>
              </w:rPr>
              <w:t>76</w:t>
            </w:r>
          </w:p>
        </w:tc>
        <w:tc>
          <w:tcPr>
            <w:tcW w:w="430" w:type="pct"/>
            <w:shd w:val="clear" w:color="auto" w:fill="FFFFFF"/>
            <w:noWrap w:val="0"/>
            <w:tcMar>
              <w:top w:w="57" w:type="dxa"/>
              <w:left w:w="57" w:type="dxa"/>
              <w:bottom w:w="57" w:type="dxa"/>
              <w:right w:w="57" w:type="dxa"/>
            </w:tcMar>
            <w:vAlign w:val="center"/>
          </w:tcPr>
          <w:p w14:paraId="1EAFFE9B">
            <w:pPr>
              <w:pStyle w:val="11"/>
              <w:bidi w:val="0"/>
              <w:jc w:val="center"/>
              <w:rPr>
                <w:rFonts w:hint="eastAsia"/>
                <w:lang w:val="zh-CN"/>
              </w:rPr>
            </w:pPr>
            <w:r>
              <w:rPr>
                <w:rFonts w:hint="eastAsia"/>
                <w:lang w:val="zh-CN"/>
              </w:rPr>
              <w:t>0.3317</w:t>
            </w:r>
          </w:p>
        </w:tc>
        <w:tc>
          <w:tcPr>
            <w:tcW w:w="477" w:type="pct"/>
            <w:shd w:val="clear" w:color="auto" w:fill="FFFFFF"/>
            <w:noWrap w:val="0"/>
            <w:tcMar>
              <w:top w:w="57" w:type="dxa"/>
              <w:left w:w="57" w:type="dxa"/>
              <w:bottom w:w="57" w:type="dxa"/>
              <w:right w:w="57" w:type="dxa"/>
            </w:tcMar>
            <w:vAlign w:val="center"/>
          </w:tcPr>
          <w:p w14:paraId="4BD1DDDC">
            <w:pPr>
              <w:pStyle w:val="11"/>
              <w:bidi w:val="0"/>
              <w:jc w:val="center"/>
              <w:rPr>
                <w:rFonts w:hint="eastAsia"/>
                <w:lang w:val="zh-CN"/>
              </w:rPr>
            </w:pPr>
            <w:r>
              <w:rPr>
                <w:rFonts w:hint="eastAsia"/>
                <w:lang w:val="zh-CN"/>
              </w:rPr>
              <w:t>0.0747</w:t>
            </w:r>
          </w:p>
        </w:tc>
        <w:tc>
          <w:tcPr>
            <w:tcW w:w="436" w:type="pct"/>
            <w:shd w:val="clear" w:color="auto" w:fill="FFFFFF"/>
            <w:noWrap w:val="0"/>
            <w:tcMar>
              <w:top w:w="57" w:type="dxa"/>
              <w:left w:w="57" w:type="dxa"/>
              <w:bottom w:w="57" w:type="dxa"/>
              <w:right w:w="57" w:type="dxa"/>
            </w:tcMar>
            <w:vAlign w:val="center"/>
          </w:tcPr>
          <w:p w14:paraId="23DC8FD3">
            <w:pPr>
              <w:pStyle w:val="11"/>
              <w:bidi w:val="0"/>
              <w:jc w:val="center"/>
              <w:rPr>
                <w:rFonts w:hint="eastAsia"/>
                <w:lang w:val="zh-CN"/>
              </w:rPr>
            </w:pPr>
            <w:r>
              <w:rPr>
                <w:rFonts w:hint="eastAsia"/>
                <w:lang w:val="zh-CN"/>
              </w:rPr>
              <w:t>323</w:t>
            </w:r>
          </w:p>
        </w:tc>
        <w:tc>
          <w:tcPr>
            <w:tcW w:w="460" w:type="pct"/>
            <w:shd w:val="clear" w:color="auto" w:fill="FFFFFF"/>
            <w:noWrap w:val="0"/>
            <w:tcMar>
              <w:top w:w="57" w:type="dxa"/>
              <w:left w:w="57" w:type="dxa"/>
              <w:bottom w:w="57" w:type="dxa"/>
              <w:right w:w="57" w:type="dxa"/>
            </w:tcMar>
            <w:vAlign w:val="center"/>
          </w:tcPr>
          <w:p w14:paraId="10F17D4B">
            <w:pPr>
              <w:pStyle w:val="11"/>
              <w:bidi w:val="0"/>
              <w:jc w:val="center"/>
              <w:rPr>
                <w:rFonts w:hint="eastAsia"/>
                <w:lang w:val="zh-CN"/>
              </w:rPr>
            </w:pPr>
            <w:r>
              <w:rPr>
                <w:rFonts w:hint="eastAsia"/>
                <w:lang w:val="zh-CN"/>
              </w:rPr>
              <w:t>0.0256</w:t>
            </w:r>
          </w:p>
        </w:tc>
        <w:tc>
          <w:tcPr>
            <w:tcW w:w="454" w:type="pct"/>
            <w:shd w:val="clear" w:color="auto" w:fill="FFFFFF"/>
            <w:noWrap w:val="0"/>
            <w:tcMar>
              <w:top w:w="57" w:type="dxa"/>
              <w:left w:w="57" w:type="dxa"/>
              <w:bottom w:w="57" w:type="dxa"/>
              <w:right w:w="57" w:type="dxa"/>
            </w:tcMar>
            <w:vAlign w:val="center"/>
          </w:tcPr>
          <w:p w14:paraId="2B7D7344">
            <w:pPr>
              <w:pStyle w:val="11"/>
              <w:bidi w:val="0"/>
              <w:jc w:val="center"/>
              <w:rPr>
                <w:rFonts w:hint="eastAsia"/>
                <w:lang w:val="zh-CN"/>
              </w:rPr>
            </w:pPr>
            <w:r>
              <w:rPr>
                <w:rFonts w:hint="eastAsia"/>
                <w:lang w:val="zh-CN"/>
              </w:rPr>
              <w:t>土石坝</w:t>
            </w:r>
          </w:p>
        </w:tc>
        <w:tc>
          <w:tcPr>
            <w:tcW w:w="469" w:type="pct"/>
            <w:shd w:val="clear" w:color="auto" w:fill="FFFFFF"/>
            <w:noWrap w:val="0"/>
            <w:tcMar>
              <w:top w:w="57" w:type="dxa"/>
              <w:left w:w="57" w:type="dxa"/>
              <w:bottom w:w="57" w:type="dxa"/>
              <w:right w:w="57" w:type="dxa"/>
            </w:tcMar>
            <w:vAlign w:val="center"/>
          </w:tcPr>
          <w:p w14:paraId="590C5DD7">
            <w:pPr>
              <w:pStyle w:val="11"/>
              <w:bidi w:val="0"/>
              <w:jc w:val="center"/>
              <w:rPr>
                <w:rFonts w:hint="eastAsia"/>
                <w:lang w:val="zh-CN"/>
              </w:rPr>
            </w:pPr>
            <w:r>
              <w:rPr>
                <w:rFonts w:hint="eastAsia"/>
                <w:lang w:val="zh-CN"/>
              </w:rPr>
              <w:t>51</w:t>
            </w:r>
          </w:p>
        </w:tc>
        <w:tc>
          <w:tcPr>
            <w:tcW w:w="464" w:type="pct"/>
            <w:shd w:val="clear" w:color="auto" w:fill="FFFFFF"/>
            <w:noWrap w:val="0"/>
            <w:tcMar>
              <w:top w:w="57" w:type="dxa"/>
              <w:left w:w="57" w:type="dxa"/>
              <w:bottom w:w="57" w:type="dxa"/>
              <w:right w:w="57" w:type="dxa"/>
            </w:tcMar>
            <w:vAlign w:val="center"/>
          </w:tcPr>
          <w:p w14:paraId="5199636F">
            <w:pPr>
              <w:pStyle w:val="11"/>
              <w:bidi w:val="0"/>
              <w:jc w:val="center"/>
              <w:rPr>
                <w:rFonts w:hint="eastAsia"/>
                <w:lang w:val="zh-CN"/>
              </w:rPr>
            </w:pPr>
            <w:r>
              <w:rPr>
                <w:rFonts w:hint="eastAsia"/>
                <w:lang w:val="zh-CN"/>
              </w:rPr>
              <w:t>351</w:t>
            </w:r>
          </w:p>
        </w:tc>
        <w:tc>
          <w:tcPr>
            <w:tcW w:w="531" w:type="pct"/>
            <w:shd w:val="clear" w:color="auto" w:fill="FFFFFF"/>
            <w:noWrap w:val="0"/>
            <w:tcMar>
              <w:top w:w="57" w:type="dxa"/>
              <w:left w:w="57" w:type="dxa"/>
              <w:bottom w:w="57" w:type="dxa"/>
              <w:right w:w="57" w:type="dxa"/>
            </w:tcMar>
            <w:vAlign w:val="center"/>
          </w:tcPr>
          <w:p w14:paraId="4919DFEF">
            <w:pPr>
              <w:pStyle w:val="11"/>
              <w:bidi w:val="0"/>
              <w:jc w:val="center"/>
              <w:rPr>
                <w:rFonts w:hint="eastAsia"/>
                <w:lang w:val="zh-CN"/>
              </w:rPr>
            </w:pPr>
            <w:r>
              <w:rPr>
                <w:rFonts w:hint="eastAsia"/>
                <w:lang w:val="zh-CN"/>
              </w:rPr>
              <w:t>160</w:t>
            </w:r>
          </w:p>
        </w:tc>
      </w:tr>
      <w:tr w14:paraId="4983E9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508" w:type="pct"/>
            <w:shd w:val="clear" w:color="auto" w:fill="FFFFFF"/>
            <w:noWrap w:val="0"/>
            <w:tcMar>
              <w:top w:w="57" w:type="dxa"/>
              <w:left w:w="57" w:type="dxa"/>
              <w:bottom w:w="57" w:type="dxa"/>
              <w:right w:w="57" w:type="dxa"/>
            </w:tcMar>
            <w:vAlign w:val="center"/>
          </w:tcPr>
          <w:p w14:paraId="69AF6C9B">
            <w:pPr>
              <w:pStyle w:val="11"/>
              <w:bidi w:val="0"/>
              <w:jc w:val="center"/>
              <w:rPr>
                <w:rFonts w:hint="eastAsia"/>
                <w:lang w:val="zh-CN"/>
              </w:rPr>
            </w:pPr>
            <w:r>
              <w:rPr>
                <w:rFonts w:hint="eastAsia"/>
                <w:lang w:val="zh-CN"/>
              </w:rPr>
              <w:t>宝江水库</w:t>
            </w:r>
          </w:p>
        </w:tc>
        <w:tc>
          <w:tcPr>
            <w:tcW w:w="324" w:type="pct"/>
            <w:shd w:val="clear" w:color="auto" w:fill="FFFFFF"/>
            <w:noWrap w:val="0"/>
            <w:tcMar>
              <w:top w:w="57" w:type="dxa"/>
              <w:left w:w="57" w:type="dxa"/>
              <w:bottom w:w="57" w:type="dxa"/>
              <w:right w:w="57" w:type="dxa"/>
            </w:tcMar>
            <w:vAlign w:val="center"/>
          </w:tcPr>
          <w:p w14:paraId="4A7A35A0">
            <w:pPr>
              <w:pStyle w:val="11"/>
              <w:bidi w:val="0"/>
              <w:jc w:val="center"/>
              <w:rPr>
                <w:rFonts w:hint="eastAsia"/>
                <w:lang w:val="zh-CN"/>
              </w:rPr>
            </w:pPr>
            <w:r>
              <w:rPr>
                <w:rFonts w:hint="eastAsia"/>
                <w:lang w:val="zh-CN"/>
              </w:rPr>
              <w:t>北江</w:t>
            </w:r>
          </w:p>
        </w:tc>
        <w:tc>
          <w:tcPr>
            <w:tcW w:w="441" w:type="pct"/>
            <w:shd w:val="clear" w:color="auto" w:fill="FFFFFF"/>
            <w:noWrap w:val="0"/>
            <w:tcMar>
              <w:top w:w="57" w:type="dxa"/>
              <w:left w:w="57" w:type="dxa"/>
              <w:bottom w:w="57" w:type="dxa"/>
              <w:right w:w="57" w:type="dxa"/>
            </w:tcMar>
            <w:vAlign w:val="center"/>
          </w:tcPr>
          <w:p w14:paraId="435BC334">
            <w:pPr>
              <w:pStyle w:val="11"/>
              <w:bidi w:val="0"/>
              <w:jc w:val="center"/>
              <w:rPr>
                <w:rFonts w:hint="eastAsia"/>
                <w:lang w:val="zh-CN"/>
              </w:rPr>
            </w:pPr>
            <w:r>
              <w:rPr>
                <w:rFonts w:hint="eastAsia"/>
                <w:lang w:val="zh-CN"/>
              </w:rPr>
              <w:t>48.1</w:t>
            </w:r>
          </w:p>
        </w:tc>
        <w:tc>
          <w:tcPr>
            <w:tcW w:w="430" w:type="pct"/>
            <w:shd w:val="clear" w:color="auto" w:fill="FFFFFF"/>
            <w:noWrap w:val="0"/>
            <w:tcMar>
              <w:top w:w="57" w:type="dxa"/>
              <w:left w:w="57" w:type="dxa"/>
              <w:bottom w:w="57" w:type="dxa"/>
              <w:right w:w="57" w:type="dxa"/>
            </w:tcMar>
            <w:vAlign w:val="center"/>
          </w:tcPr>
          <w:p w14:paraId="27C4FAAE">
            <w:pPr>
              <w:pStyle w:val="11"/>
              <w:bidi w:val="0"/>
              <w:jc w:val="center"/>
              <w:rPr>
                <w:rFonts w:hint="eastAsia"/>
                <w:lang w:val="zh-CN"/>
              </w:rPr>
            </w:pPr>
            <w:r>
              <w:rPr>
                <w:rFonts w:hint="eastAsia"/>
                <w:lang w:val="zh-CN"/>
              </w:rPr>
              <w:t>0.2375</w:t>
            </w:r>
          </w:p>
        </w:tc>
        <w:tc>
          <w:tcPr>
            <w:tcW w:w="477" w:type="pct"/>
            <w:shd w:val="clear" w:color="auto" w:fill="FFFFFF"/>
            <w:noWrap w:val="0"/>
            <w:tcMar>
              <w:top w:w="57" w:type="dxa"/>
              <w:left w:w="57" w:type="dxa"/>
              <w:bottom w:w="57" w:type="dxa"/>
              <w:right w:w="57" w:type="dxa"/>
            </w:tcMar>
            <w:vAlign w:val="center"/>
          </w:tcPr>
          <w:p w14:paraId="71DA5E2F">
            <w:pPr>
              <w:pStyle w:val="11"/>
              <w:bidi w:val="0"/>
              <w:jc w:val="center"/>
              <w:rPr>
                <w:rFonts w:hint="eastAsia"/>
                <w:lang w:val="zh-CN"/>
              </w:rPr>
            </w:pPr>
            <w:r>
              <w:rPr>
                <w:rFonts w:hint="eastAsia"/>
                <w:lang w:val="zh-CN"/>
              </w:rPr>
              <w:t>0.0707</w:t>
            </w:r>
          </w:p>
        </w:tc>
        <w:tc>
          <w:tcPr>
            <w:tcW w:w="436" w:type="pct"/>
            <w:shd w:val="clear" w:color="auto" w:fill="FFFFFF"/>
            <w:noWrap w:val="0"/>
            <w:tcMar>
              <w:top w:w="57" w:type="dxa"/>
              <w:left w:w="57" w:type="dxa"/>
              <w:bottom w:w="57" w:type="dxa"/>
              <w:right w:w="57" w:type="dxa"/>
            </w:tcMar>
            <w:vAlign w:val="center"/>
          </w:tcPr>
          <w:p w14:paraId="6F1EBF8F">
            <w:pPr>
              <w:pStyle w:val="11"/>
              <w:bidi w:val="0"/>
              <w:jc w:val="center"/>
              <w:rPr>
                <w:rFonts w:hint="eastAsia"/>
                <w:lang w:val="zh-CN"/>
              </w:rPr>
            </w:pPr>
            <w:r>
              <w:rPr>
                <w:rFonts w:hint="eastAsia"/>
                <w:lang w:val="zh-CN"/>
              </w:rPr>
              <w:t>169.386</w:t>
            </w:r>
          </w:p>
        </w:tc>
        <w:tc>
          <w:tcPr>
            <w:tcW w:w="460" w:type="pct"/>
            <w:shd w:val="clear" w:color="auto" w:fill="FFFFFF"/>
            <w:noWrap w:val="0"/>
            <w:tcMar>
              <w:top w:w="57" w:type="dxa"/>
              <w:left w:w="57" w:type="dxa"/>
              <w:bottom w:w="57" w:type="dxa"/>
              <w:right w:w="57" w:type="dxa"/>
            </w:tcMar>
            <w:vAlign w:val="center"/>
          </w:tcPr>
          <w:p w14:paraId="58F06C7D">
            <w:pPr>
              <w:pStyle w:val="11"/>
              <w:bidi w:val="0"/>
              <w:jc w:val="center"/>
              <w:rPr>
                <w:rFonts w:hint="eastAsia"/>
                <w:lang w:val="zh-CN"/>
              </w:rPr>
            </w:pPr>
            <w:r>
              <w:rPr>
                <w:rFonts w:hint="eastAsia"/>
                <w:lang w:val="zh-CN"/>
              </w:rPr>
              <w:t>0.0043</w:t>
            </w:r>
          </w:p>
        </w:tc>
        <w:tc>
          <w:tcPr>
            <w:tcW w:w="454" w:type="pct"/>
            <w:shd w:val="clear" w:color="auto" w:fill="FFFFFF"/>
            <w:noWrap w:val="0"/>
            <w:tcMar>
              <w:top w:w="57" w:type="dxa"/>
              <w:left w:w="57" w:type="dxa"/>
              <w:bottom w:w="57" w:type="dxa"/>
              <w:right w:w="57" w:type="dxa"/>
            </w:tcMar>
            <w:vAlign w:val="center"/>
          </w:tcPr>
          <w:p w14:paraId="7B900F8C">
            <w:pPr>
              <w:pStyle w:val="11"/>
              <w:bidi w:val="0"/>
              <w:jc w:val="center"/>
              <w:rPr>
                <w:rFonts w:hint="eastAsia"/>
                <w:lang w:val="zh-CN"/>
              </w:rPr>
            </w:pPr>
            <w:r>
              <w:rPr>
                <w:rFonts w:hint="eastAsia"/>
                <w:lang w:val="zh-CN"/>
              </w:rPr>
              <w:t>土石坝</w:t>
            </w:r>
          </w:p>
        </w:tc>
        <w:tc>
          <w:tcPr>
            <w:tcW w:w="469" w:type="pct"/>
            <w:shd w:val="clear" w:color="auto" w:fill="FFFFFF"/>
            <w:noWrap w:val="0"/>
            <w:tcMar>
              <w:top w:w="57" w:type="dxa"/>
              <w:left w:w="57" w:type="dxa"/>
              <w:bottom w:w="57" w:type="dxa"/>
              <w:right w:w="57" w:type="dxa"/>
            </w:tcMar>
            <w:vAlign w:val="center"/>
          </w:tcPr>
          <w:p w14:paraId="4791B551">
            <w:pPr>
              <w:pStyle w:val="11"/>
              <w:bidi w:val="0"/>
              <w:jc w:val="center"/>
              <w:rPr>
                <w:rFonts w:hint="eastAsia"/>
                <w:lang w:val="zh-CN"/>
              </w:rPr>
            </w:pPr>
            <w:r>
              <w:rPr>
                <w:rFonts w:hint="eastAsia"/>
                <w:lang w:val="zh-CN"/>
              </w:rPr>
              <w:t>42</w:t>
            </w:r>
          </w:p>
        </w:tc>
        <w:tc>
          <w:tcPr>
            <w:tcW w:w="464" w:type="pct"/>
            <w:shd w:val="clear" w:color="auto" w:fill="FFFFFF"/>
            <w:noWrap w:val="0"/>
            <w:tcMar>
              <w:top w:w="57" w:type="dxa"/>
              <w:left w:w="57" w:type="dxa"/>
              <w:bottom w:w="57" w:type="dxa"/>
              <w:right w:w="57" w:type="dxa"/>
            </w:tcMar>
            <w:vAlign w:val="center"/>
          </w:tcPr>
          <w:p w14:paraId="0EF64231">
            <w:pPr>
              <w:pStyle w:val="11"/>
              <w:bidi w:val="0"/>
              <w:jc w:val="center"/>
              <w:rPr>
                <w:rFonts w:hint="eastAsia"/>
                <w:lang w:val="zh-CN"/>
              </w:rPr>
            </w:pPr>
            <w:r>
              <w:rPr>
                <w:rFonts w:hint="eastAsia"/>
                <w:lang w:val="zh-CN"/>
              </w:rPr>
              <w:t>202.88</w:t>
            </w:r>
          </w:p>
        </w:tc>
        <w:tc>
          <w:tcPr>
            <w:tcW w:w="531" w:type="pct"/>
            <w:shd w:val="clear" w:color="auto" w:fill="FFFFFF"/>
            <w:noWrap w:val="0"/>
            <w:tcMar>
              <w:top w:w="57" w:type="dxa"/>
              <w:left w:w="57" w:type="dxa"/>
              <w:bottom w:w="57" w:type="dxa"/>
              <w:right w:w="57" w:type="dxa"/>
            </w:tcMar>
            <w:vAlign w:val="center"/>
          </w:tcPr>
          <w:p w14:paraId="7BEDF89C">
            <w:pPr>
              <w:pStyle w:val="11"/>
              <w:bidi w:val="0"/>
              <w:jc w:val="center"/>
              <w:rPr>
                <w:rFonts w:hint="eastAsia"/>
                <w:lang w:val="zh-CN"/>
              </w:rPr>
            </w:pPr>
            <w:r>
              <w:rPr>
                <w:rFonts w:hint="eastAsia"/>
                <w:lang w:val="zh-CN"/>
              </w:rPr>
              <w:t>180</w:t>
            </w:r>
          </w:p>
        </w:tc>
      </w:tr>
      <w:tr w14:paraId="5A2E59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508" w:type="pct"/>
            <w:shd w:val="clear" w:color="auto" w:fill="FFFFFF"/>
            <w:noWrap w:val="0"/>
            <w:tcMar>
              <w:top w:w="57" w:type="dxa"/>
              <w:left w:w="57" w:type="dxa"/>
              <w:bottom w:w="57" w:type="dxa"/>
              <w:right w:w="57" w:type="dxa"/>
            </w:tcMar>
            <w:vAlign w:val="center"/>
          </w:tcPr>
          <w:p w14:paraId="56C9BC16">
            <w:pPr>
              <w:pStyle w:val="11"/>
              <w:bidi w:val="0"/>
              <w:jc w:val="center"/>
              <w:rPr>
                <w:rFonts w:hint="eastAsia"/>
                <w:lang w:val="zh-CN"/>
              </w:rPr>
            </w:pPr>
            <w:r>
              <w:rPr>
                <w:rFonts w:hint="eastAsia"/>
                <w:lang w:val="zh-CN"/>
              </w:rPr>
              <w:t>中坪水库</w:t>
            </w:r>
          </w:p>
        </w:tc>
        <w:tc>
          <w:tcPr>
            <w:tcW w:w="324" w:type="pct"/>
            <w:shd w:val="clear" w:color="auto" w:fill="FFFFFF"/>
            <w:noWrap w:val="0"/>
            <w:tcMar>
              <w:top w:w="57" w:type="dxa"/>
              <w:left w:w="57" w:type="dxa"/>
              <w:bottom w:w="57" w:type="dxa"/>
              <w:right w:w="57" w:type="dxa"/>
            </w:tcMar>
            <w:vAlign w:val="center"/>
          </w:tcPr>
          <w:p w14:paraId="290DB4DD">
            <w:pPr>
              <w:pStyle w:val="11"/>
              <w:bidi w:val="0"/>
              <w:jc w:val="center"/>
              <w:rPr>
                <w:rFonts w:hint="eastAsia"/>
                <w:lang w:val="zh-CN"/>
              </w:rPr>
            </w:pPr>
            <w:r>
              <w:rPr>
                <w:rFonts w:hint="eastAsia"/>
                <w:lang w:val="zh-CN"/>
              </w:rPr>
              <w:t>北江</w:t>
            </w:r>
          </w:p>
        </w:tc>
        <w:tc>
          <w:tcPr>
            <w:tcW w:w="441" w:type="pct"/>
            <w:shd w:val="clear" w:color="auto" w:fill="FFFFFF"/>
            <w:noWrap w:val="0"/>
            <w:tcMar>
              <w:top w:w="57" w:type="dxa"/>
              <w:left w:w="57" w:type="dxa"/>
              <w:bottom w:w="57" w:type="dxa"/>
              <w:right w:w="57" w:type="dxa"/>
            </w:tcMar>
            <w:vAlign w:val="center"/>
          </w:tcPr>
          <w:p w14:paraId="51A55146">
            <w:pPr>
              <w:pStyle w:val="11"/>
              <w:bidi w:val="0"/>
              <w:jc w:val="center"/>
              <w:rPr>
                <w:rFonts w:hint="eastAsia"/>
                <w:lang w:val="zh-CN"/>
              </w:rPr>
            </w:pPr>
            <w:r>
              <w:rPr>
                <w:rFonts w:hint="eastAsia"/>
                <w:lang w:val="zh-CN"/>
              </w:rPr>
              <w:t>26</w:t>
            </w:r>
          </w:p>
        </w:tc>
        <w:tc>
          <w:tcPr>
            <w:tcW w:w="430" w:type="pct"/>
            <w:shd w:val="clear" w:color="auto" w:fill="FFFFFF"/>
            <w:noWrap w:val="0"/>
            <w:tcMar>
              <w:top w:w="57" w:type="dxa"/>
              <w:left w:w="57" w:type="dxa"/>
              <w:bottom w:w="57" w:type="dxa"/>
              <w:right w:w="57" w:type="dxa"/>
            </w:tcMar>
            <w:vAlign w:val="center"/>
          </w:tcPr>
          <w:p w14:paraId="09832803">
            <w:pPr>
              <w:pStyle w:val="11"/>
              <w:bidi w:val="0"/>
              <w:jc w:val="center"/>
              <w:rPr>
                <w:rFonts w:hint="eastAsia"/>
                <w:lang w:val="zh-CN"/>
              </w:rPr>
            </w:pPr>
            <w:r>
              <w:rPr>
                <w:rFonts w:hint="eastAsia"/>
                <w:lang w:val="zh-CN"/>
              </w:rPr>
              <w:t>0.1709</w:t>
            </w:r>
          </w:p>
        </w:tc>
        <w:tc>
          <w:tcPr>
            <w:tcW w:w="477" w:type="pct"/>
            <w:shd w:val="clear" w:color="auto" w:fill="FFFFFF"/>
            <w:noWrap w:val="0"/>
            <w:tcMar>
              <w:top w:w="57" w:type="dxa"/>
              <w:left w:w="57" w:type="dxa"/>
              <w:bottom w:w="57" w:type="dxa"/>
              <w:right w:w="57" w:type="dxa"/>
            </w:tcMar>
            <w:vAlign w:val="center"/>
          </w:tcPr>
          <w:p w14:paraId="440A3EAA">
            <w:pPr>
              <w:pStyle w:val="11"/>
              <w:bidi w:val="0"/>
              <w:jc w:val="center"/>
              <w:rPr>
                <w:rFonts w:hint="eastAsia"/>
                <w:lang w:val="zh-CN"/>
              </w:rPr>
            </w:pPr>
            <w:r>
              <w:rPr>
                <w:rFonts w:hint="eastAsia"/>
                <w:lang w:val="zh-CN"/>
              </w:rPr>
              <w:t>0.108</w:t>
            </w:r>
          </w:p>
        </w:tc>
        <w:tc>
          <w:tcPr>
            <w:tcW w:w="436" w:type="pct"/>
            <w:shd w:val="clear" w:color="auto" w:fill="FFFFFF"/>
            <w:noWrap w:val="0"/>
            <w:tcMar>
              <w:top w:w="57" w:type="dxa"/>
              <w:left w:w="57" w:type="dxa"/>
              <w:bottom w:w="57" w:type="dxa"/>
              <w:right w:w="57" w:type="dxa"/>
            </w:tcMar>
            <w:vAlign w:val="center"/>
          </w:tcPr>
          <w:p w14:paraId="150E3BEE">
            <w:pPr>
              <w:pStyle w:val="11"/>
              <w:bidi w:val="0"/>
              <w:jc w:val="center"/>
              <w:rPr>
                <w:rFonts w:hint="eastAsia"/>
                <w:lang w:val="zh-CN"/>
              </w:rPr>
            </w:pPr>
            <w:r>
              <w:rPr>
                <w:rFonts w:hint="eastAsia"/>
                <w:lang w:val="zh-CN"/>
              </w:rPr>
              <w:t>320.68</w:t>
            </w:r>
          </w:p>
        </w:tc>
        <w:tc>
          <w:tcPr>
            <w:tcW w:w="460" w:type="pct"/>
            <w:shd w:val="clear" w:color="auto" w:fill="FFFFFF"/>
            <w:noWrap w:val="0"/>
            <w:tcMar>
              <w:top w:w="57" w:type="dxa"/>
              <w:left w:w="57" w:type="dxa"/>
              <w:bottom w:w="57" w:type="dxa"/>
              <w:right w:w="57" w:type="dxa"/>
            </w:tcMar>
            <w:vAlign w:val="center"/>
          </w:tcPr>
          <w:p w14:paraId="6AD6841E">
            <w:pPr>
              <w:pStyle w:val="11"/>
              <w:bidi w:val="0"/>
              <w:jc w:val="center"/>
              <w:rPr>
                <w:rFonts w:hint="eastAsia"/>
                <w:lang w:val="zh-CN"/>
              </w:rPr>
            </w:pPr>
            <w:r>
              <w:rPr>
                <w:rFonts w:hint="eastAsia"/>
                <w:lang w:val="zh-CN"/>
              </w:rPr>
              <w:t>0.0012</w:t>
            </w:r>
          </w:p>
        </w:tc>
        <w:tc>
          <w:tcPr>
            <w:tcW w:w="454" w:type="pct"/>
            <w:shd w:val="clear" w:color="auto" w:fill="FFFFFF"/>
            <w:noWrap w:val="0"/>
            <w:tcMar>
              <w:top w:w="57" w:type="dxa"/>
              <w:left w:w="57" w:type="dxa"/>
              <w:bottom w:w="57" w:type="dxa"/>
              <w:right w:w="57" w:type="dxa"/>
            </w:tcMar>
            <w:vAlign w:val="center"/>
          </w:tcPr>
          <w:p w14:paraId="0944CFE4">
            <w:pPr>
              <w:pStyle w:val="11"/>
              <w:bidi w:val="0"/>
              <w:jc w:val="center"/>
              <w:rPr>
                <w:rFonts w:hint="eastAsia"/>
                <w:lang w:val="zh-CN"/>
              </w:rPr>
            </w:pPr>
            <w:r>
              <w:rPr>
                <w:rFonts w:hint="eastAsia"/>
                <w:lang w:val="zh-CN"/>
              </w:rPr>
              <w:t>土石坝</w:t>
            </w:r>
          </w:p>
        </w:tc>
        <w:tc>
          <w:tcPr>
            <w:tcW w:w="469" w:type="pct"/>
            <w:shd w:val="clear" w:color="auto" w:fill="FFFFFF"/>
            <w:noWrap w:val="0"/>
            <w:tcMar>
              <w:top w:w="57" w:type="dxa"/>
              <w:left w:w="57" w:type="dxa"/>
              <w:bottom w:w="57" w:type="dxa"/>
              <w:right w:w="57" w:type="dxa"/>
            </w:tcMar>
            <w:vAlign w:val="center"/>
          </w:tcPr>
          <w:p w14:paraId="6018CE5D">
            <w:pPr>
              <w:pStyle w:val="11"/>
              <w:bidi w:val="0"/>
              <w:jc w:val="center"/>
              <w:rPr>
                <w:rFonts w:hint="eastAsia"/>
                <w:lang w:val="zh-CN"/>
              </w:rPr>
            </w:pPr>
            <w:r>
              <w:rPr>
                <w:rFonts w:hint="eastAsia"/>
                <w:lang w:val="zh-CN"/>
              </w:rPr>
              <w:t>40.84</w:t>
            </w:r>
          </w:p>
        </w:tc>
        <w:tc>
          <w:tcPr>
            <w:tcW w:w="464" w:type="pct"/>
            <w:shd w:val="clear" w:color="auto" w:fill="FFFFFF"/>
            <w:noWrap w:val="0"/>
            <w:tcMar>
              <w:top w:w="57" w:type="dxa"/>
              <w:left w:w="57" w:type="dxa"/>
              <w:bottom w:w="57" w:type="dxa"/>
              <w:right w:w="57" w:type="dxa"/>
            </w:tcMar>
            <w:vAlign w:val="center"/>
          </w:tcPr>
          <w:p w14:paraId="6686DEA8">
            <w:pPr>
              <w:pStyle w:val="11"/>
              <w:bidi w:val="0"/>
              <w:jc w:val="center"/>
              <w:rPr>
                <w:rFonts w:hint="eastAsia"/>
                <w:lang w:val="zh-CN"/>
              </w:rPr>
            </w:pPr>
            <w:r>
              <w:rPr>
                <w:rFonts w:hint="eastAsia"/>
                <w:lang w:val="zh-CN"/>
              </w:rPr>
              <w:t>355.02</w:t>
            </w:r>
          </w:p>
        </w:tc>
        <w:tc>
          <w:tcPr>
            <w:tcW w:w="531" w:type="pct"/>
            <w:shd w:val="clear" w:color="auto" w:fill="FFFFFF"/>
            <w:noWrap w:val="0"/>
            <w:tcMar>
              <w:top w:w="57" w:type="dxa"/>
              <w:left w:w="57" w:type="dxa"/>
              <w:bottom w:w="57" w:type="dxa"/>
              <w:right w:w="57" w:type="dxa"/>
            </w:tcMar>
            <w:vAlign w:val="center"/>
          </w:tcPr>
          <w:p w14:paraId="089B5062">
            <w:pPr>
              <w:pStyle w:val="11"/>
              <w:bidi w:val="0"/>
              <w:jc w:val="center"/>
              <w:rPr>
                <w:rFonts w:hint="eastAsia"/>
                <w:lang w:val="zh-CN"/>
              </w:rPr>
            </w:pPr>
            <w:r>
              <w:rPr>
                <w:rFonts w:hint="eastAsia"/>
                <w:lang w:val="zh-CN"/>
              </w:rPr>
              <w:t>140</w:t>
            </w:r>
          </w:p>
        </w:tc>
      </w:tr>
      <w:tr w14:paraId="74FC57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508" w:type="pct"/>
            <w:shd w:val="clear" w:color="auto" w:fill="FFFFFF"/>
            <w:noWrap w:val="0"/>
            <w:tcMar>
              <w:top w:w="57" w:type="dxa"/>
              <w:left w:w="57" w:type="dxa"/>
              <w:bottom w:w="57" w:type="dxa"/>
              <w:right w:w="57" w:type="dxa"/>
            </w:tcMar>
            <w:vAlign w:val="center"/>
          </w:tcPr>
          <w:p w14:paraId="1A063B1D">
            <w:pPr>
              <w:pStyle w:val="11"/>
              <w:bidi w:val="0"/>
              <w:jc w:val="center"/>
              <w:rPr>
                <w:rFonts w:hint="eastAsia"/>
                <w:lang w:val="zh-CN"/>
              </w:rPr>
            </w:pPr>
            <w:r>
              <w:rPr>
                <w:rFonts w:hint="eastAsia"/>
                <w:lang w:val="zh-CN"/>
              </w:rPr>
              <w:t>横江水库</w:t>
            </w:r>
          </w:p>
        </w:tc>
        <w:tc>
          <w:tcPr>
            <w:tcW w:w="324" w:type="pct"/>
            <w:shd w:val="clear" w:color="auto" w:fill="FFFFFF"/>
            <w:noWrap w:val="0"/>
            <w:tcMar>
              <w:top w:w="57" w:type="dxa"/>
              <w:left w:w="57" w:type="dxa"/>
              <w:bottom w:w="57" w:type="dxa"/>
              <w:right w:w="57" w:type="dxa"/>
            </w:tcMar>
            <w:vAlign w:val="center"/>
          </w:tcPr>
          <w:p w14:paraId="35D4A978">
            <w:pPr>
              <w:pStyle w:val="11"/>
              <w:bidi w:val="0"/>
              <w:jc w:val="center"/>
              <w:rPr>
                <w:rFonts w:hint="eastAsia"/>
                <w:lang w:val="zh-CN"/>
              </w:rPr>
            </w:pPr>
            <w:r>
              <w:rPr>
                <w:rFonts w:hint="eastAsia"/>
                <w:lang w:val="zh-CN"/>
              </w:rPr>
              <w:t>北江</w:t>
            </w:r>
          </w:p>
        </w:tc>
        <w:tc>
          <w:tcPr>
            <w:tcW w:w="441" w:type="pct"/>
            <w:shd w:val="clear" w:color="auto" w:fill="FFFFFF"/>
            <w:noWrap w:val="0"/>
            <w:tcMar>
              <w:top w:w="57" w:type="dxa"/>
              <w:left w:w="57" w:type="dxa"/>
              <w:bottom w:w="57" w:type="dxa"/>
              <w:right w:w="57" w:type="dxa"/>
            </w:tcMar>
            <w:vAlign w:val="center"/>
          </w:tcPr>
          <w:p w14:paraId="42E1F306">
            <w:pPr>
              <w:pStyle w:val="11"/>
              <w:bidi w:val="0"/>
              <w:jc w:val="center"/>
              <w:rPr>
                <w:rFonts w:hint="eastAsia"/>
                <w:lang w:val="zh-CN"/>
              </w:rPr>
            </w:pPr>
            <w:r>
              <w:rPr>
                <w:rFonts w:hint="eastAsia"/>
                <w:lang w:val="zh-CN"/>
              </w:rPr>
              <w:t>24.25</w:t>
            </w:r>
          </w:p>
        </w:tc>
        <w:tc>
          <w:tcPr>
            <w:tcW w:w="430" w:type="pct"/>
            <w:shd w:val="clear" w:color="auto" w:fill="FFFFFF"/>
            <w:noWrap w:val="0"/>
            <w:tcMar>
              <w:top w:w="57" w:type="dxa"/>
              <w:left w:w="57" w:type="dxa"/>
              <w:bottom w:w="57" w:type="dxa"/>
              <w:right w:w="57" w:type="dxa"/>
            </w:tcMar>
            <w:vAlign w:val="center"/>
          </w:tcPr>
          <w:p w14:paraId="436A3535">
            <w:pPr>
              <w:pStyle w:val="11"/>
              <w:bidi w:val="0"/>
              <w:jc w:val="center"/>
              <w:rPr>
                <w:rFonts w:hint="eastAsia"/>
                <w:lang w:val="zh-CN"/>
              </w:rPr>
            </w:pPr>
            <w:r>
              <w:rPr>
                <w:rFonts w:hint="eastAsia"/>
                <w:lang w:val="zh-CN"/>
              </w:rPr>
              <w:t>0.1524</w:t>
            </w:r>
          </w:p>
        </w:tc>
        <w:tc>
          <w:tcPr>
            <w:tcW w:w="477" w:type="pct"/>
            <w:shd w:val="clear" w:color="auto" w:fill="FFFFFF"/>
            <w:noWrap w:val="0"/>
            <w:tcMar>
              <w:top w:w="57" w:type="dxa"/>
              <w:left w:w="57" w:type="dxa"/>
              <w:bottom w:w="57" w:type="dxa"/>
              <w:right w:w="57" w:type="dxa"/>
            </w:tcMar>
            <w:vAlign w:val="center"/>
          </w:tcPr>
          <w:p w14:paraId="2BB34E27">
            <w:pPr>
              <w:pStyle w:val="11"/>
              <w:bidi w:val="0"/>
              <w:jc w:val="center"/>
              <w:rPr>
                <w:rFonts w:hint="eastAsia"/>
                <w:lang w:val="zh-CN"/>
              </w:rPr>
            </w:pPr>
            <w:r>
              <w:rPr>
                <w:rFonts w:hint="eastAsia"/>
                <w:lang w:val="zh-CN"/>
              </w:rPr>
              <w:t>0.024</w:t>
            </w:r>
          </w:p>
        </w:tc>
        <w:tc>
          <w:tcPr>
            <w:tcW w:w="436" w:type="pct"/>
            <w:shd w:val="clear" w:color="auto" w:fill="FFFFFF"/>
            <w:noWrap w:val="0"/>
            <w:tcMar>
              <w:top w:w="57" w:type="dxa"/>
              <w:left w:w="57" w:type="dxa"/>
              <w:bottom w:w="57" w:type="dxa"/>
              <w:right w:w="57" w:type="dxa"/>
            </w:tcMar>
            <w:vAlign w:val="center"/>
          </w:tcPr>
          <w:p w14:paraId="6BCC32A6">
            <w:pPr>
              <w:pStyle w:val="11"/>
              <w:bidi w:val="0"/>
              <w:jc w:val="center"/>
              <w:rPr>
                <w:rFonts w:hint="eastAsia"/>
                <w:lang w:val="zh-CN"/>
              </w:rPr>
            </w:pPr>
            <w:r>
              <w:rPr>
                <w:rFonts w:hint="eastAsia"/>
                <w:lang w:val="zh-CN"/>
              </w:rPr>
              <w:t>178.01</w:t>
            </w:r>
          </w:p>
        </w:tc>
        <w:tc>
          <w:tcPr>
            <w:tcW w:w="460" w:type="pct"/>
            <w:shd w:val="clear" w:color="auto" w:fill="FFFFFF"/>
            <w:noWrap w:val="0"/>
            <w:tcMar>
              <w:top w:w="57" w:type="dxa"/>
              <w:left w:w="57" w:type="dxa"/>
              <w:bottom w:w="57" w:type="dxa"/>
              <w:right w:w="57" w:type="dxa"/>
            </w:tcMar>
            <w:vAlign w:val="center"/>
          </w:tcPr>
          <w:p w14:paraId="1C052BE2">
            <w:pPr>
              <w:pStyle w:val="11"/>
              <w:bidi w:val="0"/>
              <w:jc w:val="center"/>
              <w:rPr>
                <w:rFonts w:hint="eastAsia"/>
                <w:lang w:val="zh-CN"/>
              </w:rPr>
            </w:pPr>
            <w:r>
              <w:rPr>
                <w:rFonts w:hint="eastAsia"/>
                <w:lang w:val="zh-CN"/>
              </w:rPr>
              <w:t>0.0027</w:t>
            </w:r>
          </w:p>
        </w:tc>
        <w:tc>
          <w:tcPr>
            <w:tcW w:w="454" w:type="pct"/>
            <w:shd w:val="clear" w:color="auto" w:fill="FFFFFF"/>
            <w:noWrap w:val="0"/>
            <w:tcMar>
              <w:top w:w="57" w:type="dxa"/>
              <w:left w:w="57" w:type="dxa"/>
              <w:bottom w:w="57" w:type="dxa"/>
              <w:right w:w="57" w:type="dxa"/>
            </w:tcMar>
            <w:vAlign w:val="center"/>
          </w:tcPr>
          <w:p w14:paraId="03F8335D">
            <w:pPr>
              <w:pStyle w:val="11"/>
              <w:bidi w:val="0"/>
              <w:jc w:val="center"/>
              <w:rPr>
                <w:rFonts w:hint="eastAsia"/>
                <w:lang w:val="zh-CN"/>
              </w:rPr>
            </w:pPr>
            <w:r>
              <w:rPr>
                <w:rFonts w:hint="eastAsia"/>
                <w:lang w:val="zh-CN"/>
              </w:rPr>
              <w:t>土石坝</w:t>
            </w:r>
          </w:p>
        </w:tc>
        <w:tc>
          <w:tcPr>
            <w:tcW w:w="469" w:type="pct"/>
            <w:shd w:val="clear" w:color="auto" w:fill="FFFFFF"/>
            <w:noWrap w:val="0"/>
            <w:tcMar>
              <w:top w:w="57" w:type="dxa"/>
              <w:left w:w="57" w:type="dxa"/>
              <w:bottom w:w="57" w:type="dxa"/>
              <w:right w:w="57" w:type="dxa"/>
            </w:tcMar>
            <w:vAlign w:val="center"/>
          </w:tcPr>
          <w:p w14:paraId="3CEFF7F8">
            <w:pPr>
              <w:pStyle w:val="11"/>
              <w:bidi w:val="0"/>
              <w:jc w:val="center"/>
              <w:rPr>
                <w:rFonts w:hint="eastAsia"/>
                <w:lang w:val="zh-CN"/>
              </w:rPr>
            </w:pPr>
            <w:r>
              <w:rPr>
                <w:rFonts w:hint="eastAsia"/>
                <w:lang w:val="zh-CN"/>
              </w:rPr>
              <w:t>37.32</w:t>
            </w:r>
          </w:p>
        </w:tc>
        <w:tc>
          <w:tcPr>
            <w:tcW w:w="464" w:type="pct"/>
            <w:shd w:val="clear" w:color="auto" w:fill="FFFFFF"/>
            <w:noWrap w:val="0"/>
            <w:tcMar>
              <w:top w:w="57" w:type="dxa"/>
              <w:left w:w="57" w:type="dxa"/>
              <w:bottom w:w="57" w:type="dxa"/>
              <w:right w:w="57" w:type="dxa"/>
            </w:tcMar>
            <w:vAlign w:val="center"/>
          </w:tcPr>
          <w:p w14:paraId="7657F5DB">
            <w:pPr>
              <w:pStyle w:val="11"/>
              <w:bidi w:val="0"/>
              <w:jc w:val="center"/>
              <w:rPr>
                <w:rFonts w:hint="eastAsia"/>
                <w:lang w:val="zh-CN"/>
              </w:rPr>
            </w:pPr>
            <w:r>
              <w:rPr>
                <w:rFonts w:hint="eastAsia"/>
                <w:lang w:val="zh-CN"/>
              </w:rPr>
              <w:t>208.32</w:t>
            </w:r>
          </w:p>
        </w:tc>
        <w:tc>
          <w:tcPr>
            <w:tcW w:w="531" w:type="pct"/>
            <w:shd w:val="clear" w:color="auto" w:fill="FFFFFF"/>
            <w:noWrap w:val="0"/>
            <w:tcMar>
              <w:top w:w="57" w:type="dxa"/>
              <w:left w:w="57" w:type="dxa"/>
              <w:bottom w:w="57" w:type="dxa"/>
              <w:right w:w="57" w:type="dxa"/>
            </w:tcMar>
            <w:vAlign w:val="center"/>
          </w:tcPr>
          <w:p w14:paraId="69DDDCD5">
            <w:pPr>
              <w:pStyle w:val="11"/>
              <w:bidi w:val="0"/>
              <w:jc w:val="center"/>
              <w:rPr>
                <w:rFonts w:hint="eastAsia"/>
                <w:lang w:val="zh-CN"/>
              </w:rPr>
            </w:pPr>
            <w:r>
              <w:rPr>
                <w:rFonts w:hint="eastAsia"/>
                <w:lang w:val="zh-CN"/>
              </w:rPr>
              <w:t>210</w:t>
            </w:r>
          </w:p>
        </w:tc>
      </w:tr>
      <w:tr w14:paraId="0FFBBC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508" w:type="pct"/>
            <w:shd w:val="clear" w:color="auto" w:fill="FFFFFF"/>
            <w:noWrap w:val="0"/>
            <w:tcMar>
              <w:top w:w="57" w:type="dxa"/>
              <w:left w:w="57" w:type="dxa"/>
              <w:bottom w:w="57" w:type="dxa"/>
              <w:right w:w="57" w:type="dxa"/>
            </w:tcMar>
            <w:vAlign w:val="center"/>
          </w:tcPr>
          <w:p w14:paraId="6ED53AA3">
            <w:pPr>
              <w:pStyle w:val="11"/>
              <w:bidi w:val="0"/>
              <w:jc w:val="center"/>
              <w:rPr>
                <w:rFonts w:hint="eastAsia"/>
                <w:lang w:val="zh-CN"/>
              </w:rPr>
            </w:pPr>
            <w:r>
              <w:rPr>
                <w:rFonts w:hint="eastAsia"/>
                <w:lang w:val="zh-CN"/>
              </w:rPr>
              <w:t>苍石水库</w:t>
            </w:r>
          </w:p>
        </w:tc>
        <w:tc>
          <w:tcPr>
            <w:tcW w:w="324" w:type="pct"/>
            <w:shd w:val="clear" w:color="auto" w:fill="FFFFFF"/>
            <w:noWrap w:val="0"/>
            <w:tcMar>
              <w:top w:w="57" w:type="dxa"/>
              <w:left w:w="57" w:type="dxa"/>
              <w:bottom w:w="57" w:type="dxa"/>
              <w:right w:w="57" w:type="dxa"/>
            </w:tcMar>
            <w:vAlign w:val="center"/>
          </w:tcPr>
          <w:p w14:paraId="183F12A3">
            <w:pPr>
              <w:pStyle w:val="11"/>
              <w:bidi w:val="0"/>
              <w:jc w:val="center"/>
              <w:rPr>
                <w:rFonts w:hint="eastAsia"/>
                <w:lang w:val="zh-CN"/>
              </w:rPr>
            </w:pPr>
            <w:r>
              <w:rPr>
                <w:rFonts w:hint="eastAsia"/>
                <w:lang w:val="zh-CN"/>
              </w:rPr>
              <w:t>北江</w:t>
            </w:r>
          </w:p>
        </w:tc>
        <w:tc>
          <w:tcPr>
            <w:tcW w:w="441" w:type="pct"/>
            <w:shd w:val="clear" w:color="auto" w:fill="FFFFFF"/>
            <w:noWrap w:val="0"/>
            <w:tcMar>
              <w:top w:w="57" w:type="dxa"/>
              <w:left w:w="57" w:type="dxa"/>
              <w:bottom w:w="57" w:type="dxa"/>
              <w:right w:w="57" w:type="dxa"/>
            </w:tcMar>
            <w:vAlign w:val="center"/>
          </w:tcPr>
          <w:p w14:paraId="3D331936">
            <w:pPr>
              <w:pStyle w:val="11"/>
              <w:bidi w:val="0"/>
              <w:jc w:val="center"/>
              <w:rPr>
                <w:rFonts w:hint="eastAsia"/>
                <w:lang w:val="zh-CN"/>
              </w:rPr>
            </w:pPr>
            <w:r>
              <w:rPr>
                <w:rFonts w:hint="eastAsia"/>
                <w:lang w:val="zh-CN"/>
              </w:rPr>
              <w:t>46.25</w:t>
            </w:r>
          </w:p>
        </w:tc>
        <w:tc>
          <w:tcPr>
            <w:tcW w:w="430" w:type="pct"/>
            <w:shd w:val="clear" w:color="auto" w:fill="FFFFFF"/>
            <w:noWrap w:val="0"/>
            <w:tcMar>
              <w:top w:w="57" w:type="dxa"/>
              <w:left w:w="57" w:type="dxa"/>
              <w:bottom w:w="57" w:type="dxa"/>
              <w:right w:w="57" w:type="dxa"/>
            </w:tcMar>
            <w:vAlign w:val="center"/>
          </w:tcPr>
          <w:p w14:paraId="32F0A48A">
            <w:pPr>
              <w:pStyle w:val="11"/>
              <w:bidi w:val="0"/>
              <w:jc w:val="center"/>
              <w:rPr>
                <w:rFonts w:hint="eastAsia"/>
                <w:lang w:val="zh-CN"/>
              </w:rPr>
            </w:pPr>
            <w:r>
              <w:rPr>
                <w:rFonts w:hint="eastAsia"/>
                <w:lang w:val="zh-CN"/>
              </w:rPr>
              <w:t>0.1176</w:t>
            </w:r>
          </w:p>
        </w:tc>
        <w:tc>
          <w:tcPr>
            <w:tcW w:w="477" w:type="pct"/>
            <w:shd w:val="clear" w:color="auto" w:fill="FFFFFF"/>
            <w:noWrap w:val="0"/>
            <w:tcMar>
              <w:top w:w="57" w:type="dxa"/>
              <w:left w:w="57" w:type="dxa"/>
              <w:bottom w:w="57" w:type="dxa"/>
              <w:right w:w="57" w:type="dxa"/>
            </w:tcMar>
            <w:vAlign w:val="center"/>
          </w:tcPr>
          <w:p w14:paraId="09653B4F">
            <w:pPr>
              <w:pStyle w:val="11"/>
              <w:bidi w:val="0"/>
              <w:jc w:val="center"/>
              <w:rPr>
                <w:rFonts w:hint="eastAsia"/>
                <w:lang w:val="zh-CN"/>
              </w:rPr>
            </w:pPr>
            <w:r>
              <w:rPr>
                <w:rFonts w:hint="eastAsia"/>
                <w:lang w:val="zh-CN"/>
              </w:rPr>
              <w:t>0.032</w:t>
            </w:r>
          </w:p>
        </w:tc>
        <w:tc>
          <w:tcPr>
            <w:tcW w:w="436" w:type="pct"/>
            <w:shd w:val="clear" w:color="auto" w:fill="FFFFFF"/>
            <w:noWrap w:val="0"/>
            <w:tcMar>
              <w:top w:w="57" w:type="dxa"/>
              <w:left w:w="57" w:type="dxa"/>
              <w:bottom w:w="57" w:type="dxa"/>
              <w:right w:w="57" w:type="dxa"/>
            </w:tcMar>
            <w:vAlign w:val="center"/>
          </w:tcPr>
          <w:p w14:paraId="0E41128A">
            <w:pPr>
              <w:pStyle w:val="11"/>
              <w:bidi w:val="0"/>
              <w:jc w:val="center"/>
              <w:rPr>
                <w:rFonts w:hint="eastAsia"/>
                <w:lang w:val="zh-CN"/>
              </w:rPr>
            </w:pPr>
            <w:r>
              <w:rPr>
                <w:rFonts w:hint="eastAsia"/>
                <w:lang w:val="zh-CN"/>
              </w:rPr>
              <w:t>403</w:t>
            </w:r>
          </w:p>
        </w:tc>
        <w:tc>
          <w:tcPr>
            <w:tcW w:w="460" w:type="pct"/>
            <w:shd w:val="clear" w:color="auto" w:fill="FFFFFF"/>
            <w:noWrap w:val="0"/>
            <w:tcMar>
              <w:top w:w="57" w:type="dxa"/>
              <w:left w:w="57" w:type="dxa"/>
              <w:bottom w:w="57" w:type="dxa"/>
              <w:right w:w="57" w:type="dxa"/>
            </w:tcMar>
            <w:vAlign w:val="center"/>
          </w:tcPr>
          <w:p w14:paraId="0B9F9679">
            <w:pPr>
              <w:pStyle w:val="11"/>
              <w:bidi w:val="0"/>
              <w:jc w:val="center"/>
              <w:rPr>
                <w:rFonts w:hint="eastAsia"/>
                <w:lang w:val="zh-CN"/>
              </w:rPr>
            </w:pPr>
            <w:r>
              <w:rPr>
                <w:rFonts w:hint="eastAsia"/>
                <w:lang w:val="zh-CN"/>
              </w:rPr>
              <w:t>0.0045</w:t>
            </w:r>
          </w:p>
        </w:tc>
        <w:tc>
          <w:tcPr>
            <w:tcW w:w="454" w:type="pct"/>
            <w:shd w:val="clear" w:color="auto" w:fill="FFFFFF"/>
            <w:noWrap w:val="0"/>
            <w:tcMar>
              <w:top w:w="57" w:type="dxa"/>
              <w:left w:w="57" w:type="dxa"/>
              <w:bottom w:w="57" w:type="dxa"/>
              <w:right w:w="57" w:type="dxa"/>
            </w:tcMar>
            <w:vAlign w:val="center"/>
          </w:tcPr>
          <w:p w14:paraId="287E270B">
            <w:pPr>
              <w:pStyle w:val="11"/>
              <w:bidi w:val="0"/>
              <w:jc w:val="center"/>
              <w:rPr>
                <w:rFonts w:hint="eastAsia"/>
                <w:lang w:val="zh-CN"/>
              </w:rPr>
            </w:pPr>
            <w:r>
              <w:rPr>
                <w:rFonts w:hint="eastAsia"/>
                <w:lang w:val="zh-CN"/>
              </w:rPr>
              <w:t>重力坝</w:t>
            </w:r>
          </w:p>
        </w:tc>
        <w:tc>
          <w:tcPr>
            <w:tcW w:w="469" w:type="pct"/>
            <w:shd w:val="clear" w:color="auto" w:fill="FFFFFF"/>
            <w:noWrap w:val="0"/>
            <w:tcMar>
              <w:top w:w="57" w:type="dxa"/>
              <w:left w:w="57" w:type="dxa"/>
              <w:bottom w:w="57" w:type="dxa"/>
              <w:right w:w="57" w:type="dxa"/>
            </w:tcMar>
            <w:vAlign w:val="center"/>
          </w:tcPr>
          <w:p w14:paraId="719E6352">
            <w:pPr>
              <w:pStyle w:val="11"/>
              <w:bidi w:val="0"/>
              <w:jc w:val="center"/>
              <w:rPr>
                <w:rFonts w:hint="eastAsia"/>
                <w:lang w:val="zh-CN"/>
              </w:rPr>
            </w:pPr>
            <w:r>
              <w:rPr>
                <w:rFonts w:hint="eastAsia"/>
                <w:lang w:val="zh-CN"/>
              </w:rPr>
              <w:t>63.8</w:t>
            </w:r>
          </w:p>
        </w:tc>
        <w:tc>
          <w:tcPr>
            <w:tcW w:w="464" w:type="pct"/>
            <w:shd w:val="clear" w:color="auto" w:fill="FFFFFF"/>
            <w:noWrap w:val="0"/>
            <w:tcMar>
              <w:top w:w="57" w:type="dxa"/>
              <w:left w:w="57" w:type="dxa"/>
              <w:bottom w:w="57" w:type="dxa"/>
              <w:right w:w="57" w:type="dxa"/>
            </w:tcMar>
            <w:vAlign w:val="center"/>
          </w:tcPr>
          <w:p w14:paraId="3EC4B6A9">
            <w:pPr>
              <w:pStyle w:val="11"/>
              <w:bidi w:val="0"/>
              <w:jc w:val="center"/>
              <w:rPr>
                <w:rFonts w:hint="eastAsia"/>
                <w:lang w:val="zh-CN"/>
              </w:rPr>
            </w:pPr>
            <w:r>
              <w:rPr>
                <w:rFonts w:hint="eastAsia"/>
                <w:lang w:val="zh-CN"/>
              </w:rPr>
              <w:t>443.8</w:t>
            </w:r>
          </w:p>
        </w:tc>
        <w:tc>
          <w:tcPr>
            <w:tcW w:w="531" w:type="pct"/>
            <w:shd w:val="clear" w:color="auto" w:fill="FFFFFF"/>
            <w:noWrap w:val="0"/>
            <w:tcMar>
              <w:top w:w="57" w:type="dxa"/>
              <w:left w:w="57" w:type="dxa"/>
              <w:bottom w:w="57" w:type="dxa"/>
              <w:right w:w="57" w:type="dxa"/>
            </w:tcMar>
            <w:vAlign w:val="center"/>
          </w:tcPr>
          <w:p w14:paraId="2B46E1B8">
            <w:pPr>
              <w:pStyle w:val="11"/>
              <w:bidi w:val="0"/>
              <w:jc w:val="center"/>
              <w:rPr>
                <w:rFonts w:hint="eastAsia"/>
                <w:lang w:val="zh-CN"/>
              </w:rPr>
            </w:pPr>
            <w:r>
              <w:rPr>
                <w:rFonts w:hint="eastAsia"/>
                <w:lang w:val="zh-CN"/>
              </w:rPr>
              <w:t>210</w:t>
            </w:r>
          </w:p>
        </w:tc>
      </w:tr>
    </w:tbl>
    <w:p w14:paraId="0AC16026">
      <w:pPr>
        <w:bidi w:val="0"/>
        <w:ind w:left="0" w:leftChars="0" w:firstLine="0" w:firstLineChars="0"/>
        <w:jc w:val="center"/>
        <w:rPr>
          <w:rFonts w:hint="eastAsia"/>
          <w:b/>
          <w:bCs/>
          <w:lang w:val="zh-CN"/>
        </w:rPr>
      </w:pPr>
      <w:r>
        <w:rPr>
          <w:rFonts w:hint="eastAsia"/>
          <w:b/>
          <w:bCs/>
          <w:lang w:val="zh-CN"/>
        </w:rPr>
        <w:t>表5</w:t>
      </w:r>
      <w:r>
        <w:rPr>
          <w:rFonts w:hint="eastAsia"/>
          <w:b/>
          <w:bCs/>
          <w:lang w:val="en-US" w:eastAsia="zh-CN"/>
        </w:rPr>
        <w:t xml:space="preserve">  </w:t>
      </w:r>
      <w:r>
        <w:rPr>
          <w:rFonts w:hint="eastAsia"/>
          <w:b/>
          <w:bCs/>
          <w:lang w:val="zh-CN"/>
        </w:rPr>
        <w:t>南雄市灌区工程特性表</w:t>
      </w:r>
    </w:p>
    <w:tbl>
      <w:tblPr>
        <w:tblStyle w:val="7"/>
        <w:tblW w:w="4995"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45"/>
        <w:gridCol w:w="493"/>
        <w:gridCol w:w="611"/>
        <w:gridCol w:w="680"/>
        <w:gridCol w:w="518"/>
        <w:gridCol w:w="482"/>
        <w:gridCol w:w="445"/>
        <w:gridCol w:w="375"/>
        <w:gridCol w:w="480"/>
        <w:gridCol w:w="580"/>
        <w:gridCol w:w="580"/>
        <w:gridCol w:w="475"/>
        <w:gridCol w:w="375"/>
        <w:gridCol w:w="582"/>
        <w:gridCol w:w="476"/>
        <w:gridCol w:w="400"/>
        <w:gridCol w:w="453"/>
        <w:gridCol w:w="445"/>
        <w:gridCol w:w="445"/>
        <w:gridCol w:w="454"/>
      </w:tblGrid>
      <w:tr w14:paraId="24746A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85" w:hRule="atLeast"/>
          <w:tblHeader/>
        </w:trPr>
        <w:tc>
          <w:tcPr>
            <w:tcW w:w="227" w:type="pct"/>
            <w:vMerge w:val="restart"/>
            <w:shd w:val="clear" w:color="auto" w:fill="FFFFFF"/>
            <w:noWrap w:val="0"/>
            <w:tcMar>
              <w:top w:w="28" w:type="dxa"/>
              <w:left w:w="28" w:type="dxa"/>
              <w:bottom w:w="28" w:type="dxa"/>
              <w:right w:w="28" w:type="dxa"/>
            </w:tcMar>
            <w:vAlign w:val="center"/>
          </w:tcPr>
          <w:p w14:paraId="71E68E14">
            <w:pPr>
              <w:pStyle w:val="11"/>
              <w:bidi w:val="0"/>
              <w:jc w:val="center"/>
              <w:rPr>
                <w:b/>
                <w:bCs/>
                <w:lang w:val="zh-CN"/>
              </w:rPr>
            </w:pPr>
            <w:r>
              <w:rPr>
                <w:rFonts w:hint="eastAsia"/>
                <w:b/>
                <w:bCs/>
                <w:lang w:val="zh-CN"/>
              </w:rPr>
              <w:t>灌区名称</w:t>
            </w:r>
          </w:p>
        </w:tc>
        <w:tc>
          <w:tcPr>
            <w:tcW w:w="251" w:type="pct"/>
            <w:vMerge w:val="restart"/>
            <w:shd w:val="clear" w:color="auto" w:fill="FFFFFF"/>
            <w:noWrap w:val="0"/>
            <w:tcMar>
              <w:top w:w="28" w:type="dxa"/>
              <w:left w:w="28" w:type="dxa"/>
              <w:bottom w:w="28" w:type="dxa"/>
              <w:right w:w="28" w:type="dxa"/>
            </w:tcMar>
            <w:vAlign w:val="center"/>
          </w:tcPr>
          <w:p w14:paraId="35655239">
            <w:pPr>
              <w:pStyle w:val="11"/>
              <w:bidi w:val="0"/>
              <w:jc w:val="center"/>
              <w:rPr>
                <w:b/>
                <w:bCs/>
                <w:lang w:val="zh-CN"/>
              </w:rPr>
            </w:pPr>
            <w:r>
              <w:rPr>
                <w:rFonts w:hint="eastAsia"/>
                <w:b/>
                <w:bCs/>
                <w:lang w:val="zh-CN"/>
              </w:rPr>
              <w:t>地址</w:t>
            </w:r>
          </w:p>
        </w:tc>
        <w:tc>
          <w:tcPr>
            <w:tcW w:w="311" w:type="pct"/>
            <w:vMerge w:val="restart"/>
            <w:shd w:val="clear" w:color="auto" w:fill="FFFFFF"/>
            <w:noWrap w:val="0"/>
            <w:tcMar>
              <w:top w:w="28" w:type="dxa"/>
              <w:left w:w="28" w:type="dxa"/>
              <w:bottom w:w="28" w:type="dxa"/>
              <w:right w:w="28" w:type="dxa"/>
            </w:tcMar>
            <w:vAlign w:val="center"/>
          </w:tcPr>
          <w:p w14:paraId="13CFF2D8">
            <w:pPr>
              <w:pStyle w:val="11"/>
              <w:bidi w:val="0"/>
              <w:jc w:val="center"/>
              <w:rPr>
                <w:b/>
                <w:bCs/>
                <w:lang w:val="zh-CN"/>
              </w:rPr>
            </w:pPr>
            <w:r>
              <w:rPr>
                <w:rFonts w:hint="eastAsia"/>
                <w:b/>
                <w:bCs/>
                <w:lang w:val="zh-CN"/>
              </w:rPr>
              <w:t>设计引水流量（</w:t>
            </w:r>
            <w:r>
              <w:rPr>
                <w:b/>
                <w:bCs/>
                <w:lang w:val="zh-CN"/>
              </w:rPr>
              <w:t>m3/s</w:t>
            </w:r>
            <w:r>
              <w:rPr>
                <w:rFonts w:hint="eastAsia"/>
                <w:b/>
                <w:bCs/>
                <w:lang w:val="zh-CN"/>
              </w:rPr>
              <w:t>）</w:t>
            </w:r>
          </w:p>
        </w:tc>
        <w:tc>
          <w:tcPr>
            <w:tcW w:w="347" w:type="pct"/>
            <w:vMerge w:val="restart"/>
            <w:shd w:val="clear" w:color="auto" w:fill="FFFFFF"/>
            <w:noWrap w:val="0"/>
            <w:tcMar>
              <w:top w:w="28" w:type="dxa"/>
              <w:left w:w="28" w:type="dxa"/>
              <w:bottom w:w="28" w:type="dxa"/>
              <w:right w:w="28" w:type="dxa"/>
            </w:tcMar>
            <w:vAlign w:val="center"/>
          </w:tcPr>
          <w:p w14:paraId="76E0B4A8">
            <w:pPr>
              <w:pStyle w:val="11"/>
              <w:bidi w:val="0"/>
              <w:jc w:val="center"/>
              <w:rPr>
                <w:b/>
                <w:bCs/>
                <w:lang w:val="zh-CN"/>
              </w:rPr>
            </w:pPr>
            <w:r>
              <w:rPr>
                <w:rFonts w:hint="eastAsia"/>
                <w:b/>
                <w:bCs/>
                <w:lang w:val="zh-CN"/>
              </w:rPr>
              <w:t>工业生活供水（万</w:t>
            </w:r>
            <w:r>
              <w:rPr>
                <w:b/>
                <w:bCs/>
                <w:lang w:val="zh-CN"/>
              </w:rPr>
              <w:t>m3/</w:t>
            </w:r>
            <w:r>
              <w:rPr>
                <w:rFonts w:hint="eastAsia"/>
                <w:b/>
                <w:bCs/>
                <w:lang w:val="zh-CN"/>
              </w:rPr>
              <w:t>年）</w:t>
            </w:r>
          </w:p>
        </w:tc>
        <w:tc>
          <w:tcPr>
            <w:tcW w:w="510" w:type="pct"/>
            <w:gridSpan w:val="2"/>
            <w:shd w:val="clear" w:color="auto" w:fill="FFFFFF"/>
            <w:noWrap w:val="0"/>
            <w:tcMar>
              <w:top w:w="28" w:type="dxa"/>
              <w:left w:w="28" w:type="dxa"/>
              <w:bottom w:w="28" w:type="dxa"/>
              <w:right w:w="28" w:type="dxa"/>
            </w:tcMar>
            <w:vAlign w:val="center"/>
          </w:tcPr>
          <w:p w14:paraId="1D4C9292">
            <w:pPr>
              <w:pStyle w:val="11"/>
              <w:bidi w:val="0"/>
              <w:jc w:val="center"/>
              <w:rPr>
                <w:b/>
                <w:bCs/>
                <w:lang w:val="zh-CN"/>
              </w:rPr>
            </w:pPr>
            <w:r>
              <w:rPr>
                <w:rFonts w:hint="eastAsia"/>
                <w:b/>
                <w:bCs/>
                <w:lang w:val="zh-CN"/>
              </w:rPr>
              <w:t>灌溉面积（亩）</w:t>
            </w:r>
          </w:p>
        </w:tc>
        <w:tc>
          <w:tcPr>
            <w:tcW w:w="418" w:type="pct"/>
            <w:gridSpan w:val="2"/>
            <w:shd w:val="clear" w:color="auto" w:fill="FFFFFF"/>
            <w:noWrap w:val="0"/>
            <w:tcMar>
              <w:top w:w="28" w:type="dxa"/>
              <w:left w:w="28" w:type="dxa"/>
              <w:bottom w:w="28" w:type="dxa"/>
              <w:right w:w="28" w:type="dxa"/>
            </w:tcMar>
            <w:vAlign w:val="center"/>
          </w:tcPr>
          <w:p w14:paraId="42431143">
            <w:pPr>
              <w:pStyle w:val="11"/>
              <w:bidi w:val="0"/>
              <w:jc w:val="center"/>
              <w:rPr>
                <w:b/>
                <w:bCs/>
                <w:lang w:val="zh-CN"/>
              </w:rPr>
            </w:pPr>
            <w:r>
              <w:rPr>
                <w:rFonts w:hint="eastAsia"/>
                <w:b/>
                <w:bCs/>
                <w:lang w:val="zh-CN"/>
              </w:rPr>
              <w:t>灌溉保证率</w:t>
            </w:r>
          </w:p>
        </w:tc>
        <w:tc>
          <w:tcPr>
            <w:tcW w:w="245" w:type="pct"/>
            <w:vMerge w:val="restart"/>
            <w:shd w:val="clear" w:color="auto" w:fill="FFFFFF"/>
            <w:noWrap w:val="0"/>
            <w:tcMar>
              <w:top w:w="28" w:type="dxa"/>
              <w:left w:w="28" w:type="dxa"/>
              <w:bottom w:w="28" w:type="dxa"/>
              <w:right w:w="28" w:type="dxa"/>
            </w:tcMar>
            <w:vAlign w:val="center"/>
          </w:tcPr>
          <w:p w14:paraId="741E32D1">
            <w:pPr>
              <w:pStyle w:val="11"/>
              <w:bidi w:val="0"/>
              <w:jc w:val="center"/>
              <w:rPr>
                <w:b/>
                <w:bCs/>
                <w:lang w:val="zh-CN"/>
              </w:rPr>
            </w:pPr>
            <w:r>
              <w:rPr>
                <w:rFonts w:hint="eastAsia"/>
                <w:b/>
                <w:bCs/>
                <w:lang w:val="zh-CN"/>
              </w:rPr>
              <w:t>现状渠系水利用率</w:t>
            </w:r>
          </w:p>
        </w:tc>
        <w:tc>
          <w:tcPr>
            <w:tcW w:w="1026" w:type="pct"/>
            <w:gridSpan w:val="4"/>
            <w:shd w:val="clear" w:color="auto" w:fill="FFFFFF"/>
            <w:noWrap w:val="0"/>
            <w:tcMar>
              <w:top w:w="28" w:type="dxa"/>
              <w:left w:w="28" w:type="dxa"/>
              <w:bottom w:w="28" w:type="dxa"/>
              <w:right w:w="28" w:type="dxa"/>
            </w:tcMar>
            <w:vAlign w:val="center"/>
          </w:tcPr>
          <w:p w14:paraId="3BB56C69">
            <w:pPr>
              <w:pStyle w:val="11"/>
              <w:bidi w:val="0"/>
              <w:jc w:val="center"/>
              <w:rPr>
                <w:b/>
                <w:bCs/>
                <w:lang w:val="zh-CN"/>
              </w:rPr>
            </w:pPr>
            <w:r>
              <w:rPr>
                <w:rFonts w:hint="eastAsia"/>
                <w:b/>
                <w:bCs/>
                <w:lang w:val="zh-CN"/>
              </w:rPr>
              <w:t>干渠长度（</w:t>
            </w:r>
            <w:r>
              <w:rPr>
                <w:b/>
                <w:bCs/>
                <w:lang w:val="zh-CN"/>
              </w:rPr>
              <w:t>km</w:t>
            </w:r>
            <w:r>
              <w:rPr>
                <w:rFonts w:hint="eastAsia"/>
                <w:b/>
                <w:bCs/>
                <w:lang w:val="zh-CN"/>
              </w:rPr>
              <w:t>）</w:t>
            </w:r>
          </w:p>
        </w:tc>
        <w:tc>
          <w:tcPr>
            <w:tcW w:w="975" w:type="pct"/>
            <w:gridSpan w:val="4"/>
            <w:shd w:val="clear" w:color="auto" w:fill="FFFFFF"/>
            <w:noWrap w:val="0"/>
            <w:tcMar>
              <w:top w:w="28" w:type="dxa"/>
              <w:left w:w="28" w:type="dxa"/>
              <w:bottom w:w="28" w:type="dxa"/>
              <w:right w:w="28" w:type="dxa"/>
            </w:tcMar>
            <w:vAlign w:val="center"/>
          </w:tcPr>
          <w:p w14:paraId="21A36AC9">
            <w:pPr>
              <w:pStyle w:val="11"/>
              <w:bidi w:val="0"/>
              <w:jc w:val="center"/>
              <w:rPr>
                <w:b/>
                <w:bCs/>
                <w:lang w:val="zh-CN"/>
              </w:rPr>
            </w:pPr>
            <w:r>
              <w:rPr>
                <w:rFonts w:hint="eastAsia"/>
                <w:b/>
                <w:bCs/>
                <w:lang w:val="zh-CN"/>
              </w:rPr>
              <w:t>支渠长度（</w:t>
            </w:r>
            <w:r>
              <w:rPr>
                <w:b/>
                <w:bCs/>
                <w:lang w:val="zh-CN"/>
              </w:rPr>
              <w:t>km</w:t>
            </w:r>
            <w:r>
              <w:rPr>
                <w:rFonts w:hint="eastAsia"/>
                <w:b/>
                <w:bCs/>
                <w:lang w:val="zh-CN"/>
              </w:rPr>
              <w:t>）</w:t>
            </w:r>
          </w:p>
        </w:tc>
        <w:tc>
          <w:tcPr>
            <w:tcW w:w="686" w:type="pct"/>
            <w:gridSpan w:val="3"/>
            <w:shd w:val="clear" w:color="auto" w:fill="FFFFFF"/>
            <w:noWrap w:val="0"/>
            <w:tcMar>
              <w:top w:w="28" w:type="dxa"/>
              <w:left w:w="28" w:type="dxa"/>
              <w:bottom w:w="28" w:type="dxa"/>
              <w:right w:w="28" w:type="dxa"/>
            </w:tcMar>
            <w:vAlign w:val="center"/>
          </w:tcPr>
          <w:p w14:paraId="49970A18">
            <w:pPr>
              <w:pStyle w:val="11"/>
              <w:bidi w:val="0"/>
              <w:jc w:val="center"/>
              <w:rPr>
                <w:b/>
                <w:bCs/>
                <w:lang w:val="zh-CN"/>
              </w:rPr>
            </w:pPr>
            <w:r>
              <w:rPr>
                <w:rFonts w:hint="eastAsia"/>
                <w:b/>
                <w:bCs/>
                <w:lang w:val="zh-CN"/>
              </w:rPr>
              <w:t>干、支渠系建筑物（座）</w:t>
            </w:r>
          </w:p>
        </w:tc>
      </w:tr>
      <w:tr w14:paraId="02039B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31" w:hRule="atLeast"/>
          <w:tblHeader/>
        </w:trPr>
        <w:tc>
          <w:tcPr>
            <w:tcW w:w="227" w:type="pct"/>
            <w:vMerge w:val="continue"/>
            <w:shd w:val="clear" w:color="auto" w:fill="FFFFFF"/>
            <w:noWrap w:val="0"/>
            <w:vAlign w:val="center"/>
          </w:tcPr>
          <w:p w14:paraId="2F58C489">
            <w:pPr>
              <w:pStyle w:val="11"/>
              <w:bidi w:val="0"/>
              <w:jc w:val="center"/>
              <w:rPr>
                <w:b/>
                <w:bCs/>
              </w:rPr>
            </w:pPr>
          </w:p>
        </w:tc>
        <w:tc>
          <w:tcPr>
            <w:tcW w:w="251" w:type="pct"/>
            <w:vMerge w:val="continue"/>
            <w:shd w:val="clear" w:color="auto" w:fill="FFFFFF"/>
            <w:noWrap w:val="0"/>
            <w:vAlign w:val="center"/>
          </w:tcPr>
          <w:p w14:paraId="07EDEE70">
            <w:pPr>
              <w:pStyle w:val="11"/>
              <w:bidi w:val="0"/>
              <w:jc w:val="center"/>
              <w:rPr>
                <w:b/>
                <w:bCs/>
              </w:rPr>
            </w:pPr>
          </w:p>
        </w:tc>
        <w:tc>
          <w:tcPr>
            <w:tcW w:w="311" w:type="pct"/>
            <w:vMerge w:val="continue"/>
            <w:shd w:val="clear" w:color="auto" w:fill="FFFFFF"/>
            <w:noWrap w:val="0"/>
            <w:vAlign w:val="center"/>
          </w:tcPr>
          <w:p w14:paraId="57D6D9A9">
            <w:pPr>
              <w:pStyle w:val="11"/>
              <w:bidi w:val="0"/>
              <w:jc w:val="center"/>
              <w:rPr>
                <w:b/>
                <w:bCs/>
              </w:rPr>
            </w:pPr>
          </w:p>
        </w:tc>
        <w:tc>
          <w:tcPr>
            <w:tcW w:w="347" w:type="pct"/>
            <w:vMerge w:val="continue"/>
            <w:shd w:val="clear" w:color="auto" w:fill="FFFFFF"/>
            <w:noWrap w:val="0"/>
            <w:vAlign w:val="center"/>
          </w:tcPr>
          <w:p w14:paraId="1678F10E">
            <w:pPr>
              <w:pStyle w:val="11"/>
              <w:bidi w:val="0"/>
              <w:jc w:val="center"/>
              <w:rPr>
                <w:b/>
                <w:bCs/>
              </w:rPr>
            </w:pPr>
          </w:p>
        </w:tc>
        <w:tc>
          <w:tcPr>
            <w:tcW w:w="264" w:type="pct"/>
            <w:shd w:val="clear" w:color="auto" w:fill="FFFFFF"/>
            <w:noWrap w:val="0"/>
            <w:vAlign w:val="center"/>
          </w:tcPr>
          <w:p w14:paraId="33E9A028">
            <w:pPr>
              <w:pStyle w:val="11"/>
              <w:bidi w:val="0"/>
              <w:jc w:val="center"/>
              <w:rPr>
                <w:b/>
                <w:bCs/>
                <w:lang w:val="zh-CN"/>
              </w:rPr>
            </w:pPr>
            <w:r>
              <w:rPr>
                <w:rFonts w:hint="eastAsia"/>
                <w:b/>
                <w:bCs/>
                <w:lang w:val="zh-CN"/>
              </w:rPr>
              <w:t>设计</w:t>
            </w:r>
          </w:p>
        </w:tc>
        <w:tc>
          <w:tcPr>
            <w:tcW w:w="246" w:type="pct"/>
            <w:shd w:val="clear" w:color="auto" w:fill="FFFFFF"/>
            <w:noWrap w:val="0"/>
            <w:vAlign w:val="center"/>
          </w:tcPr>
          <w:p w14:paraId="004B9812">
            <w:pPr>
              <w:pStyle w:val="11"/>
              <w:bidi w:val="0"/>
              <w:jc w:val="center"/>
              <w:rPr>
                <w:b/>
                <w:bCs/>
                <w:lang w:val="zh-CN"/>
              </w:rPr>
            </w:pPr>
            <w:r>
              <w:rPr>
                <w:rFonts w:hint="eastAsia"/>
                <w:b/>
                <w:bCs/>
                <w:lang w:val="zh-CN"/>
              </w:rPr>
              <w:t>实际</w:t>
            </w:r>
          </w:p>
        </w:tc>
        <w:tc>
          <w:tcPr>
            <w:tcW w:w="227" w:type="pct"/>
            <w:shd w:val="clear" w:color="auto" w:fill="FFFFFF"/>
            <w:noWrap w:val="0"/>
            <w:vAlign w:val="center"/>
          </w:tcPr>
          <w:p w14:paraId="57031F8C">
            <w:pPr>
              <w:pStyle w:val="11"/>
              <w:bidi w:val="0"/>
              <w:jc w:val="center"/>
              <w:rPr>
                <w:b/>
                <w:bCs/>
                <w:lang w:val="zh-CN"/>
              </w:rPr>
            </w:pPr>
            <w:r>
              <w:rPr>
                <w:rFonts w:hint="eastAsia"/>
                <w:b/>
                <w:bCs/>
                <w:lang w:val="zh-CN"/>
              </w:rPr>
              <w:t>设计</w:t>
            </w:r>
          </w:p>
        </w:tc>
        <w:tc>
          <w:tcPr>
            <w:tcW w:w="191" w:type="pct"/>
            <w:shd w:val="clear" w:color="auto" w:fill="FFFFFF"/>
            <w:noWrap w:val="0"/>
            <w:vAlign w:val="center"/>
          </w:tcPr>
          <w:p w14:paraId="2565F966">
            <w:pPr>
              <w:pStyle w:val="11"/>
              <w:bidi w:val="0"/>
              <w:jc w:val="center"/>
              <w:rPr>
                <w:b/>
                <w:bCs/>
                <w:lang w:val="zh-CN"/>
              </w:rPr>
            </w:pPr>
            <w:r>
              <w:rPr>
                <w:rFonts w:hint="eastAsia"/>
                <w:b/>
                <w:bCs/>
                <w:lang w:val="zh-CN"/>
              </w:rPr>
              <w:t>实际</w:t>
            </w:r>
          </w:p>
        </w:tc>
        <w:tc>
          <w:tcPr>
            <w:tcW w:w="245" w:type="pct"/>
            <w:vMerge w:val="continue"/>
            <w:shd w:val="clear" w:color="auto" w:fill="FFFFFF"/>
            <w:noWrap w:val="0"/>
            <w:vAlign w:val="center"/>
          </w:tcPr>
          <w:p w14:paraId="6B39E9C1">
            <w:pPr>
              <w:pStyle w:val="11"/>
              <w:bidi w:val="0"/>
              <w:jc w:val="center"/>
              <w:rPr>
                <w:b/>
                <w:bCs/>
              </w:rPr>
            </w:pPr>
          </w:p>
        </w:tc>
        <w:tc>
          <w:tcPr>
            <w:tcW w:w="296" w:type="pct"/>
            <w:shd w:val="clear" w:color="auto" w:fill="FFFFFF"/>
            <w:noWrap w:val="0"/>
            <w:tcMar>
              <w:top w:w="28" w:type="dxa"/>
              <w:left w:w="28" w:type="dxa"/>
              <w:bottom w:w="28" w:type="dxa"/>
              <w:right w:w="28" w:type="dxa"/>
            </w:tcMar>
            <w:vAlign w:val="center"/>
          </w:tcPr>
          <w:p w14:paraId="46DF8D91">
            <w:pPr>
              <w:pStyle w:val="11"/>
              <w:bidi w:val="0"/>
              <w:jc w:val="center"/>
              <w:rPr>
                <w:b/>
                <w:bCs/>
                <w:lang w:val="zh-CN"/>
              </w:rPr>
            </w:pPr>
            <w:r>
              <w:rPr>
                <w:rFonts w:hint="eastAsia"/>
                <w:b/>
                <w:bCs/>
                <w:lang w:val="zh-CN"/>
              </w:rPr>
              <w:t>设计</w:t>
            </w:r>
          </w:p>
        </w:tc>
        <w:tc>
          <w:tcPr>
            <w:tcW w:w="296" w:type="pct"/>
            <w:shd w:val="clear" w:color="auto" w:fill="FFFFFF"/>
            <w:noWrap w:val="0"/>
            <w:tcMar>
              <w:top w:w="28" w:type="dxa"/>
              <w:left w:w="28" w:type="dxa"/>
              <w:bottom w:w="28" w:type="dxa"/>
              <w:right w:w="28" w:type="dxa"/>
            </w:tcMar>
            <w:vAlign w:val="center"/>
          </w:tcPr>
          <w:p w14:paraId="52C08B23">
            <w:pPr>
              <w:pStyle w:val="11"/>
              <w:bidi w:val="0"/>
              <w:jc w:val="center"/>
              <w:rPr>
                <w:b/>
                <w:bCs/>
                <w:lang w:val="zh-CN"/>
              </w:rPr>
            </w:pPr>
            <w:r>
              <w:rPr>
                <w:rFonts w:hint="eastAsia"/>
                <w:b/>
                <w:bCs/>
                <w:lang w:val="zh-CN"/>
              </w:rPr>
              <w:t>现有</w:t>
            </w:r>
          </w:p>
        </w:tc>
        <w:tc>
          <w:tcPr>
            <w:tcW w:w="242" w:type="pct"/>
            <w:shd w:val="clear" w:color="auto" w:fill="FFFFFF"/>
            <w:noWrap w:val="0"/>
            <w:tcMar>
              <w:top w:w="28" w:type="dxa"/>
              <w:left w:w="28" w:type="dxa"/>
              <w:bottom w:w="28" w:type="dxa"/>
              <w:right w:w="28" w:type="dxa"/>
            </w:tcMar>
            <w:vAlign w:val="center"/>
          </w:tcPr>
          <w:p w14:paraId="07829A98">
            <w:pPr>
              <w:pStyle w:val="11"/>
              <w:bidi w:val="0"/>
              <w:jc w:val="center"/>
              <w:rPr>
                <w:b/>
                <w:bCs/>
                <w:lang w:val="zh-CN"/>
              </w:rPr>
            </w:pPr>
            <w:r>
              <w:rPr>
                <w:rFonts w:hint="eastAsia"/>
                <w:b/>
                <w:bCs/>
                <w:lang w:val="zh-CN"/>
              </w:rPr>
              <w:t>已衬砌</w:t>
            </w:r>
          </w:p>
        </w:tc>
        <w:tc>
          <w:tcPr>
            <w:tcW w:w="191" w:type="pct"/>
            <w:shd w:val="clear" w:color="auto" w:fill="FFFFFF"/>
            <w:noWrap w:val="0"/>
            <w:tcMar>
              <w:top w:w="28" w:type="dxa"/>
              <w:left w:w="28" w:type="dxa"/>
              <w:bottom w:w="28" w:type="dxa"/>
              <w:right w:w="28" w:type="dxa"/>
            </w:tcMar>
            <w:vAlign w:val="center"/>
          </w:tcPr>
          <w:p w14:paraId="2F73724B">
            <w:pPr>
              <w:pStyle w:val="11"/>
              <w:bidi w:val="0"/>
              <w:jc w:val="center"/>
              <w:rPr>
                <w:b/>
                <w:bCs/>
                <w:lang w:val="zh-CN"/>
              </w:rPr>
            </w:pPr>
            <w:r>
              <w:rPr>
                <w:rFonts w:hint="eastAsia"/>
                <w:b/>
                <w:bCs/>
                <w:lang w:val="zh-CN"/>
              </w:rPr>
              <w:t>完好率％</w:t>
            </w:r>
          </w:p>
        </w:tc>
        <w:tc>
          <w:tcPr>
            <w:tcW w:w="297" w:type="pct"/>
            <w:shd w:val="clear" w:color="auto" w:fill="FFFFFF"/>
            <w:noWrap w:val="0"/>
            <w:tcMar>
              <w:top w:w="28" w:type="dxa"/>
              <w:left w:w="28" w:type="dxa"/>
              <w:bottom w:w="28" w:type="dxa"/>
              <w:right w:w="28" w:type="dxa"/>
            </w:tcMar>
            <w:vAlign w:val="center"/>
          </w:tcPr>
          <w:p w14:paraId="7EA49192">
            <w:pPr>
              <w:pStyle w:val="11"/>
              <w:bidi w:val="0"/>
              <w:jc w:val="center"/>
              <w:rPr>
                <w:b/>
                <w:bCs/>
                <w:lang w:val="zh-CN"/>
              </w:rPr>
            </w:pPr>
            <w:r>
              <w:rPr>
                <w:rFonts w:hint="eastAsia"/>
                <w:b/>
                <w:bCs/>
                <w:lang w:val="zh-CN"/>
              </w:rPr>
              <w:t>设计</w:t>
            </w:r>
          </w:p>
        </w:tc>
        <w:tc>
          <w:tcPr>
            <w:tcW w:w="243" w:type="pct"/>
            <w:shd w:val="clear" w:color="auto" w:fill="FFFFFF"/>
            <w:noWrap w:val="0"/>
            <w:tcMar>
              <w:top w:w="28" w:type="dxa"/>
              <w:left w:w="28" w:type="dxa"/>
              <w:bottom w:w="28" w:type="dxa"/>
              <w:right w:w="28" w:type="dxa"/>
            </w:tcMar>
            <w:vAlign w:val="center"/>
          </w:tcPr>
          <w:p w14:paraId="7D9EF20F">
            <w:pPr>
              <w:pStyle w:val="11"/>
              <w:bidi w:val="0"/>
              <w:jc w:val="center"/>
              <w:rPr>
                <w:b/>
                <w:bCs/>
                <w:lang w:val="zh-CN"/>
              </w:rPr>
            </w:pPr>
            <w:r>
              <w:rPr>
                <w:rFonts w:hint="eastAsia"/>
                <w:b/>
                <w:bCs/>
                <w:lang w:val="zh-CN"/>
              </w:rPr>
              <w:t>现有</w:t>
            </w:r>
          </w:p>
        </w:tc>
        <w:tc>
          <w:tcPr>
            <w:tcW w:w="204" w:type="pct"/>
            <w:shd w:val="clear" w:color="auto" w:fill="FFFFFF"/>
            <w:noWrap w:val="0"/>
            <w:tcMar>
              <w:top w:w="28" w:type="dxa"/>
              <w:left w:w="28" w:type="dxa"/>
              <w:bottom w:w="28" w:type="dxa"/>
              <w:right w:w="28" w:type="dxa"/>
            </w:tcMar>
            <w:vAlign w:val="center"/>
          </w:tcPr>
          <w:p w14:paraId="48040EE1">
            <w:pPr>
              <w:pStyle w:val="11"/>
              <w:bidi w:val="0"/>
              <w:jc w:val="center"/>
              <w:rPr>
                <w:b/>
                <w:bCs/>
                <w:lang w:val="zh-CN"/>
              </w:rPr>
            </w:pPr>
            <w:r>
              <w:rPr>
                <w:rFonts w:hint="eastAsia"/>
                <w:b/>
                <w:bCs/>
                <w:lang w:val="zh-CN"/>
              </w:rPr>
              <w:t>已衬砌</w:t>
            </w:r>
          </w:p>
        </w:tc>
        <w:tc>
          <w:tcPr>
            <w:tcW w:w="231" w:type="pct"/>
            <w:shd w:val="clear" w:color="auto" w:fill="FFFFFF"/>
            <w:noWrap w:val="0"/>
            <w:tcMar>
              <w:top w:w="28" w:type="dxa"/>
              <w:left w:w="28" w:type="dxa"/>
              <w:bottom w:w="28" w:type="dxa"/>
              <w:right w:w="28" w:type="dxa"/>
            </w:tcMar>
            <w:vAlign w:val="center"/>
          </w:tcPr>
          <w:p w14:paraId="391569AA">
            <w:pPr>
              <w:pStyle w:val="11"/>
              <w:bidi w:val="0"/>
              <w:jc w:val="center"/>
              <w:rPr>
                <w:b/>
                <w:bCs/>
                <w:lang w:val="zh-CN"/>
              </w:rPr>
            </w:pPr>
            <w:r>
              <w:rPr>
                <w:rFonts w:hint="eastAsia"/>
                <w:b/>
                <w:bCs/>
                <w:lang w:val="zh-CN"/>
              </w:rPr>
              <w:t>完好率％</w:t>
            </w:r>
          </w:p>
        </w:tc>
        <w:tc>
          <w:tcPr>
            <w:tcW w:w="227" w:type="pct"/>
            <w:shd w:val="clear" w:color="auto" w:fill="FFFFFF"/>
            <w:noWrap w:val="0"/>
            <w:tcMar>
              <w:top w:w="28" w:type="dxa"/>
              <w:left w:w="28" w:type="dxa"/>
              <w:bottom w:w="28" w:type="dxa"/>
              <w:right w:w="28" w:type="dxa"/>
            </w:tcMar>
            <w:vAlign w:val="center"/>
          </w:tcPr>
          <w:p w14:paraId="3B90A011">
            <w:pPr>
              <w:pStyle w:val="11"/>
              <w:bidi w:val="0"/>
              <w:jc w:val="center"/>
              <w:rPr>
                <w:b/>
                <w:bCs/>
                <w:lang w:val="zh-CN"/>
              </w:rPr>
            </w:pPr>
            <w:r>
              <w:rPr>
                <w:rFonts w:hint="eastAsia"/>
                <w:b/>
                <w:bCs/>
                <w:lang w:val="zh-CN"/>
              </w:rPr>
              <w:t>设计</w:t>
            </w:r>
          </w:p>
        </w:tc>
        <w:tc>
          <w:tcPr>
            <w:tcW w:w="227" w:type="pct"/>
            <w:shd w:val="clear" w:color="auto" w:fill="FFFFFF"/>
            <w:noWrap w:val="0"/>
            <w:tcMar>
              <w:top w:w="28" w:type="dxa"/>
              <w:left w:w="28" w:type="dxa"/>
              <w:bottom w:w="28" w:type="dxa"/>
              <w:right w:w="28" w:type="dxa"/>
            </w:tcMar>
            <w:vAlign w:val="center"/>
          </w:tcPr>
          <w:p w14:paraId="721BBA3D">
            <w:pPr>
              <w:pStyle w:val="11"/>
              <w:bidi w:val="0"/>
              <w:jc w:val="center"/>
              <w:rPr>
                <w:b/>
                <w:bCs/>
                <w:lang w:val="zh-CN"/>
              </w:rPr>
            </w:pPr>
            <w:r>
              <w:rPr>
                <w:rFonts w:hint="eastAsia"/>
                <w:b/>
                <w:bCs/>
                <w:lang w:val="zh-CN"/>
              </w:rPr>
              <w:t>现有</w:t>
            </w:r>
          </w:p>
        </w:tc>
        <w:tc>
          <w:tcPr>
            <w:tcW w:w="231" w:type="pct"/>
            <w:shd w:val="clear" w:color="auto" w:fill="FFFFFF"/>
            <w:noWrap w:val="0"/>
            <w:tcMar>
              <w:top w:w="28" w:type="dxa"/>
              <w:left w:w="28" w:type="dxa"/>
              <w:bottom w:w="28" w:type="dxa"/>
              <w:right w:w="28" w:type="dxa"/>
            </w:tcMar>
            <w:vAlign w:val="center"/>
          </w:tcPr>
          <w:p w14:paraId="50BB7D30">
            <w:pPr>
              <w:pStyle w:val="11"/>
              <w:bidi w:val="0"/>
              <w:jc w:val="center"/>
              <w:rPr>
                <w:b/>
                <w:bCs/>
                <w:lang w:val="zh-CN"/>
              </w:rPr>
            </w:pPr>
            <w:r>
              <w:rPr>
                <w:rFonts w:hint="eastAsia"/>
                <w:b/>
                <w:bCs/>
                <w:lang w:val="zh-CN"/>
              </w:rPr>
              <w:t>完好率</w:t>
            </w:r>
            <w:r>
              <w:rPr>
                <w:b/>
                <w:bCs/>
                <w:lang w:val="zh-CN"/>
              </w:rPr>
              <w:t>%</w:t>
            </w:r>
          </w:p>
        </w:tc>
      </w:tr>
      <w:tr w14:paraId="54B9EE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31" w:hRule="atLeast"/>
          <w:tblHeader/>
        </w:trPr>
        <w:tc>
          <w:tcPr>
            <w:tcW w:w="227" w:type="pct"/>
            <w:shd w:val="clear" w:color="auto" w:fill="FFFFFF"/>
            <w:noWrap w:val="0"/>
            <w:vAlign w:val="center"/>
          </w:tcPr>
          <w:p w14:paraId="0827BB38">
            <w:pPr>
              <w:pStyle w:val="11"/>
              <w:bidi w:val="0"/>
              <w:jc w:val="center"/>
            </w:pPr>
            <w:r>
              <w:rPr>
                <w:rFonts w:hint="eastAsia"/>
                <w:lang w:val="zh-CN"/>
              </w:rPr>
              <w:t>合计</w:t>
            </w:r>
          </w:p>
        </w:tc>
        <w:tc>
          <w:tcPr>
            <w:tcW w:w="251" w:type="pct"/>
            <w:shd w:val="clear" w:color="auto" w:fill="FFFFFF"/>
            <w:noWrap w:val="0"/>
            <w:vAlign w:val="center"/>
          </w:tcPr>
          <w:p w14:paraId="3FA7D61A">
            <w:pPr>
              <w:pStyle w:val="11"/>
              <w:bidi w:val="0"/>
              <w:jc w:val="center"/>
            </w:pPr>
          </w:p>
        </w:tc>
        <w:tc>
          <w:tcPr>
            <w:tcW w:w="311" w:type="pct"/>
            <w:shd w:val="clear" w:color="auto" w:fill="FFFFFF"/>
            <w:noWrap w:val="0"/>
            <w:vAlign w:val="center"/>
          </w:tcPr>
          <w:p w14:paraId="35E1B035">
            <w:pPr>
              <w:pStyle w:val="11"/>
              <w:bidi w:val="0"/>
              <w:jc w:val="center"/>
            </w:pPr>
          </w:p>
        </w:tc>
        <w:tc>
          <w:tcPr>
            <w:tcW w:w="347" w:type="pct"/>
            <w:shd w:val="clear" w:color="auto" w:fill="FFFFFF"/>
            <w:noWrap w:val="0"/>
            <w:vAlign w:val="center"/>
          </w:tcPr>
          <w:p w14:paraId="567AC9B5">
            <w:pPr>
              <w:pStyle w:val="11"/>
              <w:bidi w:val="0"/>
              <w:jc w:val="center"/>
            </w:pPr>
          </w:p>
        </w:tc>
        <w:tc>
          <w:tcPr>
            <w:tcW w:w="264" w:type="pct"/>
            <w:shd w:val="clear" w:color="auto" w:fill="FFFFFF"/>
            <w:noWrap w:val="0"/>
            <w:vAlign w:val="center"/>
          </w:tcPr>
          <w:p w14:paraId="58AA9C9F">
            <w:pPr>
              <w:pStyle w:val="11"/>
              <w:bidi w:val="0"/>
              <w:jc w:val="center"/>
              <w:rPr>
                <w:lang w:val="zh-CN"/>
              </w:rPr>
            </w:pPr>
            <w:r>
              <w:rPr>
                <w:lang w:val="zh-CN"/>
              </w:rPr>
              <w:t>24.9</w:t>
            </w:r>
          </w:p>
        </w:tc>
        <w:tc>
          <w:tcPr>
            <w:tcW w:w="246" w:type="pct"/>
            <w:shd w:val="clear" w:color="auto" w:fill="FFFFFF"/>
            <w:noWrap w:val="0"/>
            <w:vAlign w:val="center"/>
          </w:tcPr>
          <w:p w14:paraId="0C9AA4FE">
            <w:pPr>
              <w:pStyle w:val="11"/>
              <w:bidi w:val="0"/>
              <w:jc w:val="center"/>
              <w:rPr>
                <w:lang w:val="zh-CN"/>
              </w:rPr>
            </w:pPr>
            <w:r>
              <w:rPr>
                <w:lang w:val="zh-CN"/>
              </w:rPr>
              <w:t>16.4</w:t>
            </w:r>
          </w:p>
        </w:tc>
        <w:tc>
          <w:tcPr>
            <w:tcW w:w="227" w:type="pct"/>
            <w:shd w:val="clear" w:color="auto" w:fill="FFFFFF"/>
            <w:noWrap w:val="0"/>
            <w:vAlign w:val="center"/>
          </w:tcPr>
          <w:p w14:paraId="34F9E510">
            <w:pPr>
              <w:pStyle w:val="11"/>
              <w:bidi w:val="0"/>
              <w:jc w:val="center"/>
              <w:rPr>
                <w:lang w:val="zh-CN"/>
              </w:rPr>
            </w:pPr>
            <w:r>
              <w:rPr>
                <w:lang w:val="zh-CN"/>
              </w:rPr>
              <w:t>540</w:t>
            </w:r>
          </w:p>
        </w:tc>
        <w:tc>
          <w:tcPr>
            <w:tcW w:w="191" w:type="pct"/>
            <w:shd w:val="clear" w:color="auto" w:fill="FFFFFF"/>
            <w:noWrap w:val="0"/>
            <w:vAlign w:val="center"/>
          </w:tcPr>
          <w:p w14:paraId="3557EEAF">
            <w:pPr>
              <w:pStyle w:val="11"/>
              <w:bidi w:val="0"/>
              <w:jc w:val="center"/>
              <w:rPr>
                <w:lang w:val="zh-CN"/>
              </w:rPr>
            </w:pPr>
            <w:r>
              <w:rPr>
                <w:lang w:val="zh-CN"/>
              </w:rPr>
              <w:t>465</w:t>
            </w:r>
          </w:p>
        </w:tc>
        <w:tc>
          <w:tcPr>
            <w:tcW w:w="245" w:type="pct"/>
            <w:shd w:val="clear" w:color="auto" w:fill="FFFFFF"/>
            <w:noWrap w:val="0"/>
            <w:vAlign w:val="center"/>
          </w:tcPr>
          <w:p w14:paraId="34C9A1E0">
            <w:pPr>
              <w:pStyle w:val="11"/>
              <w:bidi w:val="0"/>
              <w:jc w:val="center"/>
            </w:pPr>
          </w:p>
        </w:tc>
        <w:tc>
          <w:tcPr>
            <w:tcW w:w="296" w:type="pct"/>
            <w:shd w:val="clear" w:color="auto" w:fill="FFFFFF"/>
            <w:noWrap w:val="0"/>
            <w:tcMar>
              <w:top w:w="28" w:type="dxa"/>
              <w:left w:w="28" w:type="dxa"/>
              <w:bottom w:w="28" w:type="dxa"/>
              <w:right w:w="28" w:type="dxa"/>
            </w:tcMar>
            <w:vAlign w:val="center"/>
          </w:tcPr>
          <w:p w14:paraId="29BE6779">
            <w:pPr>
              <w:pStyle w:val="11"/>
              <w:bidi w:val="0"/>
              <w:jc w:val="center"/>
              <w:rPr>
                <w:lang w:val="zh-CN"/>
              </w:rPr>
            </w:pPr>
            <w:r>
              <w:rPr>
                <w:lang w:val="zh-CN"/>
              </w:rPr>
              <w:t>365.4</w:t>
            </w:r>
          </w:p>
        </w:tc>
        <w:tc>
          <w:tcPr>
            <w:tcW w:w="296" w:type="pct"/>
            <w:shd w:val="clear" w:color="auto" w:fill="FFFFFF"/>
            <w:noWrap w:val="0"/>
            <w:tcMar>
              <w:top w:w="28" w:type="dxa"/>
              <w:left w:w="28" w:type="dxa"/>
              <w:bottom w:w="28" w:type="dxa"/>
              <w:right w:w="28" w:type="dxa"/>
            </w:tcMar>
            <w:vAlign w:val="center"/>
          </w:tcPr>
          <w:p w14:paraId="5F3B9F3B">
            <w:pPr>
              <w:pStyle w:val="11"/>
              <w:bidi w:val="0"/>
              <w:jc w:val="center"/>
              <w:rPr>
                <w:lang w:val="zh-CN"/>
              </w:rPr>
            </w:pPr>
            <w:r>
              <w:rPr>
                <w:lang w:val="zh-CN"/>
              </w:rPr>
              <w:t>293.2</w:t>
            </w:r>
          </w:p>
        </w:tc>
        <w:tc>
          <w:tcPr>
            <w:tcW w:w="242" w:type="pct"/>
            <w:shd w:val="clear" w:color="auto" w:fill="FFFFFF"/>
            <w:noWrap w:val="0"/>
            <w:tcMar>
              <w:top w:w="28" w:type="dxa"/>
              <w:left w:w="28" w:type="dxa"/>
              <w:bottom w:w="28" w:type="dxa"/>
              <w:right w:w="28" w:type="dxa"/>
            </w:tcMar>
            <w:vAlign w:val="center"/>
          </w:tcPr>
          <w:p w14:paraId="08A712AB">
            <w:pPr>
              <w:pStyle w:val="11"/>
              <w:bidi w:val="0"/>
              <w:jc w:val="center"/>
              <w:rPr>
                <w:lang w:val="zh-CN"/>
              </w:rPr>
            </w:pPr>
            <w:r>
              <w:rPr>
                <w:lang w:val="zh-CN"/>
              </w:rPr>
              <w:t>64.3</w:t>
            </w:r>
          </w:p>
        </w:tc>
        <w:tc>
          <w:tcPr>
            <w:tcW w:w="191" w:type="pct"/>
            <w:shd w:val="clear" w:color="auto" w:fill="FFFFFF"/>
            <w:noWrap w:val="0"/>
            <w:tcMar>
              <w:top w:w="28" w:type="dxa"/>
              <w:left w:w="28" w:type="dxa"/>
              <w:bottom w:w="28" w:type="dxa"/>
              <w:right w:w="28" w:type="dxa"/>
            </w:tcMar>
            <w:vAlign w:val="center"/>
          </w:tcPr>
          <w:p w14:paraId="19933467">
            <w:pPr>
              <w:pStyle w:val="11"/>
              <w:bidi w:val="0"/>
              <w:jc w:val="center"/>
              <w:rPr>
                <w:lang w:val="zh-CN"/>
              </w:rPr>
            </w:pPr>
          </w:p>
        </w:tc>
        <w:tc>
          <w:tcPr>
            <w:tcW w:w="297" w:type="pct"/>
            <w:shd w:val="clear" w:color="auto" w:fill="FFFFFF"/>
            <w:noWrap w:val="0"/>
            <w:tcMar>
              <w:top w:w="28" w:type="dxa"/>
              <w:left w:w="28" w:type="dxa"/>
              <w:bottom w:w="28" w:type="dxa"/>
              <w:right w:w="28" w:type="dxa"/>
            </w:tcMar>
            <w:vAlign w:val="center"/>
          </w:tcPr>
          <w:p w14:paraId="16C50003">
            <w:pPr>
              <w:pStyle w:val="11"/>
              <w:bidi w:val="0"/>
              <w:jc w:val="center"/>
              <w:rPr>
                <w:lang w:val="zh-CN"/>
              </w:rPr>
            </w:pPr>
            <w:r>
              <w:rPr>
                <w:lang w:val="zh-CN"/>
              </w:rPr>
              <w:t>249.4</w:t>
            </w:r>
          </w:p>
        </w:tc>
        <w:tc>
          <w:tcPr>
            <w:tcW w:w="243" w:type="pct"/>
            <w:shd w:val="clear" w:color="auto" w:fill="FFFFFF"/>
            <w:noWrap w:val="0"/>
            <w:tcMar>
              <w:top w:w="28" w:type="dxa"/>
              <w:left w:w="28" w:type="dxa"/>
              <w:bottom w:w="28" w:type="dxa"/>
              <w:right w:w="28" w:type="dxa"/>
            </w:tcMar>
            <w:vAlign w:val="center"/>
          </w:tcPr>
          <w:p w14:paraId="3C62CEB7">
            <w:pPr>
              <w:pStyle w:val="11"/>
              <w:bidi w:val="0"/>
              <w:jc w:val="center"/>
              <w:rPr>
                <w:lang w:val="zh-CN"/>
              </w:rPr>
            </w:pPr>
            <w:r>
              <w:rPr>
                <w:lang w:val="zh-CN"/>
              </w:rPr>
              <w:t>244</w:t>
            </w:r>
          </w:p>
        </w:tc>
        <w:tc>
          <w:tcPr>
            <w:tcW w:w="204" w:type="pct"/>
            <w:shd w:val="clear" w:color="auto" w:fill="FFFFFF"/>
            <w:noWrap w:val="0"/>
            <w:tcMar>
              <w:top w:w="28" w:type="dxa"/>
              <w:left w:w="28" w:type="dxa"/>
              <w:bottom w:w="28" w:type="dxa"/>
              <w:right w:w="28" w:type="dxa"/>
            </w:tcMar>
            <w:vAlign w:val="center"/>
          </w:tcPr>
          <w:p w14:paraId="507529CB">
            <w:pPr>
              <w:pStyle w:val="11"/>
              <w:bidi w:val="0"/>
              <w:jc w:val="center"/>
              <w:rPr>
                <w:lang w:val="zh-CN"/>
              </w:rPr>
            </w:pPr>
            <w:r>
              <w:rPr>
                <w:lang w:val="zh-CN"/>
              </w:rPr>
              <w:t>27</w:t>
            </w:r>
          </w:p>
        </w:tc>
        <w:tc>
          <w:tcPr>
            <w:tcW w:w="231" w:type="pct"/>
            <w:shd w:val="clear" w:color="auto" w:fill="FFFFFF"/>
            <w:noWrap w:val="0"/>
            <w:tcMar>
              <w:top w:w="28" w:type="dxa"/>
              <w:left w:w="28" w:type="dxa"/>
              <w:bottom w:w="28" w:type="dxa"/>
              <w:right w:w="28" w:type="dxa"/>
            </w:tcMar>
            <w:vAlign w:val="center"/>
          </w:tcPr>
          <w:p w14:paraId="36F2F36A">
            <w:pPr>
              <w:pStyle w:val="11"/>
              <w:bidi w:val="0"/>
              <w:jc w:val="center"/>
              <w:rPr>
                <w:lang w:val="zh-CN"/>
              </w:rPr>
            </w:pPr>
          </w:p>
        </w:tc>
        <w:tc>
          <w:tcPr>
            <w:tcW w:w="227" w:type="pct"/>
            <w:shd w:val="clear" w:color="auto" w:fill="FFFFFF"/>
            <w:noWrap w:val="0"/>
            <w:tcMar>
              <w:top w:w="28" w:type="dxa"/>
              <w:left w:w="28" w:type="dxa"/>
              <w:bottom w:w="28" w:type="dxa"/>
              <w:right w:w="28" w:type="dxa"/>
            </w:tcMar>
            <w:vAlign w:val="center"/>
          </w:tcPr>
          <w:p w14:paraId="13C353C8">
            <w:pPr>
              <w:pStyle w:val="11"/>
              <w:bidi w:val="0"/>
              <w:jc w:val="center"/>
              <w:rPr>
                <w:lang w:val="zh-CN"/>
              </w:rPr>
            </w:pPr>
            <w:r>
              <w:rPr>
                <w:lang w:val="zh-CN"/>
              </w:rPr>
              <w:t>487</w:t>
            </w:r>
          </w:p>
        </w:tc>
        <w:tc>
          <w:tcPr>
            <w:tcW w:w="227" w:type="pct"/>
            <w:shd w:val="clear" w:color="auto" w:fill="FFFFFF"/>
            <w:noWrap w:val="0"/>
            <w:tcMar>
              <w:top w:w="28" w:type="dxa"/>
              <w:left w:w="28" w:type="dxa"/>
              <w:bottom w:w="28" w:type="dxa"/>
              <w:right w:w="28" w:type="dxa"/>
            </w:tcMar>
            <w:vAlign w:val="center"/>
          </w:tcPr>
          <w:p w14:paraId="50F1496F">
            <w:pPr>
              <w:pStyle w:val="11"/>
              <w:bidi w:val="0"/>
              <w:jc w:val="center"/>
              <w:rPr>
                <w:lang w:val="zh-CN"/>
              </w:rPr>
            </w:pPr>
            <w:r>
              <w:rPr>
                <w:lang w:val="zh-CN"/>
              </w:rPr>
              <w:t>419</w:t>
            </w:r>
          </w:p>
        </w:tc>
        <w:tc>
          <w:tcPr>
            <w:tcW w:w="231" w:type="pct"/>
            <w:shd w:val="clear" w:color="auto" w:fill="FFFFFF"/>
            <w:noWrap w:val="0"/>
            <w:tcMar>
              <w:top w:w="28" w:type="dxa"/>
              <w:left w:w="28" w:type="dxa"/>
              <w:bottom w:w="28" w:type="dxa"/>
              <w:right w:w="28" w:type="dxa"/>
            </w:tcMar>
            <w:vAlign w:val="center"/>
          </w:tcPr>
          <w:p w14:paraId="02E27B2D">
            <w:pPr>
              <w:pStyle w:val="11"/>
              <w:bidi w:val="0"/>
              <w:jc w:val="center"/>
              <w:rPr>
                <w:rFonts w:hint="eastAsia"/>
                <w:lang w:val="zh-CN"/>
              </w:rPr>
            </w:pPr>
          </w:p>
        </w:tc>
      </w:tr>
      <w:tr w14:paraId="4F4EE0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31" w:hRule="atLeast"/>
          <w:tblHeader/>
        </w:trPr>
        <w:tc>
          <w:tcPr>
            <w:tcW w:w="227" w:type="pct"/>
            <w:shd w:val="clear" w:color="auto" w:fill="FFFFFF"/>
            <w:noWrap w:val="0"/>
            <w:vAlign w:val="center"/>
          </w:tcPr>
          <w:p w14:paraId="281ABE45">
            <w:pPr>
              <w:pStyle w:val="11"/>
              <w:bidi w:val="0"/>
              <w:jc w:val="center"/>
            </w:pPr>
            <w:r>
              <w:rPr>
                <w:rFonts w:hint="eastAsia"/>
                <w:lang w:val="zh-CN"/>
              </w:rPr>
              <w:t>孔江灌区</w:t>
            </w:r>
          </w:p>
        </w:tc>
        <w:tc>
          <w:tcPr>
            <w:tcW w:w="251" w:type="pct"/>
            <w:shd w:val="clear" w:color="auto" w:fill="FFFFFF"/>
            <w:noWrap w:val="0"/>
            <w:vAlign w:val="center"/>
          </w:tcPr>
          <w:p w14:paraId="3F845CE1">
            <w:pPr>
              <w:pStyle w:val="11"/>
              <w:bidi w:val="0"/>
              <w:jc w:val="center"/>
            </w:pPr>
            <w:r>
              <w:rPr>
                <w:rFonts w:hint="eastAsia"/>
                <w:lang w:val="zh-CN"/>
              </w:rPr>
              <w:t>乌迳</w:t>
            </w:r>
          </w:p>
        </w:tc>
        <w:tc>
          <w:tcPr>
            <w:tcW w:w="311" w:type="pct"/>
            <w:shd w:val="clear" w:color="auto" w:fill="FFFFFF"/>
            <w:noWrap w:val="0"/>
            <w:vAlign w:val="center"/>
          </w:tcPr>
          <w:p w14:paraId="443009DF">
            <w:pPr>
              <w:pStyle w:val="11"/>
              <w:bidi w:val="0"/>
              <w:jc w:val="center"/>
            </w:pPr>
            <w:r>
              <w:rPr>
                <w:lang w:val="zh-CN"/>
              </w:rPr>
              <w:t>6</w:t>
            </w:r>
          </w:p>
        </w:tc>
        <w:tc>
          <w:tcPr>
            <w:tcW w:w="347" w:type="pct"/>
            <w:shd w:val="clear" w:color="auto" w:fill="FFFFFF"/>
            <w:noWrap w:val="0"/>
            <w:vAlign w:val="center"/>
          </w:tcPr>
          <w:p w14:paraId="3F9C046C">
            <w:pPr>
              <w:pStyle w:val="11"/>
              <w:bidi w:val="0"/>
              <w:jc w:val="center"/>
            </w:pPr>
          </w:p>
        </w:tc>
        <w:tc>
          <w:tcPr>
            <w:tcW w:w="264" w:type="pct"/>
            <w:shd w:val="clear" w:color="auto" w:fill="FFFFFF"/>
            <w:noWrap w:val="0"/>
            <w:vAlign w:val="center"/>
          </w:tcPr>
          <w:p w14:paraId="496E061E">
            <w:pPr>
              <w:pStyle w:val="11"/>
              <w:bidi w:val="0"/>
              <w:jc w:val="center"/>
              <w:rPr>
                <w:lang w:val="zh-CN"/>
              </w:rPr>
            </w:pPr>
            <w:r>
              <w:rPr>
                <w:lang w:val="zh-CN"/>
              </w:rPr>
              <w:t>17.3</w:t>
            </w:r>
          </w:p>
        </w:tc>
        <w:tc>
          <w:tcPr>
            <w:tcW w:w="246" w:type="pct"/>
            <w:shd w:val="clear" w:color="auto" w:fill="FFFFFF"/>
            <w:noWrap w:val="0"/>
            <w:vAlign w:val="center"/>
          </w:tcPr>
          <w:p w14:paraId="4EFB0DAE">
            <w:pPr>
              <w:pStyle w:val="11"/>
              <w:bidi w:val="0"/>
              <w:jc w:val="center"/>
              <w:rPr>
                <w:lang w:val="zh-CN"/>
              </w:rPr>
            </w:pPr>
            <w:r>
              <w:rPr>
                <w:lang w:val="zh-CN"/>
              </w:rPr>
              <w:t>11</w:t>
            </w:r>
          </w:p>
        </w:tc>
        <w:tc>
          <w:tcPr>
            <w:tcW w:w="227" w:type="pct"/>
            <w:shd w:val="clear" w:color="auto" w:fill="FFFFFF"/>
            <w:noWrap w:val="0"/>
            <w:vAlign w:val="center"/>
          </w:tcPr>
          <w:p w14:paraId="46560505">
            <w:pPr>
              <w:pStyle w:val="11"/>
              <w:bidi w:val="0"/>
              <w:jc w:val="center"/>
              <w:rPr>
                <w:lang w:val="zh-CN"/>
              </w:rPr>
            </w:pPr>
            <w:r>
              <w:rPr>
                <w:lang w:val="zh-CN"/>
              </w:rPr>
              <w:t>90</w:t>
            </w:r>
          </w:p>
        </w:tc>
        <w:tc>
          <w:tcPr>
            <w:tcW w:w="191" w:type="pct"/>
            <w:shd w:val="clear" w:color="auto" w:fill="FFFFFF"/>
            <w:noWrap w:val="0"/>
            <w:vAlign w:val="center"/>
          </w:tcPr>
          <w:p w14:paraId="3A8CA3CD">
            <w:pPr>
              <w:pStyle w:val="11"/>
              <w:bidi w:val="0"/>
              <w:jc w:val="center"/>
              <w:rPr>
                <w:lang w:val="zh-CN"/>
              </w:rPr>
            </w:pPr>
            <w:r>
              <w:rPr>
                <w:lang w:val="zh-CN"/>
              </w:rPr>
              <w:t>75</w:t>
            </w:r>
          </w:p>
        </w:tc>
        <w:tc>
          <w:tcPr>
            <w:tcW w:w="245" w:type="pct"/>
            <w:shd w:val="clear" w:color="auto" w:fill="FFFFFF"/>
            <w:noWrap w:val="0"/>
            <w:vAlign w:val="center"/>
          </w:tcPr>
          <w:p w14:paraId="79AE2319">
            <w:pPr>
              <w:pStyle w:val="11"/>
              <w:bidi w:val="0"/>
              <w:jc w:val="center"/>
            </w:pPr>
            <w:r>
              <w:rPr>
                <w:lang w:val="zh-CN"/>
              </w:rPr>
              <w:t>0.7</w:t>
            </w:r>
          </w:p>
        </w:tc>
        <w:tc>
          <w:tcPr>
            <w:tcW w:w="296" w:type="pct"/>
            <w:shd w:val="clear" w:color="auto" w:fill="FFFFFF"/>
            <w:noWrap w:val="0"/>
            <w:tcMar>
              <w:top w:w="28" w:type="dxa"/>
              <w:left w:w="28" w:type="dxa"/>
              <w:bottom w:w="28" w:type="dxa"/>
              <w:right w:w="28" w:type="dxa"/>
            </w:tcMar>
            <w:vAlign w:val="center"/>
          </w:tcPr>
          <w:p w14:paraId="233B410B">
            <w:pPr>
              <w:pStyle w:val="11"/>
              <w:bidi w:val="0"/>
              <w:jc w:val="center"/>
              <w:rPr>
                <w:lang w:val="zh-CN"/>
              </w:rPr>
            </w:pPr>
            <w:r>
              <w:rPr>
                <w:lang w:val="zh-CN"/>
              </w:rPr>
              <w:t>53.6</w:t>
            </w:r>
          </w:p>
        </w:tc>
        <w:tc>
          <w:tcPr>
            <w:tcW w:w="296" w:type="pct"/>
            <w:shd w:val="clear" w:color="auto" w:fill="FFFFFF"/>
            <w:noWrap w:val="0"/>
            <w:tcMar>
              <w:top w:w="28" w:type="dxa"/>
              <w:left w:w="28" w:type="dxa"/>
              <w:bottom w:w="28" w:type="dxa"/>
              <w:right w:w="28" w:type="dxa"/>
            </w:tcMar>
            <w:vAlign w:val="center"/>
          </w:tcPr>
          <w:p w14:paraId="682C970D">
            <w:pPr>
              <w:pStyle w:val="11"/>
              <w:bidi w:val="0"/>
              <w:jc w:val="center"/>
              <w:rPr>
                <w:lang w:val="zh-CN"/>
              </w:rPr>
            </w:pPr>
            <w:r>
              <w:rPr>
                <w:lang w:val="zh-CN"/>
              </w:rPr>
              <w:t>53.6</w:t>
            </w:r>
          </w:p>
        </w:tc>
        <w:tc>
          <w:tcPr>
            <w:tcW w:w="242" w:type="pct"/>
            <w:shd w:val="clear" w:color="auto" w:fill="FFFFFF"/>
            <w:noWrap w:val="0"/>
            <w:tcMar>
              <w:top w:w="28" w:type="dxa"/>
              <w:left w:w="28" w:type="dxa"/>
              <w:bottom w:w="28" w:type="dxa"/>
              <w:right w:w="28" w:type="dxa"/>
            </w:tcMar>
            <w:vAlign w:val="center"/>
          </w:tcPr>
          <w:p w14:paraId="4F6D8DD1">
            <w:pPr>
              <w:pStyle w:val="11"/>
              <w:bidi w:val="0"/>
              <w:jc w:val="center"/>
              <w:rPr>
                <w:lang w:val="zh-CN"/>
              </w:rPr>
            </w:pPr>
            <w:r>
              <w:rPr>
                <w:lang w:val="zh-CN"/>
              </w:rPr>
              <w:t>38</w:t>
            </w:r>
          </w:p>
        </w:tc>
        <w:tc>
          <w:tcPr>
            <w:tcW w:w="191" w:type="pct"/>
            <w:shd w:val="clear" w:color="auto" w:fill="FFFFFF"/>
            <w:noWrap w:val="0"/>
            <w:tcMar>
              <w:top w:w="28" w:type="dxa"/>
              <w:left w:w="28" w:type="dxa"/>
              <w:bottom w:w="28" w:type="dxa"/>
              <w:right w:w="28" w:type="dxa"/>
            </w:tcMar>
            <w:vAlign w:val="center"/>
          </w:tcPr>
          <w:p w14:paraId="5A1E8613">
            <w:pPr>
              <w:pStyle w:val="11"/>
              <w:bidi w:val="0"/>
              <w:jc w:val="center"/>
              <w:rPr>
                <w:lang w:val="zh-CN"/>
              </w:rPr>
            </w:pPr>
            <w:r>
              <w:rPr>
                <w:lang w:val="zh-CN"/>
              </w:rPr>
              <w:t>71</w:t>
            </w:r>
          </w:p>
        </w:tc>
        <w:tc>
          <w:tcPr>
            <w:tcW w:w="297" w:type="pct"/>
            <w:shd w:val="clear" w:color="auto" w:fill="FFFFFF"/>
            <w:noWrap w:val="0"/>
            <w:tcMar>
              <w:top w:w="28" w:type="dxa"/>
              <w:left w:w="28" w:type="dxa"/>
              <w:bottom w:w="28" w:type="dxa"/>
              <w:right w:w="28" w:type="dxa"/>
            </w:tcMar>
            <w:vAlign w:val="center"/>
          </w:tcPr>
          <w:p w14:paraId="517A0514">
            <w:pPr>
              <w:pStyle w:val="11"/>
              <w:bidi w:val="0"/>
              <w:jc w:val="center"/>
              <w:rPr>
                <w:lang w:val="zh-CN"/>
              </w:rPr>
            </w:pPr>
            <w:r>
              <w:rPr>
                <w:lang w:val="zh-CN"/>
              </w:rPr>
              <w:t>137</w:t>
            </w:r>
          </w:p>
        </w:tc>
        <w:tc>
          <w:tcPr>
            <w:tcW w:w="243" w:type="pct"/>
            <w:shd w:val="clear" w:color="auto" w:fill="FFFFFF"/>
            <w:noWrap w:val="0"/>
            <w:tcMar>
              <w:top w:w="28" w:type="dxa"/>
              <w:left w:w="28" w:type="dxa"/>
              <w:bottom w:w="28" w:type="dxa"/>
              <w:right w:w="28" w:type="dxa"/>
            </w:tcMar>
            <w:vAlign w:val="center"/>
          </w:tcPr>
          <w:p w14:paraId="2EF7367E">
            <w:pPr>
              <w:pStyle w:val="11"/>
              <w:bidi w:val="0"/>
              <w:jc w:val="center"/>
              <w:rPr>
                <w:lang w:val="zh-CN"/>
              </w:rPr>
            </w:pPr>
            <w:r>
              <w:rPr>
                <w:lang w:val="zh-CN"/>
              </w:rPr>
              <w:t>137</w:t>
            </w:r>
          </w:p>
        </w:tc>
        <w:tc>
          <w:tcPr>
            <w:tcW w:w="204" w:type="pct"/>
            <w:shd w:val="clear" w:color="auto" w:fill="FFFFFF"/>
            <w:noWrap w:val="0"/>
            <w:tcMar>
              <w:top w:w="28" w:type="dxa"/>
              <w:left w:w="28" w:type="dxa"/>
              <w:bottom w:w="28" w:type="dxa"/>
              <w:right w:w="28" w:type="dxa"/>
            </w:tcMar>
            <w:vAlign w:val="center"/>
          </w:tcPr>
          <w:p w14:paraId="525768BC">
            <w:pPr>
              <w:pStyle w:val="11"/>
              <w:bidi w:val="0"/>
              <w:jc w:val="center"/>
              <w:rPr>
                <w:lang w:val="zh-CN"/>
              </w:rPr>
            </w:pPr>
            <w:r>
              <w:rPr>
                <w:lang w:val="zh-CN"/>
              </w:rPr>
              <w:t>15</w:t>
            </w:r>
          </w:p>
        </w:tc>
        <w:tc>
          <w:tcPr>
            <w:tcW w:w="231" w:type="pct"/>
            <w:shd w:val="clear" w:color="auto" w:fill="FFFFFF"/>
            <w:noWrap w:val="0"/>
            <w:tcMar>
              <w:top w:w="28" w:type="dxa"/>
              <w:left w:w="28" w:type="dxa"/>
              <w:bottom w:w="28" w:type="dxa"/>
              <w:right w:w="28" w:type="dxa"/>
            </w:tcMar>
            <w:vAlign w:val="center"/>
          </w:tcPr>
          <w:p w14:paraId="6ADC794A">
            <w:pPr>
              <w:pStyle w:val="11"/>
              <w:bidi w:val="0"/>
              <w:jc w:val="center"/>
              <w:rPr>
                <w:lang w:val="zh-CN"/>
              </w:rPr>
            </w:pPr>
            <w:r>
              <w:rPr>
                <w:lang w:val="zh-CN"/>
              </w:rPr>
              <w:t>35</w:t>
            </w:r>
          </w:p>
        </w:tc>
        <w:tc>
          <w:tcPr>
            <w:tcW w:w="227" w:type="pct"/>
            <w:shd w:val="clear" w:color="auto" w:fill="FFFFFF"/>
            <w:noWrap w:val="0"/>
            <w:tcMar>
              <w:top w:w="28" w:type="dxa"/>
              <w:left w:w="28" w:type="dxa"/>
              <w:bottom w:w="28" w:type="dxa"/>
              <w:right w:w="28" w:type="dxa"/>
            </w:tcMar>
            <w:vAlign w:val="center"/>
          </w:tcPr>
          <w:p w14:paraId="69D6C412">
            <w:pPr>
              <w:pStyle w:val="11"/>
              <w:bidi w:val="0"/>
              <w:jc w:val="center"/>
              <w:rPr>
                <w:lang w:val="zh-CN"/>
              </w:rPr>
            </w:pPr>
            <w:r>
              <w:rPr>
                <w:lang w:val="zh-CN"/>
              </w:rPr>
              <w:t>167</w:t>
            </w:r>
          </w:p>
        </w:tc>
        <w:tc>
          <w:tcPr>
            <w:tcW w:w="227" w:type="pct"/>
            <w:shd w:val="clear" w:color="auto" w:fill="FFFFFF"/>
            <w:noWrap w:val="0"/>
            <w:tcMar>
              <w:top w:w="28" w:type="dxa"/>
              <w:left w:w="28" w:type="dxa"/>
              <w:bottom w:w="28" w:type="dxa"/>
              <w:right w:w="28" w:type="dxa"/>
            </w:tcMar>
            <w:vAlign w:val="center"/>
          </w:tcPr>
          <w:p w14:paraId="0D7545BE">
            <w:pPr>
              <w:pStyle w:val="11"/>
              <w:bidi w:val="0"/>
              <w:jc w:val="center"/>
              <w:rPr>
                <w:lang w:val="zh-CN"/>
              </w:rPr>
            </w:pPr>
            <w:r>
              <w:rPr>
                <w:lang w:val="zh-CN"/>
              </w:rPr>
              <w:t>152</w:t>
            </w:r>
          </w:p>
        </w:tc>
        <w:tc>
          <w:tcPr>
            <w:tcW w:w="231" w:type="pct"/>
            <w:shd w:val="clear" w:color="auto" w:fill="FFFFFF"/>
            <w:noWrap w:val="0"/>
            <w:tcMar>
              <w:top w:w="28" w:type="dxa"/>
              <w:left w:w="28" w:type="dxa"/>
              <w:bottom w:w="28" w:type="dxa"/>
              <w:right w:w="28" w:type="dxa"/>
            </w:tcMar>
            <w:vAlign w:val="center"/>
          </w:tcPr>
          <w:p w14:paraId="4D1403C7">
            <w:pPr>
              <w:pStyle w:val="11"/>
              <w:bidi w:val="0"/>
              <w:jc w:val="center"/>
              <w:rPr>
                <w:rFonts w:hint="eastAsia"/>
                <w:lang w:val="zh-CN"/>
              </w:rPr>
            </w:pPr>
            <w:r>
              <w:rPr>
                <w:lang w:val="zh-CN"/>
              </w:rPr>
              <w:t>36</w:t>
            </w:r>
          </w:p>
        </w:tc>
      </w:tr>
      <w:tr w14:paraId="2C2005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31" w:hRule="atLeast"/>
          <w:tblHeader/>
        </w:trPr>
        <w:tc>
          <w:tcPr>
            <w:tcW w:w="227" w:type="pct"/>
            <w:shd w:val="clear" w:color="auto" w:fill="FFFFFF"/>
            <w:noWrap w:val="0"/>
            <w:vAlign w:val="center"/>
          </w:tcPr>
          <w:p w14:paraId="432AA82B">
            <w:pPr>
              <w:pStyle w:val="11"/>
              <w:bidi w:val="0"/>
              <w:jc w:val="center"/>
            </w:pPr>
            <w:r>
              <w:rPr>
                <w:rFonts w:hint="eastAsia"/>
                <w:lang w:val="zh-CN"/>
              </w:rPr>
              <w:t>横江灌区</w:t>
            </w:r>
          </w:p>
        </w:tc>
        <w:tc>
          <w:tcPr>
            <w:tcW w:w="251" w:type="pct"/>
            <w:shd w:val="clear" w:color="auto" w:fill="FFFFFF"/>
            <w:noWrap w:val="0"/>
            <w:vAlign w:val="center"/>
          </w:tcPr>
          <w:p w14:paraId="5C487C8D">
            <w:pPr>
              <w:pStyle w:val="11"/>
              <w:bidi w:val="0"/>
              <w:jc w:val="center"/>
            </w:pPr>
            <w:r>
              <w:rPr>
                <w:rFonts w:hint="eastAsia"/>
                <w:lang w:val="zh-CN"/>
              </w:rPr>
              <w:t>珠玑</w:t>
            </w:r>
          </w:p>
        </w:tc>
        <w:tc>
          <w:tcPr>
            <w:tcW w:w="311" w:type="pct"/>
            <w:shd w:val="clear" w:color="auto" w:fill="FFFFFF"/>
            <w:noWrap w:val="0"/>
            <w:vAlign w:val="center"/>
          </w:tcPr>
          <w:p w14:paraId="33A520E7">
            <w:pPr>
              <w:pStyle w:val="11"/>
              <w:bidi w:val="0"/>
              <w:jc w:val="center"/>
            </w:pPr>
            <w:r>
              <w:rPr>
                <w:lang w:val="zh-CN"/>
              </w:rPr>
              <w:t>3</w:t>
            </w:r>
          </w:p>
        </w:tc>
        <w:tc>
          <w:tcPr>
            <w:tcW w:w="347" w:type="pct"/>
            <w:shd w:val="clear" w:color="auto" w:fill="FFFFFF"/>
            <w:noWrap w:val="0"/>
            <w:vAlign w:val="center"/>
          </w:tcPr>
          <w:p w14:paraId="25E5CEDA">
            <w:pPr>
              <w:pStyle w:val="11"/>
              <w:bidi w:val="0"/>
              <w:jc w:val="center"/>
            </w:pPr>
          </w:p>
        </w:tc>
        <w:tc>
          <w:tcPr>
            <w:tcW w:w="264" w:type="pct"/>
            <w:shd w:val="clear" w:color="auto" w:fill="FFFFFF"/>
            <w:noWrap w:val="0"/>
            <w:vAlign w:val="center"/>
          </w:tcPr>
          <w:p w14:paraId="34DE4EFC">
            <w:pPr>
              <w:pStyle w:val="11"/>
              <w:bidi w:val="0"/>
              <w:jc w:val="center"/>
              <w:rPr>
                <w:lang w:val="zh-CN"/>
              </w:rPr>
            </w:pPr>
            <w:r>
              <w:rPr>
                <w:lang w:val="zh-CN"/>
              </w:rPr>
              <w:t>4.33</w:t>
            </w:r>
          </w:p>
        </w:tc>
        <w:tc>
          <w:tcPr>
            <w:tcW w:w="246" w:type="pct"/>
            <w:shd w:val="clear" w:color="auto" w:fill="FFFFFF"/>
            <w:noWrap w:val="0"/>
            <w:vAlign w:val="center"/>
          </w:tcPr>
          <w:p w14:paraId="7A9E8F08">
            <w:pPr>
              <w:pStyle w:val="11"/>
              <w:bidi w:val="0"/>
              <w:jc w:val="center"/>
              <w:rPr>
                <w:lang w:val="zh-CN"/>
              </w:rPr>
            </w:pPr>
            <w:r>
              <w:rPr>
                <w:lang w:val="zh-CN"/>
              </w:rPr>
              <w:t>4.33</w:t>
            </w:r>
          </w:p>
        </w:tc>
        <w:tc>
          <w:tcPr>
            <w:tcW w:w="227" w:type="pct"/>
            <w:shd w:val="clear" w:color="auto" w:fill="FFFFFF"/>
            <w:noWrap w:val="0"/>
            <w:vAlign w:val="center"/>
          </w:tcPr>
          <w:p w14:paraId="222205EA">
            <w:pPr>
              <w:pStyle w:val="11"/>
              <w:bidi w:val="0"/>
              <w:jc w:val="center"/>
              <w:rPr>
                <w:lang w:val="zh-CN"/>
              </w:rPr>
            </w:pPr>
            <w:r>
              <w:rPr>
                <w:lang w:val="zh-CN"/>
              </w:rPr>
              <w:t>90</w:t>
            </w:r>
          </w:p>
        </w:tc>
        <w:tc>
          <w:tcPr>
            <w:tcW w:w="191" w:type="pct"/>
            <w:shd w:val="clear" w:color="auto" w:fill="FFFFFF"/>
            <w:noWrap w:val="0"/>
            <w:vAlign w:val="center"/>
          </w:tcPr>
          <w:p w14:paraId="269D079B">
            <w:pPr>
              <w:pStyle w:val="11"/>
              <w:bidi w:val="0"/>
              <w:jc w:val="center"/>
              <w:rPr>
                <w:lang w:val="zh-CN"/>
              </w:rPr>
            </w:pPr>
            <w:r>
              <w:rPr>
                <w:lang w:val="zh-CN"/>
              </w:rPr>
              <w:t>75</w:t>
            </w:r>
          </w:p>
        </w:tc>
        <w:tc>
          <w:tcPr>
            <w:tcW w:w="245" w:type="pct"/>
            <w:shd w:val="clear" w:color="auto" w:fill="FFFFFF"/>
            <w:noWrap w:val="0"/>
            <w:vAlign w:val="center"/>
          </w:tcPr>
          <w:p w14:paraId="71C6932F">
            <w:pPr>
              <w:pStyle w:val="11"/>
              <w:bidi w:val="0"/>
              <w:jc w:val="center"/>
            </w:pPr>
            <w:r>
              <w:rPr>
                <w:lang w:val="zh-CN"/>
              </w:rPr>
              <w:t>0.5</w:t>
            </w:r>
          </w:p>
        </w:tc>
        <w:tc>
          <w:tcPr>
            <w:tcW w:w="296" w:type="pct"/>
            <w:shd w:val="clear" w:color="auto" w:fill="FFFFFF"/>
            <w:noWrap w:val="0"/>
            <w:tcMar>
              <w:top w:w="28" w:type="dxa"/>
              <w:left w:w="28" w:type="dxa"/>
              <w:bottom w:w="28" w:type="dxa"/>
              <w:right w:w="28" w:type="dxa"/>
            </w:tcMar>
            <w:vAlign w:val="center"/>
          </w:tcPr>
          <w:p w14:paraId="30A8D7E1">
            <w:pPr>
              <w:pStyle w:val="11"/>
              <w:bidi w:val="0"/>
              <w:jc w:val="center"/>
              <w:rPr>
                <w:lang w:val="zh-CN"/>
              </w:rPr>
            </w:pPr>
            <w:r>
              <w:rPr>
                <w:lang w:val="zh-CN"/>
              </w:rPr>
              <w:t>119.7</w:t>
            </w:r>
          </w:p>
        </w:tc>
        <w:tc>
          <w:tcPr>
            <w:tcW w:w="296" w:type="pct"/>
            <w:shd w:val="clear" w:color="auto" w:fill="FFFFFF"/>
            <w:noWrap w:val="0"/>
            <w:tcMar>
              <w:top w:w="28" w:type="dxa"/>
              <w:left w:w="28" w:type="dxa"/>
              <w:bottom w:w="28" w:type="dxa"/>
              <w:right w:w="28" w:type="dxa"/>
            </w:tcMar>
            <w:vAlign w:val="center"/>
          </w:tcPr>
          <w:p w14:paraId="53F3A98E">
            <w:pPr>
              <w:pStyle w:val="11"/>
              <w:bidi w:val="0"/>
              <w:jc w:val="center"/>
              <w:rPr>
                <w:lang w:val="zh-CN"/>
              </w:rPr>
            </w:pPr>
            <w:r>
              <w:rPr>
                <w:lang w:val="zh-CN"/>
              </w:rPr>
              <w:t>87.5</w:t>
            </w:r>
          </w:p>
        </w:tc>
        <w:tc>
          <w:tcPr>
            <w:tcW w:w="242" w:type="pct"/>
            <w:shd w:val="clear" w:color="auto" w:fill="FFFFFF"/>
            <w:noWrap w:val="0"/>
            <w:tcMar>
              <w:top w:w="28" w:type="dxa"/>
              <w:left w:w="28" w:type="dxa"/>
              <w:bottom w:w="28" w:type="dxa"/>
              <w:right w:w="28" w:type="dxa"/>
            </w:tcMar>
            <w:vAlign w:val="center"/>
          </w:tcPr>
          <w:p w14:paraId="6B716A34">
            <w:pPr>
              <w:pStyle w:val="11"/>
              <w:bidi w:val="0"/>
              <w:jc w:val="center"/>
              <w:rPr>
                <w:lang w:val="zh-CN"/>
              </w:rPr>
            </w:pPr>
            <w:r>
              <w:rPr>
                <w:lang w:val="zh-CN"/>
              </w:rPr>
              <w:t>87.5</w:t>
            </w:r>
          </w:p>
        </w:tc>
        <w:tc>
          <w:tcPr>
            <w:tcW w:w="191" w:type="pct"/>
            <w:shd w:val="clear" w:color="auto" w:fill="FFFFFF"/>
            <w:noWrap w:val="0"/>
            <w:tcMar>
              <w:top w:w="28" w:type="dxa"/>
              <w:left w:w="28" w:type="dxa"/>
              <w:bottom w:w="28" w:type="dxa"/>
              <w:right w:w="28" w:type="dxa"/>
            </w:tcMar>
            <w:vAlign w:val="center"/>
          </w:tcPr>
          <w:p w14:paraId="7C16F87F">
            <w:pPr>
              <w:pStyle w:val="11"/>
              <w:bidi w:val="0"/>
              <w:jc w:val="center"/>
              <w:rPr>
                <w:lang w:val="zh-CN"/>
              </w:rPr>
            </w:pPr>
            <w:r>
              <w:rPr>
                <w:lang w:val="zh-CN"/>
              </w:rPr>
              <w:t>86</w:t>
            </w:r>
          </w:p>
        </w:tc>
        <w:tc>
          <w:tcPr>
            <w:tcW w:w="297" w:type="pct"/>
            <w:shd w:val="clear" w:color="auto" w:fill="FFFFFF"/>
            <w:noWrap w:val="0"/>
            <w:tcMar>
              <w:top w:w="28" w:type="dxa"/>
              <w:left w:w="28" w:type="dxa"/>
              <w:bottom w:w="28" w:type="dxa"/>
              <w:right w:w="28" w:type="dxa"/>
            </w:tcMar>
            <w:vAlign w:val="center"/>
          </w:tcPr>
          <w:p w14:paraId="24CDAF1B">
            <w:pPr>
              <w:pStyle w:val="11"/>
              <w:bidi w:val="0"/>
              <w:jc w:val="center"/>
              <w:rPr>
                <w:lang w:val="zh-CN"/>
              </w:rPr>
            </w:pPr>
            <w:r>
              <w:rPr>
                <w:lang w:val="zh-CN"/>
              </w:rPr>
              <w:t>15</w:t>
            </w:r>
          </w:p>
        </w:tc>
        <w:tc>
          <w:tcPr>
            <w:tcW w:w="243" w:type="pct"/>
            <w:shd w:val="clear" w:color="auto" w:fill="FFFFFF"/>
            <w:noWrap w:val="0"/>
            <w:tcMar>
              <w:top w:w="28" w:type="dxa"/>
              <w:left w:w="28" w:type="dxa"/>
              <w:bottom w:w="28" w:type="dxa"/>
              <w:right w:w="28" w:type="dxa"/>
            </w:tcMar>
            <w:vAlign w:val="center"/>
          </w:tcPr>
          <w:p w14:paraId="270AC63E">
            <w:pPr>
              <w:pStyle w:val="11"/>
              <w:bidi w:val="0"/>
              <w:jc w:val="center"/>
              <w:rPr>
                <w:lang w:val="zh-CN"/>
              </w:rPr>
            </w:pPr>
            <w:r>
              <w:rPr>
                <w:lang w:val="zh-CN"/>
              </w:rPr>
              <w:t>15</w:t>
            </w:r>
          </w:p>
        </w:tc>
        <w:tc>
          <w:tcPr>
            <w:tcW w:w="204" w:type="pct"/>
            <w:shd w:val="clear" w:color="auto" w:fill="FFFFFF"/>
            <w:noWrap w:val="0"/>
            <w:tcMar>
              <w:top w:w="28" w:type="dxa"/>
              <w:left w:w="28" w:type="dxa"/>
              <w:bottom w:w="28" w:type="dxa"/>
              <w:right w:w="28" w:type="dxa"/>
            </w:tcMar>
            <w:vAlign w:val="center"/>
          </w:tcPr>
          <w:p w14:paraId="5554E14F">
            <w:pPr>
              <w:pStyle w:val="11"/>
              <w:bidi w:val="0"/>
              <w:jc w:val="center"/>
              <w:rPr>
                <w:lang w:val="zh-CN"/>
              </w:rPr>
            </w:pPr>
            <w:r>
              <w:rPr>
                <w:lang w:val="zh-CN"/>
              </w:rPr>
              <w:t>4</w:t>
            </w:r>
          </w:p>
        </w:tc>
        <w:tc>
          <w:tcPr>
            <w:tcW w:w="231" w:type="pct"/>
            <w:shd w:val="clear" w:color="auto" w:fill="FFFFFF"/>
            <w:noWrap w:val="0"/>
            <w:tcMar>
              <w:top w:w="28" w:type="dxa"/>
              <w:left w:w="28" w:type="dxa"/>
              <w:bottom w:w="28" w:type="dxa"/>
              <w:right w:w="28" w:type="dxa"/>
            </w:tcMar>
            <w:vAlign w:val="center"/>
          </w:tcPr>
          <w:p w14:paraId="79247B2E">
            <w:pPr>
              <w:pStyle w:val="11"/>
              <w:bidi w:val="0"/>
              <w:jc w:val="center"/>
              <w:rPr>
                <w:lang w:val="zh-CN"/>
              </w:rPr>
            </w:pPr>
            <w:r>
              <w:rPr>
                <w:lang w:val="zh-CN"/>
              </w:rPr>
              <w:t>72</w:t>
            </w:r>
          </w:p>
        </w:tc>
        <w:tc>
          <w:tcPr>
            <w:tcW w:w="227" w:type="pct"/>
            <w:shd w:val="clear" w:color="auto" w:fill="FFFFFF"/>
            <w:noWrap w:val="0"/>
            <w:tcMar>
              <w:top w:w="28" w:type="dxa"/>
              <w:left w:w="28" w:type="dxa"/>
              <w:bottom w:w="28" w:type="dxa"/>
              <w:right w:w="28" w:type="dxa"/>
            </w:tcMar>
            <w:vAlign w:val="center"/>
          </w:tcPr>
          <w:p w14:paraId="3D2BA3B4">
            <w:pPr>
              <w:pStyle w:val="11"/>
              <w:bidi w:val="0"/>
              <w:jc w:val="center"/>
              <w:rPr>
                <w:lang w:val="zh-CN"/>
              </w:rPr>
            </w:pPr>
            <w:r>
              <w:rPr>
                <w:lang w:val="zh-CN"/>
              </w:rPr>
              <w:t>75</w:t>
            </w:r>
          </w:p>
        </w:tc>
        <w:tc>
          <w:tcPr>
            <w:tcW w:w="227" w:type="pct"/>
            <w:shd w:val="clear" w:color="auto" w:fill="FFFFFF"/>
            <w:noWrap w:val="0"/>
            <w:tcMar>
              <w:top w:w="28" w:type="dxa"/>
              <w:left w:w="28" w:type="dxa"/>
              <w:bottom w:w="28" w:type="dxa"/>
              <w:right w:w="28" w:type="dxa"/>
            </w:tcMar>
            <w:vAlign w:val="center"/>
          </w:tcPr>
          <w:p w14:paraId="55E88ECF">
            <w:pPr>
              <w:pStyle w:val="11"/>
              <w:bidi w:val="0"/>
              <w:jc w:val="center"/>
              <w:rPr>
                <w:lang w:val="zh-CN"/>
              </w:rPr>
            </w:pPr>
            <w:r>
              <w:rPr>
                <w:lang w:val="zh-CN"/>
              </w:rPr>
              <w:t>61</w:t>
            </w:r>
          </w:p>
        </w:tc>
        <w:tc>
          <w:tcPr>
            <w:tcW w:w="231" w:type="pct"/>
            <w:shd w:val="clear" w:color="auto" w:fill="FFFFFF"/>
            <w:noWrap w:val="0"/>
            <w:tcMar>
              <w:top w:w="28" w:type="dxa"/>
              <w:left w:w="28" w:type="dxa"/>
              <w:bottom w:w="28" w:type="dxa"/>
              <w:right w:w="28" w:type="dxa"/>
            </w:tcMar>
            <w:vAlign w:val="center"/>
          </w:tcPr>
          <w:p w14:paraId="33A6CEC5">
            <w:pPr>
              <w:pStyle w:val="11"/>
              <w:bidi w:val="0"/>
              <w:jc w:val="center"/>
              <w:rPr>
                <w:rFonts w:hint="eastAsia"/>
                <w:lang w:val="zh-CN"/>
              </w:rPr>
            </w:pPr>
            <w:r>
              <w:rPr>
                <w:lang w:val="zh-CN"/>
              </w:rPr>
              <w:t>80</w:t>
            </w:r>
          </w:p>
        </w:tc>
      </w:tr>
      <w:tr w14:paraId="62BAF3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31" w:hRule="atLeast"/>
          <w:tblHeader/>
        </w:trPr>
        <w:tc>
          <w:tcPr>
            <w:tcW w:w="227" w:type="pct"/>
            <w:shd w:val="clear" w:color="auto" w:fill="FFFFFF"/>
            <w:noWrap w:val="0"/>
            <w:vAlign w:val="center"/>
          </w:tcPr>
          <w:p w14:paraId="2DDC7835">
            <w:pPr>
              <w:pStyle w:val="11"/>
              <w:bidi w:val="0"/>
              <w:jc w:val="center"/>
            </w:pPr>
            <w:r>
              <w:rPr>
                <w:rFonts w:hint="eastAsia"/>
                <w:lang w:val="zh-CN"/>
              </w:rPr>
              <w:t>宝江灌区</w:t>
            </w:r>
          </w:p>
        </w:tc>
        <w:tc>
          <w:tcPr>
            <w:tcW w:w="251" w:type="pct"/>
            <w:shd w:val="clear" w:color="auto" w:fill="FFFFFF"/>
            <w:noWrap w:val="0"/>
            <w:vAlign w:val="center"/>
          </w:tcPr>
          <w:p w14:paraId="3AE2AF23">
            <w:pPr>
              <w:pStyle w:val="11"/>
              <w:bidi w:val="0"/>
              <w:jc w:val="center"/>
            </w:pPr>
            <w:r>
              <w:rPr>
                <w:rFonts w:hint="eastAsia"/>
                <w:lang w:val="zh-CN"/>
              </w:rPr>
              <w:t>水口</w:t>
            </w:r>
          </w:p>
        </w:tc>
        <w:tc>
          <w:tcPr>
            <w:tcW w:w="311" w:type="pct"/>
            <w:shd w:val="clear" w:color="auto" w:fill="FFFFFF"/>
            <w:noWrap w:val="0"/>
            <w:vAlign w:val="center"/>
          </w:tcPr>
          <w:p w14:paraId="66A2977E">
            <w:pPr>
              <w:pStyle w:val="11"/>
              <w:bidi w:val="0"/>
              <w:jc w:val="center"/>
            </w:pPr>
            <w:r>
              <w:rPr>
                <w:lang w:val="zh-CN"/>
              </w:rPr>
              <w:t>2</w:t>
            </w:r>
          </w:p>
        </w:tc>
        <w:tc>
          <w:tcPr>
            <w:tcW w:w="347" w:type="pct"/>
            <w:shd w:val="clear" w:color="auto" w:fill="FFFFFF"/>
            <w:noWrap w:val="0"/>
            <w:vAlign w:val="center"/>
          </w:tcPr>
          <w:p w14:paraId="77B6D91E">
            <w:pPr>
              <w:pStyle w:val="11"/>
              <w:bidi w:val="0"/>
              <w:jc w:val="center"/>
            </w:pPr>
            <w:r>
              <w:rPr>
                <w:lang w:val="zh-CN"/>
              </w:rPr>
              <w:t>36.5</w:t>
            </w:r>
          </w:p>
        </w:tc>
        <w:tc>
          <w:tcPr>
            <w:tcW w:w="264" w:type="pct"/>
            <w:shd w:val="clear" w:color="auto" w:fill="FFFFFF"/>
            <w:noWrap w:val="0"/>
            <w:vAlign w:val="center"/>
          </w:tcPr>
          <w:p w14:paraId="67EF84A1">
            <w:pPr>
              <w:pStyle w:val="11"/>
              <w:bidi w:val="0"/>
              <w:jc w:val="center"/>
              <w:rPr>
                <w:lang w:val="zh-CN"/>
              </w:rPr>
            </w:pPr>
            <w:r>
              <w:rPr>
                <w:lang w:val="zh-CN"/>
              </w:rPr>
              <w:t>1.4</w:t>
            </w:r>
          </w:p>
        </w:tc>
        <w:tc>
          <w:tcPr>
            <w:tcW w:w="246" w:type="pct"/>
            <w:shd w:val="clear" w:color="auto" w:fill="FFFFFF"/>
            <w:noWrap w:val="0"/>
            <w:vAlign w:val="center"/>
          </w:tcPr>
          <w:p w14:paraId="6079C5FF">
            <w:pPr>
              <w:pStyle w:val="11"/>
              <w:bidi w:val="0"/>
              <w:jc w:val="center"/>
              <w:rPr>
                <w:lang w:val="zh-CN"/>
              </w:rPr>
            </w:pPr>
            <w:r>
              <w:rPr>
                <w:lang w:val="zh-CN"/>
              </w:rPr>
              <w:t>0.8</w:t>
            </w:r>
          </w:p>
        </w:tc>
        <w:tc>
          <w:tcPr>
            <w:tcW w:w="227" w:type="pct"/>
            <w:shd w:val="clear" w:color="auto" w:fill="FFFFFF"/>
            <w:noWrap w:val="0"/>
            <w:vAlign w:val="center"/>
          </w:tcPr>
          <w:p w14:paraId="73F0D940">
            <w:pPr>
              <w:pStyle w:val="11"/>
              <w:bidi w:val="0"/>
              <w:jc w:val="center"/>
              <w:rPr>
                <w:lang w:val="zh-CN"/>
              </w:rPr>
            </w:pPr>
            <w:r>
              <w:rPr>
                <w:lang w:val="zh-CN"/>
              </w:rPr>
              <w:t>90</w:t>
            </w:r>
          </w:p>
        </w:tc>
        <w:tc>
          <w:tcPr>
            <w:tcW w:w="191" w:type="pct"/>
            <w:shd w:val="clear" w:color="auto" w:fill="FFFFFF"/>
            <w:noWrap w:val="0"/>
            <w:vAlign w:val="center"/>
          </w:tcPr>
          <w:p w14:paraId="672F47AD">
            <w:pPr>
              <w:pStyle w:val="11"/>
              <w:bidi w:val="0"/>
              <w:jc w:val="center"/>
              <w:rPr>
                <w:lang w:val="zh-CN"/>
              </w:rPr>
            </w:pPr>
            <w:r>
              <w:rPr>
                <w:lang w:val="zh-CN"/>
              </w:rPr>
              <w:t>90</w:t>
            </w:r>
          </w:p>
        </w:tc>
        <w:tc>
          <w:tcPr>
            <w:tcW w:w="245" w:type="pct"/>
            <w:shd w:val="clear" w:color="auto" w:fill="FFFFFF"/>
            <w:noWrap w:val="0"/>
            <w:vAlign w:val="center"/>
          </w:tcPr>
          <w:p w14:paraId="08A24D4F">
            <w:pPr>
              <w:pStyle w:val="11"/>
              <w:bidi w:val="0"/>
              <w:jc w:val="center"/>
            </w:pPr>
            <w:r>
              <w:rPr>
                <w:lang w:val="zh-CN"/>
              </w:rPr>
              <w:t>0.5</w:t>
            </w:r>
          </w:p>
        </w:tc>
        <w:tc>
          <w:tcPr>
            <w:tcW w:w="296" w:type="pct"/>
            <w:shd w:val="clear" w:color="auto" w:fill="FFFFFF"/>
            <w:noWrap w:val="0"/>
            <w:tcMar>
              <w:top w:w="28" w:type="dxa"/>
              <w:left w:w="28" w:type="dxa"/>
              <w:bottom w:w="28" w:type="dxa"/>
              <w:right w:w="28" w:type="dxa"/>
            </w:tcMar>
            <w:vAlign w:val="center"/>
          </w:tcPr>
          <w:p w14:paraId="63436237">
            <w:pPr>
              <w:pStyle w:val="11"/>
              <w:bidi w:val="0"/>
              <w:jc w:val="center"/>
              <w:rPr>
                <w:lang w:val="zh-CN"/>
              </w:rPr>
            </w:pPr>
            <w:r>
              <w:rPr>
                <w:lang w:val="zh-CN"/>
              </w:rPr>
              <w:t>49</w:t>
            </w:r>
          </w:p>
        </w:tc>
        <w:tc>
          <w:tcPr>
            <w:tcW w:w="296" w:type="pct"/>
            <w:shd w:val="clear" w:color="auto" w:fill="FFFFFF"/>
            <w:noWrap w:val="0"/>
            <w:tcMar>
              <w:top w:w="28" w:type="dxa"/>
              <w:left w:w="28" w:type="dxa"/>
              <w:bottom w:w="28" w:type="dxa"/>
              <w:right w:w="28" w:type="dxa"/>
            </w:tcMar>
            <w:vAlign w:val="center"/>
          </w:tcPr>
          <w:p w14:paraId="08620DA9">
            <w:pPr>
              <w:pStyle w:val="11"/>
              <w:bidi w:val="0"/>
              <w:jc w:val="center"/>
              <w:rPr>
                <w:lang w:val="zh-CN"/>
              </w:rPr>
            </w:pPr>
            <w:r>
              <w:rPr>
                <w:lang w:val="zh-CN"/>
              </w:rPr>
              <w:t>32</w:t>
            </w:r>
          </w:p>
        </w:tc>
        <w:tc>
          <w:tcPr>
            <w:tcW w:w="242" w:type="pct"/>
            <w:shd w:val="clear" w:color="auto" w:fill="FFFFFF"/>
            <w:noWrap w:val="0"/>
            <w:tcMar>
              <w:top w:w="28" w:type="dxa"/>
              <w:left w:w="28" w:type="dxa"/>
              <w:bottom w:w="28" w:type="dxa"/>
              <w:right w:w="28" w:type="dxa"/>
            </w:tcMar>
            <w:vAlign w:val="center"/>
          </w:tcPr>
          <w:p w14:paraId="0CD38C8C">
            <w:pPr>
              <w:pStyle w:val="11"/>
              <w:bidi w:val="0"/>
              <w:jc w:val="center"/>
              <w:rPr>
                <w:lang w:val="zh-CN"/>
              </w:rPr>
            </w:pPr>
            <w:r>
              <w:rPr>
                <w:lang w:val="zh-CN"/>
              </w:rPr>
              <w:t>5</w:t>
            </w:r>
          </w:p>
        </w:tc>
        <w:tc>
          <w:tcPr>
            <w:tcW w:w="191" w:type="pct"/>
            <w:shd w:val="clear" w:color="auto" w:fill="FFFFFF"/>
            <w:noWrap w:val="0"/>
            <w:tcMar>
              <w:top w:w="28" w:type="dxa"/>
              <w:left w:w="28" w:type="dxa"/>
              <w:bottom w:w="28" w:type="dxa"/>
              <w:right w:w="28" w:type="dxa"/>
            </w:tcMar>
            <w:vAlign w:val="center"/>
          </w:tcPr>
          <w:p w14:paraId="6EAA328D">
            <w:pPr>
              <w:pStyle w:val="11"/>
              <w:bidi w:val="0"/>
              <w:jc w:val="center"/>
              <w:rPr>
                <w:lang w:val="zh-CN"/>
              </w:rPr>
            </w:pPr>
            <w:r>
              <w:rPr>
                <w:lang w:val="zh-CN"/>
              </w:rPr>
              <w:t>70</w:t>
            </w:r>
          </w:p>
        </w:tc>
        <w:tc>
          <w:tcPr>
            <w:tcW w:w="297" w:type="pct"/>
            <w:shd w:val="clear" w:color="auto" w:fill="FFFFFF"/>
            <w:noWrap w:val="0"/>
            <w:tcMar>
              <w:top w:w="28" w:type="dxa"/>
              <w:left w:w="28" w:type="dxa"/>
              <w:bottom w:w="28" w:type="dxa"/>
              <w:right w:w="28" w:type="dxa"/>
            </w:tcMar>
            <w:vAlign w:val="center"/>
          </w:tcPr>
          <w:p w14:paraId="067E715B">
            <w:pPr>
              <w:pStyle w:val="11"/>
              <w:bidi w:val="0"/>
              <w:jc w:val="center"/>
              <w:rPr>
                <w:lang w:val="zh-CN"/>
              </w:rPr>
            </w:pPr>
            <w:r>
              <w:rPr>
                <w:lang w:val="zh-CN"/>
              </w:rPr>
              <w:t>25</w:t>
            </w:r>
          </w:p>
        </w:tc>
        <w:tc>
          <w:tcPr>
            <w:tcW w:w="243" w:type="pct"/>
            <w:shd w:val="clear" w:color="auto" w:fill="FFFFFF"/>
            <w:noWrap w:val="0"/>
            <w:tcMar>
              <w:top w:w="28" w:type="dxa"/>
              <w:left w:w="28" w:type="dxa"/>
              <w:bottom w:w="28" w:type="dxa"/>
              <w:right w:w="28" w:type="dxa"/>
            </w:tcMar>
            <w:vAlign w:val="center"/>
          </w:tcPr>
          <w:p w14:paraId="651AF892">
            <w:pPr>
              <w:pStyle w:val="11"/>
              <w:bidi w:val="0"/>
              <w:jc w:val="center"/>
              <w:rPr>
                <w:lang w:val="zh-CN"/>
              </w:rPr>
            </w:pPr>
            <w:r>
              <w:rPr>
                <w:lang w:val="zh-CN"/>
              </w:rPr>
              <w:t>21.3</w:t>
            </w:r>
          </w:p>
        </w:tc>
        <w:tc>
          <w:tcPr>
            <w:tcW w:w="204" w:type="pct"/>
            <w:shd w:val="clear" w:color="auto" w:fill="FFFFFF"/>
            <w:noWrap w:val="0"/>
            <w:tcMar>
              <w:top w:w="28" w:type="dxa"/>
              <w:left w:w="28" w:type="dxa"/>
              <w:bottom w:w="28" w:type="dxa"/>
              <w:right w:w="28" w:type="dxa"/>
            </w:tcMar>
            <w:vAlign w:val="center"/>
          </w:tcPr>
          <w:p w14:paraId="10AE05F7">
            <w:pPr>
              <w:pStyle w:val="11"/>
              <w:bidi w:val="0"/>
              <w:jc w:val="center"/>
              <w:rPr>
                <w:lang w:val="zh-CN"/>
              </w:rPr>
            </w:pPr>
            <w:r>
              <w:rPr>
                <w:lang w:val="zh-CN"/>
              </w:rPr>
              <w:t>2</w:t>
            </w:r>
          </w:p>
        </w:tc>
        <w:tc>
          <w:tcPr>
            <w:tcW w:w="231" w:type="pct"/>
            <w:shd w:val="clear" w:color="auto" w:fill="FFFFFF"/>
            <w:noWrap w:val="0"/>
            <w:tcMar>
              <w:top w:w="28" w:type="dxa"/>
              <w:left w:w="28" w:type="dxa"/>
              <w:bottom w:w="28" w:type="dxa"/>
              <w:right w:w="28" w:type="dxa"/>
            </w:tcMar>
            <w:vAlign w:val="center"/>
          </w:tcPr>
          <w:p w14:paraId="0E7AF28D">
            <w:pPr>
              <w:pStyle w:val="11"/>
              <w:bidi w:val="0"/>
              <w:jc w:val="center"/>
              <w:rPr>
                <w:lang w:val="zh-CN"/>
              </w:rPr>
            </w:pPr>
            <w:r>
              <w:rPr>
                <w:lang w:val="zh-CN"/>
              </w:rPr>
              <w:t>42</w:t>
            </w:r>
          </w:p>
        </w:tc>
        <w:tc>
          <w:tcPr>
            <w:tcW w:w="227" w:type="pct"/>
            <w:shd w:val="clear" w:color="auto" w:fill="FFFFFF"/>
            <w:noWrap w:val="0"/>
            <w:tcMar>
              <w:top w:w="28" w:type="dxa"/>
              <w:left w:w="28" w:type="dxa"/>
              <w:bottom w:w="28" w:type="dxa"/>
              <w:right w:w="28" w:type="dxa"/>
            </w:tcMar>
            <w:vAlign w:val="center"/>
          </w:tcPr>
          <w:p w14:paraId="01DC17F1">
            <w:pPr>
              <w:pStyle w:val="11"/>
              <w:bidi w:val="0"/>
              <w:jc w:val="center"/>
              <w:rPr>
                <w:lang w:val="zh-CN"/>
              </w:rPr>
            </w:pPr>
            <w:r>
              <w:rPr>
                <w:lang w:val="zh-CN"/>
              </w:rPr>
              <w:t>85</w:t>
            </w:r>
          </w:p>
        </w:tc>
        <w:tc>
          <w:tcPr>
            <w:tcW w:w="227" w:type="pct"/>
            <w:shd w:val="clear" w:color="auto" w:fill="FFFFFF"/>
            <w:noWrap w:val="0"/>
            <w:tcMar>
              <w:top w:w="28" w:type="dxa"/>
              <w:left w:w="28" w:type="dxa"/>
              <w:bottom w:w="28" w:type="dxa"/>
              <w:right w:w="28" w:type="dxa"/>
            </w:tcMar>
            <w:vAlign w:val="center"/>
          </w:tcPr>
          <w:p w14:paraId="24CB3B50">
            <w:pPr>
              <w:pStyle w:val="11"/>
              <w:bidi w:val="0"/>
              <w:jc w:val="center"/>
              <w:rPr>
                <w:lang w:val="zh-CN"/>
              </w:rPr>
            </w:pPr>
            <w:r>
              <w:rPr>
                <w:lang w:val="zh-CN"/>
              </w:rPr>
              <w:t>80</w:t>
            </w:r>
          </w:p>
        </w:tc>
        <w:tc>
          <w:tcPr>
            <w:tcW w:w="231" w:type="pct"/>
            <w:shd w:val="clear" w:color="auto" w:fill="FFFFFF"/>
            <w:noWrap w:val="0"/>
            <w:tcMar>
              <w:top w:w="28" w:type="dxa"/>
              <w:left w:w="28" w:type="dxa"/>
              <w:bottom w:w="28" w:type="dxa"/>
              <w:right w:w="28" w:type="dxa"/>
            </w:tcMar>
            <w:vAlign w:val="center"/>
          </w:tcPr>
          <w:p w14:paraId="79AB274E">
            <w:pPr>
              <w:pStyle w:val="11"/>
              <w:bidi w:val="0"/>
              <w:jc w:val="center"/>
              <w:rPr>
                <w:rFonts w:hint="eastAsia"/>
                <w:lang w:val="zh-CN"/>
              </w:rPr>
            </w:pPr>
            <w:r>
              <w:rPr>
                <w:lang w:val="zh-CN"/>
              </w:rPr>
              <w:t>69</w:t>
            </w:r>
          </w:p>
        </w:tc>
      </w:tr>
      <w:tr w14:paraId="41B2B9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31" w:hRule="atLeast"/>
          <w:tblHeader/>
        </w:trPr>
        <w:tc>
          <w:tcPr>
            <w:tcW w:w="227" w:type="pct"/>
            <w:shd w:val="clear" w:color="auto" w:fill="FFFFFF"/>
            <w:noWrap w:val="0"/>
            <w:vAlign w:val="center"/>
          </w:tcPr>
          <w:p w14:paraId="1DA26F74">
            <w:pPr>
              <w:pStyle w:val="11"/>
              <w:bidi w:val="0"/>
              <w:jc w:val="center"/>
            </w:pPr>
            <w:r>
              <w:rPr>
                <w:rFonts w:hint="eastAsia"/>
                <w:lang w:val="zh-CN"/>
              </w:rPr>
              <w:t>瀑布灌区</w:t>
            </w:r>
          </w:p>
        </w:tc>
        <w:tc>
          <w:tcPr>
            <w:tcW w:w="251" w:type="pct"/>
            <w:shd w:val="clear" w:color="auto" w:fill="FFFFFF"/>
            <w:noWrap w:val="0"/>
            <w:vAlign w:val="center"/>
          </w:tcPr>
          <w:p w14:paraId="48BE8AA5">
            <w:pPr>
              <w:pStyle w:val="11"/>
              <w:bidi w:val="0"/>
              <w:jc w:val="center"/>
            </w:pPr>
            <w:r>
              <w:rPr>
                <w:rFonts w:hint="eastAsia"/>
                <w:lang w:val="zh-CN"/>
              </w:rPr>
              <w:t>主田</w:t>
            </w:r>
          </w:p>
        </w:tc>
        <w:tc>
          <w:tcPr>
            <w:tcW w:w="311" w:type="pct"/>
            <w:shd w:val="clear" w:color="auto" w:fill="FFFFFF"/>
            <w:noWrap w:val="0"/>
            <w:vAlign w:val="center"/>
          </w:tcPr>
          <w:p w14:paraId="176DD15B">
            <w:pPr>
              <w:pStyle w:val="11"/>
              <w:bidi w:val="0"/>
              <w:jc w:val="center"/>
            </w:pPr>
            <w:r>
              <w:rPr>
                <w:rFonts w:hint="eastAsia"/>
                <w:lang w:val="zh-CN"/>
              </w:rPr>
              <w:t>东</w:t>
            </w:r>
            <w:r>
              <w:rPr>
                <w:lang w:val="zh-CN"/>
              </w:rPr>
              <w:t>1.06</w:t>
            </w:r>
            <w:r>
              <w:rPr>
                <w:rFonts w:hint="eastAsia"/>
                <w:lang w:val="zh-CN"/>
              </w:rPr>
              <w:t>中</w:t>
            </w:r>
            <w:r>
              <w:rPr>
                <w:lang w:val="zh-CN"/>
              </w:rPr>
              <w:t>3.55</w:t>
            </w:r>
          </w:p>
        </w:tc>
        <w:tc>
          <w:tcPr>
            <w:tcW w:w="347" w:type="pct"/>
            <w:shd w:val="clear" w:color="auto" w:fill="FFFFFF"/>
            <w:noWrap w:val="0"/>
            <w:vAlign w:val="center"/>
          </w:tcPr>
          <w:p w14:paraId="781A16F8">
            <w:pPr>
              <w:pStyle w:val="11"/>
              <w:bidi w:val="0"/>
              <w:jc w:val="center"/>
            </w:pPr>
            <w:r>
              <w:rPr>
                <w:lang w:val="zh-CN"/>
              </w:rPr>
              <w:t>1200</w:t>
            </w:r>
          </w:p>
        </w:tc>
        <w:tc>
          <w:tcPr>
            <w:tcW w:w="264" w:type="pct"/>
            <w:shd w:val="clear" w:color="auto" w:fill="FFFFFF"/>
            <w:noWrap w:val="0"/>
            <w:vAlign w:val="center"/>
          </w:tcPr>
          <w:p w14:paraId="404E7357">
            <w:pPr>
              <w:pStyle w:val="11"/>
              <w:bidi w:val="0"/>
              <w:jc w:val="center"/>
              <w:rPr>
                <w:lang w:val="zh-CN"/>
              </w:rPr>
            </w:pPr>
            <w:r>
              <w:rPr>
                <w:lang w:val="zh-CN"/>
              </w:rPr>
              <w:t>2.41</w:t>
            </w:r>
          </w:p>
        </w:tc>
        <w:tc>
          <w:tcPr>
            <w:tcW w:w="246" w:type="pct"/>
            <w:shd w:val="clear" w:color="auto" w:fill="FFFFFF"/>
            <w:noWrap w:val="0"/>
            <w:vAlign w:val="center"/>
          </w:tcPr>
          <w:p w14:paraId="477BF23D">
            <w:pPr>
              <w:pStyle w:val="11"/>
              <w:bidi w:val="0"/>
              <w:jc w:val="center"/>
              <w:rPr>
                <w:lang w:val="zh-CN"/>
              </w:rPr>
            </w:pPr>
            <w:r>
              <w:rPr>
                <w:lang w:val="zh-CN"/>
              </w:rPr>
              <w:t>1.80</w:t>
            </w:r>
          </w:p>
        </w:tc>
        <w:tc>
          <w:tcPr>
            <w:tcW w:w="227" w:type="pct"/>
            <w:shd w:val="clear" w:color="auto" w:fill="FFFFFF"/>
            <w:noWrap w:val="0"/>
            <w:vAlign w:val="center"/>
          </w:tcPr>
          <w:p w14:paraId="52A606E7">
            <w:pPr>
              <w:pStyle w:val="11"/>
              <w:bidi w:val="0"/>
              <w:jc w:val="center"/>
              <w:rPr>
                <w:lang w:val="zh-CN"/>
              </w:rPr>
            </w:pPr>
            <w:r>
              <w:rPr>
                <w:lang w:val="zh-CN"/>
              </w:rPr>
              <w:t>90</w:t>
            </w:r>
          </w:p>
        </w:tc>
        <w:tc>
          <w:tcPr>
            <w:tcW w:w="191" w:type="pct"/>
            <w:shd w:val="clear" w:color="auto" w:fill="FFFFFF"/>
            <w:noWrap w:val="0"/>
            <w:vAlign w:val="center"/>
          </w:tcPr>
          <w:p w14:paraId="474C8742">
            <w:pPr>
              <w:pStyle w:val="11"/>
              <w:bidi w:val="0"/>
              <w:jc w:val="center"/>
              <w:rPr>
                <w:lang w:val="zh-CN"/>
              </w:rPr>
            </w:pPr>
            <w:r>
              <w:rPr>
                <w:lang w:val="zh-CN"/>
              </w:rPr>
              <w:t>80</w:t>
            </w:r>
          </w:p>
        </w:tc>
        <w:tc>
          <w:tcPr>
            <w:tcW w:w="245" w:type="pct"/>
            <w:shd w:val="clear" w:color="auto" w:fill="FFFFFF"/>
            <w:noWrap w:val="0"/>
            <w:vAlign w:val="center"/>
          </w:tcPr>
          <w:p w14:paraId="229616AB">
            <w:pPr>
              <w:pStyle w:val="11"/>
              <w:bidi w:val="0"/>
              <w:jc w:val="center"/>
            </w:pPr>
            <w:r>
              <w:rPr>
                <w:lang w:val="zh-CN"/>
              </w:rPr>
              <w:t>0.7</w:t>
            </w:r>
          </w:p>
        </w:tc>
        <w:tc>
          <w:tcPr>
            <w:tcW w:w="296" w:type="pct"/>
            <w:shd w:val="clear" w:color="auto" w:fill="FFFFFF"/>
            <w:noWrap w:val="0"/>
            <w:tcMar>
              <w:top w:w="28" w:type="dxa"/>
              <w:left w:w="28" w:type="dxa"/>
              <w:bottom w:w="28" w:type="dxa"/>
              <w:right w:w="28" w:type="dxa"/>
            </w:tcMar>
            <w:vAlign w:val="center"/>
          </w:tcPr>
          <w:p w14:paraId="488B42BD">
            <w:pPr>
              <w:pStyle w:val="11"/>
              <w:bidi w:val="0"/>
              <w:jc w:val="center"/>
              <w:rPr>
                <w:lang w:val="zh-CN"/>
              </w:rPr>
            </w:pPr>
            <w:r>
              <w:rPr>
                <w:lang w:val="zh-CN"/>
              </w:rPr>
              <w:t>29.9</w:t>
            </w:r>
          </w:p>
        </w:tc>
        <w:tc>
          <w:tcPr>
            <w:tcW w:w="296" w:type="pct"/>
            <w:shd w:val="clear" w:color="auto" w:fill="FFFFFF"/>
            <w:noWrap w:val="0"/>
            <w:tcMar>
              <w:top w:w="28" w:type="dxa"/>
              <w:left w:w="28" w:type="dxa"/>
              <w:bottom w:w="28" w:type="dxa"/>
              <w:right w:w="28" w:type="dxa"/>
            </w:tcMar>
            <w:vAlign w:val="center"/>
          </w:tcPr>
          <w:p w14:paraId="62CB1866">
            <w:pPr>
              <w:pStyle w:val="11"/>
              <w:bidi w:val="0"/>
              <w:jc w:val="center"/>
              <w:rPr>
                <w:lang w:val="zh-CN"/>
              </w:rPr>
            </w:pPr>
            <w:r>
              <w:rPr>
                <w:lang w:val="zh-CN"/>
              </w:rPr>
              <w:t>29.9</w:t>
            </w:r>
          </w:p>
        </w:tc>
        <w:tc>
          <w:tcPr>
            <w:tcW w:w="242" w:type="pct"/>
            <w:shd w:val="clear" w:color="auto" w:fill="FFFFFF"/>
            <w:noWrap w:val="0"/>
            <w:tcMar>
              <w:top w:w="28" w:type="dxa"/>
              <w:left w:w="28" w:type="dxa"/>
              <w:bottom w:w="28" w:type="dxa"/>
              <w:right w:w="28" w:type="dxa"/>
            </w:tcMar>
            <w:vAlign w:val="center"/>
          </w:tcPr>
          <w:p w14:paraId="15390A46">
            <w:pPr>
              <w:pStyle w:val="11"/>
              <w:bidi w:val="0"/>
              <w:jc w:val="center"/>
              <w:rPr>
                <w:lang w:val="zh-CN"/>
              </w:rPr>
            </w:pPr>
            <w:r>
              <w:rPr>
                <w:lang w:val="zh-CN"/>
              </w:rPr>
              <w:t>29.9</w:t>
            </w:r>
          </w:p>
        </w:tc>
        <w:tc>
          <w:tcPr>
            <w:tcW w:w="191" w:type="pct"/>
            <w:shd w:val="clear" w:color="auto" w:fill="FFFFFF"/>
            <w:noWrap w:val="0"/>
            <w:tcMar>
              <w:top w:w="28" w:type="dxa"/>
              <w:left w:w="28" w:type="dxa"/>
              <w:bottom w:w="28" w:type="dxa"/>
              <w:right w:w="28" w:type="dxa"/>
            </w:tcMar>
            <w:vAlign w:val="center"/>
          </w:tcPr>
          <w:p w14:paraId="7ACE9799">
            <w:pPr>
              <w:pStyle w:val="11"/>
              <w:bidi w:val="0"/>
              <w:jc w:val="center"/>
              <w:rPr>
                <w:lang w:val="zh-CN"/>
              </w:rPr>
            </w:pPr>
            <w:r>
              <w:rPr>
                <w:lang w:val="zh-CN"/>
              </w:rPr>
              <w:t>100</w:t>
            </w:r>
          </w:p>
        </w:tc>
        <w:tc>
          <w:tcPr>
            <w:tcW w:w="297" w:type="pct"/>
            <w:shd w:val="clear" w:color="auto" w:fill="FFFFFF"/>
            <w:noWrap w:val="0"/>
            <w:tcMar>
              <w:top w:w="28" w:type="dxa"/>
              <w:left w:w="28" w:type="dxa"/>
              <w:bottom w:w="28" w:type="dxa"/>
              <w:right w:w="28" w:type="dxa"/>
            </w:tcMar>
            <w:vAlign w:val="center"/>
          </w:tcPr>
          <w:p w14:paraId="1B2B8CB3">
            <w:pPr>
              <w:pStyle w:val="11"/>
              <w:bidi w:val="0"/>
              <w:jc w:val="center"/>
              <w:rPr>
                <w:lang w:val="zh-CN"/>
              </w:rPr>
            </w:pPr>
            <w:r>
              <w:rPr>
                <w:lang w:val="zh-CN"/>
              </w:rPr>
              <w:t>30.8</w:t>
            </w:r>
          </w:p>
        </w:tc>
        <w:tc>
          <w:tcPr>
            <w:tcW w:w="243" w:type="pct"/>
            <w:shd w:val="clear" w:color="auto" w:fill="FFFFFF"/>
            <w:noWrap w:val="0"/>
            <w:tcMar>
              <w:top w:w="28" w:type="dxa"/>
              <w:left w:w="28" w:type="dxa"/>
              <w:bottom w:w="28" w:type="dxa"/>
              <w:right w:w="28" w:type="dxa"/>
            </w:tcMar>
            <w:vAlign w:val="center"/>
          </w:tcPr>
          <w:p w14:paraId="66217477">
            <w:pPr>
              <w:pStyle w:val="11"/>
              <w:bidi w:val="0"/>
              <w:jc w:val="center"/>
              <w:rPr>
                <w:lang w:val="zh-CN"/>
              </w:rPr>
            </w:pPr>
            <w:r>
              <w:rPr>
                <w:lang w:val="zh-CN"/>
              </w:rPr>
              <w:t>30.8</w:t>
            </w:r>
          </w:p>
        </w:tc>
        <w:tc>
          <w:tcPr>
            <w:tcW w:w="204" w:type="pct"/>
            <w:shd w:val="clear" w:color="auto" w:fill="FFFFFF"/>
            <w:noWrap w:val="0"/>
            <w:tcMar>
              <w:top w:w="28" w:type="dxa"/>
              <w:left w:w="28" w:type="dxa"/>
              <w:bottom w:w="28" w:type="dxa"/>
              <w:right w:w="28" w:type="dxa"/>
            </w:tcMar>
            <w:vAlign w:val="center"/>
          </w:tcPr>
          <w:p w14:paraId="543CA9BF">
            <w:pPr>
              <w:pStyle w:val="11"/>
              <w:bidi w:val="0"/>
              <w:jc w:val="center"/>
              <w:rPr>
                <w:lang w:val="zh-CN"/>
              </w:rPr>
            </w:pPr>
            <w:r>
              <w:rPr>
                <w:lang w:val="zh-CN"/>
              </w:rPr>
              <w:t>13</w:t>
            </w:r>
          </w:p>
        </w:tc>
        <w:tc>
          <w:tcPr>
            <w:tcW w:w="231" w:type="pct"/>
            <w:shd w:val="clear" w:color="auto" w:fill="FFFFFF"/>
            <w:noWrap w:val="0"/>
            <w:tcMar>
              <w:top w:w="28" w:type="dxa"/>
              <w:left w:w="28" w:type="dxa"/>
              <w:bottom w:w="28" w:type="dxa"/>
              <w:right w:w="28" w:type="dxa"/>
            </w:tcMar>
            <w:vAlign w:val="center"/>
          </w:tcPr>
          <w:p w14:paraId="6C8865FE">
            <w:pPr>
              <w:pStyle w:val="11"/>
              <w:bidi w:val="0"/>
              <w:jc w:val="center"/>
              <w:rPr>
                <w:lang w:val="zh-CN"/>
              </w:rPr>
            </w:pPr>
            <w:r>
              <w:rPr>
                <w:lang w:val="zh-CN"/>
              </w:rPr>
              <w:t>80</w:t>
            </w:r>
          </w:p>
        </w:tc>
        <w:tc>
          <w:tcPr>
            <w:tcW w:w="227" w:type="pct"/>
            <w:shd w:val="clear" w:color="auto" w:fill="FFFFFF"/>
            <w:noWrap w:val="0"/>
            <w:tcMar>
              <w:top w:w="28" w:type="dxa"/>
              <w:left w:w="28" w:type="dxa"/>
              <w:bottom w:w="28" w:type="dxa"/>
              <w:right w:w="28" w:type="dxa"/>
            </w:tcMar>
            <w:vAlign w:val="center"/>
          </w:tcPr>
          <w:p w14:paraId="44A12FD2">
            <w:pPr>
              <w:pStyle w:val="11"/>
              <w:bidi w:val="0"/>
              <w:jc w:val="center"/>
              <w:rPr>
                <w:lang w:val="zh-CN"/>
              </w:rPr>
            </w:pPr>
            <w:r>
              <w:rPr>
                <w:lang w:val="zh-CN"/>
              </w:rPr>
              <w:t>90</w:t>
            </w:r>
          </w:p>
        </w:tc>
        <w:tc>
          <w:tcPr>
            <w:tcW w:w="227" w:type="pct"/>
            <w:shd w:val="clear" w:color="auto" w:fill="FFFFFF"/>
            <w:noWrap w:val="0"/>
            <w:tcMar>
              <w:top w:w="28" w:type="dxa"/>
              <w:left w:w="28" w:type="dxa"/>
              <w:bottom w:w="28" w:type="dxa"/>
              <w:right w:w="28" w:type="dxa"/>
            </w:tcMar>
            <w:vAlign w:val="center"/>
          </w:tcPr>
          <w:p w14:paraId="10764685">
            <w:pPr>
              <w:pStyle w:val="11"/>
              <w:bidi w:val="0"/>
              <w:jc w:val="center"/>
              <w:rPr>
                <w:lang w:val="zh-CN"/>
              </w:rPr>
            </w:pPr>
            <w:r>
              <w:rPr>
                <w:lang w:val="zh-CN"/>
              </w:rPr>
              <w:t>70</w:t>
            </w:r>
          </w:p>
        </w:tc>
        <w:tc>
          <w:tcPr>
            <w:tcW w:w="231" w:type="pct"/>
            <w:shd w:val="clear" w:color="auto" w:fill="FFFFFF"/>
            <w:noWrap w:val="0"/>
            <w:tcMar>
              <w:top w:w="28" w:type="dxa"/>
              <w:left w:w="28" w:type="dxa"/>
              <w:bottom w:w="28" w:type="dxa"/>
              <w:right w:w="28" w:type="dxa"/>
            </w:tcMar>
            <w:vAlign w:val="center"/>
          </w:tcPr>
          <w:p w14:paraId="1D3DB14E">
            <w:pPr>
              <w:pStyle w:val="11"/>
              <w:bidi w:val="0"/>
              <w:jc w:val="center"/>
              <w:rPr>
                <w:rFonts w:hint="eastAsia"/>
                <w:lang w:val="zh-CN"/>
              </w:rPr>
            </w:pPr>
            <w:r>
              <w:rPr>
                <w:lang w:val="zh-CN"/>
              </w:rPr>
              <w:t>88</w:t>
            </w:r>
          </w:p>
        </w:tc>
      </w:tr>
      <w:tr w14:paraId="62CC5A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31" w:hRule="atLeast"/>
          <w:tblHeader/>
        </w:trPr>
        <w:tc>
          <w:tcPr>
            <w:tcW w:w="227" w:type="pct"/>
            <w:shd w:val="clear" w:color="auto" w:fill="FFFFFF"/>
            <w:noWrap w:val="0"/>
            <w:vAlign w:val="center"/>
          </w:tcPr>
          <w:p w14:paraId="1D820D3D">
            <w:pPr>
              <w:pStyle w:val="11"/>
              <w:bidi w:val="0"/>
              <w:jc w:val="center"/>
            </w:pPr>
            <w:r>
              <w:rPr>
                <w:rFonts w:hint="eastAsia"/>
                <w:lang w:val="zh-CN"/>
              </w:rPr>
              <w:t>乌坭灌区</w:t>
            </w:r>
          </w:p>
        </w:tc>
        <w:tc>
          <w:tcPr>
            <w:tcW w:w="251" w:type="pct"/>
            <w:shd w:val="clear" w:color="auto" w:fill="FFFFFF"/>
            <w:noWrap w:val="0"/>
            <w:vAlign w:val="center"/>
          </w:tcPr>
          <w:p w14:paraId="49871A7E">
            <w:pPr>
              <w:pStyle w:val="11"/>
              <w:bidi w:val="0"/>
              <w:jc w:val="center"/>
            </w:pPr>
            <w:r>
              <w:rPr>
                <w:rFonts w:hint="eastAsia"/>
                <w:lang w:val="zh-CN"/>
              </w:rPr>
              <w:t>珠玑</w:t>
            </w:r>
          </w:p>
        </w:tc>
        <w:tc>
          <w:tcPr>
            <w:tcW w:w="311" w:type="pct"/>
            <w:shd w:val="clear" w:color="auto" w:fill="FFFFFF"/>
            <w:noWrap w:val="0"/>
            <w:vAlign w:val="center"/>
          </w:tcPr>
          <w:p w14:paraId="7AEA885F">
            <w:pPr>
              <w:pStyle w:val="11"/>
              <w:bidi w:val="0"/>
              <w:jc w:val="center"/>
            </w:pPr>
            <w:r>
              <w:rPr>
                <w:lang w:val="zh-CN"/>
              </w:rPr>
              <w:t>0.5</w:t>
            </w:r>
          </w:p>
        </w:tc>
        <w:tc>
          <w:tcPr>
            <w:tcW w:w="347" w:type="pct"/>
            <w:shd w:val="clear" w:color="auto" w:fill="FFFFFF"/>
            <w:noWrap w:val="0"/>
            <w:vAlign w:val="center"/>
          </w:tcPr>
          <w:p w14:paraId="6466448D">
            <w:pPr>
              <w:pStyle w:val="11"/>
              <w:bidi w:val="0"/>
              <w:jc w:val="center"/>
            </w:pPr>
          </w:p>
        </w:tc>
        <w:tc>
          <w:tcPr>
            <w:tcW w:w="264" w:type="pct"/>
            <w:shd w:val="clear" w:color="auto" w:fill="FFFFFF"/>
            <w:noWrap w:val="0"/>
            <w:vAlign w:val="center"/>
          </w:tcPr>
          <w:p w14:paraId="7D647FA5">
            <w:pPr>
              <w:pStyle w:val="11"/>
              <w:bidi w:val="0"/>
              <w:jc w:val="center"/>
              <w:rPr>
                <w:lang w:val="zh-CN"/>
              </w:rPr>
            </w:pPr>
            <w:r>
              <w:rPr>
                <w:lang w:val="zh-CN"/>
              </w:rPr>
              <w:t>0.7</w:t>
            </w:r>
          </w:p>
        </w:tc>
        <w:tc>
          <w:tcPr>
            <w:tcW w:w="246" w:type="pct"/>
            <w:shd w:val="clear" w:color="auto" w:fill="FFFFFF"/>
            <w:noWrap w:val="0"/>
            <w:vAlign w:val="center"/>
          </w:tcPr>
          <w:p w14:paraId="1D89DF43">
            <w:pPr>
              <w:pStyle w:val="11"/>
              <w:bidi w:val="0"/>
              <w:jc w:val="center"/>
              <w:rPr>
                <w:lang w:val="zh-CN"/>
              </w:rPr>
            </w:pPr>
            <w:r>
              <w:rPr>
                <w:lang w:val="zh-CN"/>
              </w:rPr>
              <w:t>0.3</w:t>
            </w:r>
          </w:p>
        </w:tc>
        <w:tc>
          <w:tcPr>
            <w:tcW w:w="227" w:type="pct"/>
            <w:shd w:val="clear" w:color="auto" w:fill="FFFFFF"/>
            <w:noWrap w:val="0"/>
            <w:vAlign w:val="center"/>
          </w:tcPr>
          <w:p w14:paraId="2A4A809E">
            <w:pPr>
              <w:pStyle w:val="11"/>
              <w:bidi w:val="0"/>
              <w:jc w:val="center"/>
              <w:rPr>
                <w:lang w:val="zh-CN"/>
              </w:rPr>
            </w:pPr>
            <w:r>
              <w:rPr>
                <w:lang w:val="zh-CN"/>
              </w:rPr>
              <w:t>90</w:t>
            </w:r>
          </w:p>
        </w:tc>
        <w:tc>
          <w:tcPr>
            <w:tcW w:w="191" w:type="pct"/>
            <w:shd w:val="clear" w:color="auto" w:fill="FFFFFF"/>
            <w:noWrap w:val="0"/>
            <w:vAlign w:val="center"/>
          </w:tcPr>
          <w:p w14:paraId="0AE1830A">
            <w:pPr>
              <w:pStyle w:val="11"/>
              <w:bidi w:val="0"/>
              <w:jc w:val="center"/>
              <w:rPr>
                <w:lang w:val="zh-CN"/>
              </w:rPr>
            </w:pPr>
            <w:r>
              <w:rPr>
                <w:lang w:val="zh-CN"/>
              </w:rPr>
              <w:t>75</w:t>
            </w:r>
          </w:p>
        </w:tc>
        <w:tc>
          <w:tcPr>
            <w:tcW w:w="245" w:type="pct"/>
            <w:shd w:val="clear" w:color="auto" w:fill="FFFFFF"/>
            <w:noWrap w:val="0"/>
            <w:vAlign w:val="center"/>
          </w:tcPr>
          <w:p w14:paraId="67BBCB87">
            <w:pPr>
              <w:pStyle w:val="11"/>
              <w:bidi w:val="0"/>
              <w:jc w:val="center"/>
            </w:pPr>
            <w:r>
              <w:rPr>
                <w:lang w:val="zh-CN"/>
              </w:rPr>
              <w:t>0.5</w:t>
            </w:r>
          </w:p>
        </w:tc>
        <w:tc>
          <w:tcPr>
            <w:tcW w:w="296" w:type="pct"/>
            <w:shd w:val="clear" w:color="auto" w:fill="FFFFFF"/>
            <w:noWrap w:val="0"/>
            <w:tcMar>
              <w:top w:w="28" w:type="dxa"/>
              <w:left w:w="28" w:type="dxa"/>
              <w:bottom w:w="28" w:type="dxa"/>
              <w:right w:w="28" w:type="dxa"/>
            </w:tcMar>
            <w:vAlign w:val="center"/>
          </w:tcPr>
          <w:p w14:paraId="651816BD">
            <w:pPr>
              <w:pStyle w:val="11"/>
              <w:bidi w:val="0"/>
              <w:jc w:val="center"/>
              <w:rPr>
                <w:lang w:val="zh-CN"/>
              </w:rPr>
            </w:pPr>
            <w:r>
              <w:rPr>
                <w:lang w:val="zh-CN"/>
              </w:rPr>
              <w:t>27.5</w:t>
            </w:r>
          </w:p>
        </w:tc>
        <w:tc>
          <w:tcPr>
            <w:tcW w:w="296" w:type="pct"/>
            <w:shd w:val="clear" w:color="auto" w:fill="FFFFFF"/>
            <w:noWrap w:val="0"/>
            <w:tcMar>
              <w:top w:w="28" w:type="dxa"/>
              <w:left w:w="28" w:type="dxa"/>
              <w:bottom w:w="28" w:type="dxa"/>
              <w:right w:w="28" w:type="dxa"/>
            </w:tcMar>
            <w:vAlign w:val="center"/>
          </w:tcPr>
          <w:p w14:paraId="36010E28">
            <w:pPr>
              <w:pStyle w:val="11"/>
              <w:bidi w:val="0"/>
              <w:jc w:val="center"/>
              <w:rPr>
                <w:lang w:val="zh-CN"/>
              </w:rPr>
            </w:pPr>
            <w:r>
              <w:rPr>
                <w:lang w:val="zh-CN"/>
              </w:rPr>
              <w:t>27.5</w:t>
            </w:r>
          </w:p>
        </w:tc>
        <w:tc>
          <w:tcPr>
            <w:tcW w:w="242" w:type="pct"/>
            <w:shd w:val="clear" w:color="auto" w:fill="FFFFFF"/>
            <w:noWrap w:val="0"/>
            <w:tcMar>
              <w:top w:w="28" w:type="dxa"/>
              <w:left w:w="28" w:type="dxa"/>
              <w:bottom w:w="28" w:type="dxa"/>
              <w:right w:w="28" w:type="dxa"/>
            </w:tcMar>
            <w:vAlign w:val="center"/>
          </w:tcPr>
          <w:p w14:paraId="5B41AFA3">
            <w:pPr>
              <w:pStyle w:val="11"/>
              <w:bidi w:val="0"/>
              <w:jc w:val="center"/>
              <w:rPr>
                <w:lang w:val="zh-CN"/>
              </w:rPr>
            </w:pPr>
            <w:r>
              <w:rPr>
                <w:lang w:val="zh-CN"/>
              </w:rPr>
              <w:t>2</w:t>
            </w:r>
          </w:p>
        </w:tc>
        <w:tc>
          <w:tcPr>
            <w:tcW w:w="191" w:type="pct"/>
            <w:shd w:val="clear" w:color="auto" w:fill="FFFFFF"/>
            <w:noWrap w:val="0"/>
            <w:tcMar>
              <w:top w:w="28" w:type="dxa"/>
              <w:left w:w="28" w:type="dxa"/>
              <w:bottom w:w="28" w:type="dxa"/>
              <w:right w:w="28" w:type="dxa"/>
            </w:tcMar>
            <w:vAlign w:val="center"/>
          </w:tcPr>
          <w:p w14:paraId="29E26F95">
            <w:pPr>
              <w:pStyle w:val="11"/>
              <w:bidi w:val="0"/>
              <w:jc w:val="center"/>
              <w:rPr>
                <w:lang w:val="zh-CN"/>
              </w:rPr>
            </w:pPr>
            <w:r>
              <w:rPr>
                <w:lang w:val="zh-CN"/>
              </w:rPr>
              <w:t>54</w:t>
            </w:r>
          </w:p>
        </w:tc>
        <w:tc>
          <w:tcPr>
            <w:tcW w:w="297" w:type="pct"/>
            <w:shd w:val="clear" w:color="auto" w:fill="FFFFFF"/>
            <w:noWrap w:val="0"/>
            <w:tcMar>
              <w:top w:w="28" w:type="dxa"/>
              <w:left w:w="28" w:type="dxa"/>
              <w:bottom w:w="28" w:type="dxa"/>
              <w:right w:w="28" w:type="dxa"/>
            </w:tcMar>
            <w:vAlign w:val="center"/>
          </w:tcPr>
          <w:p w14:paraId="6E7B5BBB">
            <w:pPr>
              <w:pStyle w:val="11"/>
              <w:bidi w:val="0"/>
              <w:jc w:val="center"/>
              <w:rPr>
                <w:lang w:val="zh-CN"/>
              </w:rPr>
            </w:pPr>
            <w:r>
              <w:rPr>
                <w:lang w:val="zh-CN"/>
              </w:rPr>
              <w:t>18</w:t>
            </w:r>
          </w:p>
        </w:tc>
        <w:tc>
          <w:tcPr>
            <w:tcW w:w="243" w:type="pct"/>
            <w:shd w:val="clear" w:color="auto" w:fill="FFFFFF"/>
            <w:noWrap w:val="0"/>
            <w:tcMar>
              <w:top w:w="28" w:type="dxa"/>
              <w:left w:w="28" w:type="dxa"/>
              <w:bottom w:w="28" w:type="dxa"/>
              <w:right w:w="28" w:type="dxa"/>
            </w:tcMar>
            <w:vAlign w:val="center"/>
          </w:tcPr>
          <w:p w14:paraId="6EF33DF2">
            <w:pPr>
              <w:pStyle w:val="11"/>
              <w:bidi w:val="0"/>
              <w:jc w:val="center"/>
              <w:rPr>
                <w:lang w:val="zh-CN"/>
              </w:rPr>
            </w:pPr>
            <w:r>
              <w:rPr>
                <w:lang w:val="zh-CN"/>
              </w:rPr>
              <w:t>18</w:t>
            </w:r>
          </w:p>
        </w:tc>
        <w:tc>
          <w:tcPr>
            <w:tcW w:w="204" w:type="pct"/>
            <w:shd w:val="clear" w:color="auto" w:fill="FFFFFF"/>
            <w:noWrap w:val="0"/>
            <w:tcMar>
              <w:top w:w="28" w:type="dxa"/>
              <w:left w:w="28" w:type="dxa"/>
              <w:bottom w:w="28" w:type="dxa"/>
              <w:right w:w="28" w:type="dxa"/>
            </w:tcMar>
            <w:vAlign w:val="center"/>
          </w:tcPr>
          <w:p w14:paraId="3F5A0C0C">
            <w:pPr>
              <w:pStyle w:val="11"/>
              <w:bidi w:val="0"/>
              <w:jc w:val="center"/>
              <w:rPr>
                <w:lang w:val="zh-CN"/>
              </w:rPr>
            </w:pPr>
            <w:r>
              <w:rPr>
                <w:lang w:val="zh-CN"/>
              </w:rPr>
              <w:t>1</w:t>
            </w:r>
          </w:p>
        </w:tc>
        <w:tc>
          <w:tcPr>
            <w:tcW w:w="231" w:type="pct"/>
            <w:shd w:val="clear" w:color="auto" w:fill="FFFFFF"/>
            <w:noWrap w:val="0"/>
            <w:tcMar>
              <w:top w:w="28" w:type="dxa"/>
              <w:left w:w="28" w:type="dxa"/>
              <w:bottom w:w="28" w:type="dxa"/>
              <w:right w:w="28" w:type="dxa"/>
            </w:tcMar>
            <w:vAlign w:val="center"/>
          </w:tcPr>
          <w:p w14:paraId="2B99583D">
            <w:pPr>
              <w:pStyle w:val="11"/>
              <w:bidi w:val="0"/>
              <w:jc w:val="center"/>
              <w:rPr>
                <w:lang w:val="zh-CN"/>
              </w:rPr>
            </w:pPr>
            <w:r>
              <w:rPr>
                <w:lang w:val="zh-CN"/>
              </w:rPr>
              <w:t>46</w:t>
            </w:r>
          </w:p>
        </w:tc>
        <w:tc>
          <w:tcPr>
            <w:tcW w:w="227" w:type="pct"/>
            <w:shd w:val="clear" w:color="auto" w:fill="FFFFFF"/>
            <w:noWrap w:val="0"/>
            <w:tcMar>
              <w:top w:w="28" w:type="dxa"/>
              <w:left w:w="28" w:type="dxa"/>
              <w:bottom w:w="28" w:type="dxa"/>
              <w:right w:w="28" w:type="dxa"/>
            </w:tcMar>
            <w:vAlign w:val="center"/>
          </w:tcPr>
          <w:p w14:paraId="3545A18B">
            <w:pPr>
              <w:pStyle w:val="11"/>
              <w:bidi w:val="0"/>
              <w:jc w:val="center"/>
              <w:rPr>
                <w:lang w:val="zh-CN"/>
              </w:rPr>
            </w:pPr>
            <w:r>
              <w:rPr>
                <w:lang w:val="zh-CN"/>
              </w:rPr>
              <w:t>45</w:t>
            </w:r>
          </w:p>
        </w:tc>
        <w:tc>
          <w:tcPr>
            <w:tcW w:w="227" w:type="pct"/>
            <w:shd w:val="clear" w:color="auto" w:fill="FFFFFF"/>
            <w:noWrap w:val="0"/>
            <w:tcMar>
              <w:top w:w="28" w:type="dxa"/>
              <w:left w:w="28" w:type="dxa"/>
              <w:bottom w:w="28" w:type="dxa"/>
              <w:right w:w="28" w:type="dxa"/>
            </w:tcMar>
            <w:vAlign w:val="center"/>
          </w:tcPr>
          <w:p w14:paraId="0EAF0B2A">
            <w:pPr>
              <w:pStyle w:val="11"/>
              <w:bidi w:val="0"/>
              <w:jc w:val="center"/>
              <w:rPr>
                <w:lang w:val="zh-CN"/>
              </w:rPr>
            </w:pPr>
            <w:r>
              <w:rPr>
                <w:lang w:val="zh-CN"/>
              </w:rPr>
              <w:t>38</w:t>
            </w:r>
          </w:p>
        </w:tc>
        <w:tc>
          <w:tcPr>
            <w:tcW w:w="231" w:type="pct"/>
            <w:shd w:val="clear" w:color="auto" w:fill="FFFFFF"/>
            <w:noWrap w:val="0"/>
            <w:tcMar>
              <w:top w:w="28" w:type="dxa"/>
              <w:left w:w="28" w:type="dxa"/>
              <w:bottom w:w="28" w:type="dxa"/>
              <w:right w:w="28" w:type="dxa"/>
            </w:tcMar>
            <w:vAlign w:val="center"/>
          </w:tcPr>
          <w:p w14:paraId="518078C8">
            <w:pPr>
              <w:pStyle w:val="11"/>
              <w:bidi w:val="0"/>
              <w:jc w:val="center"/>
              <w:rPr>
                <w:rFonts w:hint="eastAsia"/>
                <w:lang w:val="zh-CN"/>
              </w:rPr>
            </w:pPr>
            <w:r>
              <w:rPr>
                <w:lang w:val="zh-CN"/>
              </w:rPr>
              <w:t>53</w:t>
            </w:r>
          </w:p>
        </w:tc>
      </w:tr>
      <w:tr w14:paraId="5EEB68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31" w:hRule="atLeast"/>
          <w:tblHeader/>
        </w:trPr>
        <w:tc>
          <w:tcPr>
            <w:tcW w:w="227" w:type="pct"/>
            <w:shd w:val="clear" w:color="auto" w:fill="FFFFFF"/>
            <w:noWrap w:val="0"/>
            <w:vAlign w:val="center"/>
          </w:tcPr>
          <w:p w14:paraId="782F59BD">
            <w:pPr>
              <w:pStyle w:val="11"/>
              <w:bidi w:val="0"/>
              <w:jc w:val="center"/>
            </w:pPr>
            <w:r>
              <w:rPr>
                <w:rFonts w:hint="eastAsia"/>
                <w:lang w:val="zh-CN"/>
              </w:rPr>
              <w:t>同凌陂灌区</w:t>
            </w:r>
          </w:p>
        </w:tc>
        <w:tc>
          <w:tcPr>
            <w:tcW w:w="251" w:type="pct"/>
            <w:shd w:val="clear" w:color="auto" w:fill="FFFFFF"/>
            <w:noWrap w:val="0"/>
            <w:vAlign w:val="center"/>
          </w:tcPr>
          <w:p w14:paraId="073421B5">
            <w:pPr>
              <w:pStyle w:val="11"/>
              <w:bidi w:val="0"/>
              <w:jc w:val="center"/>
            </w:pPr>
            <w:r>
              <w:rPr>
                <w:rFonts w:hint="eastAsia"/>
                <w:lang w:val="zh-CN"/>
              </w:rPr>
              <w:t>雄州街道</w:t>
            </w:r>
          </w:p>
        </w:tc>
        <w:tc>
          <w:tcPr>
            <w:tcW w:w="311" w:type="pct"/>
            <w:shd w:val="clear" w:color="auto" w:fill="FFFFFF"/>
            <w:noWrap w:val="0"/>
            <w:vAlign w:val="center"/>
          </w:tcPr>
          <w:p w14:paraId="1225EC7C">
            <w:pPr>
              <w:pStyle w:val="11"/>
              <w:bidi w:val="0"/>
              <w:jc w:val="center"/>
            </w:pPr>
            <w:r>
              <w:rPr>
                <w:lang w:val="zh-CN"/>
              </w:rPr>
              <w:t>0.75</w:t>
            </w:r>
          </w:p>
        </w:tc>
        <w:tc>
          <w:tcPr>
            <w:tcW w:w="347" w:type="pct"/>
            <w:shd w:val="clear" w:color="auto" w:fill="FFFFFF"/>
            <w:noWrap w:val="0"/>
            <w:vAlign w:val="center"/>
          </w:tcPr>
          <w:p w14:paraId="7CD894F8">
            <w:pPr>
              <w:pStyle w:val="11"/>
              <w:bidi w:val="0"/>
              <w:jc w:val="center"/>
            </w:pPr>
          </w:p>
        </w:tc>
        <w:tc>
          <w:tcPr>
            <w:tcW w:w="264" w:type="pct"/>
            <w:shd w:val="clear" w:color="auto" w:fill="FFFFFF"/>
            <w:noWrap w:val="0"/>
            <w:vAlign w:val="center"/>
          </w:tcPr>
          <w:p w14:paraId="1DF64CA5">
            <w:pPr>
              <w:pStyle w:val="11"/>
              <w:bidi w:val="0"/>
              <w:jc w:val="center"/>
              <w:rPr>
                <w:lang w:val="zh-CN"/>
              </w:rPr>
            </w:pPr>
            <w:r>
              <w:rPr>
                <w:lang w:val="zh-CN"/>
              </w:rPr>
              <w:t>0.5</w:t>
            </w:r>
          </w:p>
        </w:tc>
        <w:tc>
          <w:tcPr>
            <w:tcW w:w="246" w:type="pct"/>
            <w:shd w:val="clear" w:color="auto" w:fill="FFFFFF"/>
            <w:noWrap w:val="0"/>
            <w:vAlign w:val="center"/>
          </w:tcPr>
          <w:p w14:paraId="47E6D9C2">
            <w:pPr>
              <w:pStyle w:val="11"/>
              <w:bidi w:val="0"/>
              <w:jc w:val="center"/>
              <w:rPr>
                <w:lang w:val="zh-CN"/>
              </w:rPr>
            </w:pPr>
            <w:r>
              <w:rPr>
                <w:lang w:val="zh-CN"/>
              </w:rPr>
              <w:t>0.4</w:t>
            </w:r>
          </w:p>
        </w:tc>
        <w:tc>
          <w:tcPr>
            <w:tcW w:w="227" w:type="pct"/>
            <w:shd w:val="clear" w:color="auto" w:fill="FFFFFF"/>
            <w:noWrap w:val="0"/>
            <w:vAlign w:val="center"/>
          </w:tcPr>
          <w:p w14:paraId="1B76F742">
            <w:pPr>
              <w:pStyle w:val="11"/>
              <w:bidi w:val="0"/>
              <w:jc w:val="center"/>
              <w:rPr>
                <w:lang w:val="zh-CN"/>
              </w:rPr>
            </w:pPr>
            <w:r>
              <w:rPr>
                <w:lang w:val="zh-CN"/>
              </w:rPr>
              <w:t>90</w:t>
            </w:r>
          </w:p>
        </w:tc>
        <w:tc>
          <w:tcPr>
            <w:tcW w:w="191" w:type="pct"/>
            <w:shd w:val="clear" w:color="auto" w:fill="FFFFFF"/>
            <w:noWrap w:val="0"/>
            <w:vAlign w:val="center"/>
          </w:tcPr>
          <w:p w14:paraId="59265EFC">
            <w:pPr>
              <w:pStyle w:val="11"/>
              <w:bidi w:val="0"/>
              <w:jc w:val="center"/>
              <w:rPr>
                <w:lang w:val="zh-CN"/>
              </w:rPr>
            </w:pPr>
            <w:r>
              <w:rPr>
                <w:lang w:val="zh-CN"/>
              </w:rPr>
              <w:t>75</w:t>
            </w:r>
          </w:p>
        </w:tc>
        <w:tc>
          <w:tcPr>
            <w:tcW w:w="245" w:type="pct"/>
            <w:shd w:val="clear" w:color="auto" w:fill="FFFFFF"/>
            <w:noWrap w:val="0"/>
            <w:vAlign w:val="center"/>
          </w:tcPr>
          <w:p w14:paraId="085369F0">
            <w:pPr>
              <w:pStyle w:val="11"/>
              <w:bidi w:val="0"/>
              <w:jc w:val="center"/>
            </w:pPr>
            <w:r>
              <w:rPr>
                <w:lang w:val="zh-CN"/>
              </w:rPr>
              <w:t>0.4</w:t>
            </w:r>
          </w:p>
        </w:tc>
        <w:tc>
          <w:tcPr>
            <w:tcW w:w="296" w:type="pct"/>
            <w:shd w:val="clear" w:color="auto" w:fill="FFFFFF"/>
            <w:noWrap w:val="0"/>
            <w:tcMar>
              <w:top w:w="28" w:type="dxa"/>
              <w:left w:w="28" w:type="dxa"/>
              <w:bottom w:w="28" w:type="dxa"/>
              <w:right w:w="28" w:type="dxa"/>
            </w:tcMar>
            <w:vAlign w:val="center"/>
          </w:tcPr>
          <w:p w14:paraId="07068558">
            <w:pPr>
              <w:pStyle w:val="11"/>
              <w:bidi w:val="0"/>
              <w:jc w:val="center"/>
              <w:rPr>
                <w:lang w:val="zh-CN"/>
              </w:rPr>
            </w:pPr>
            <w:r>
              <w:rPr>
                <w:lang w:val="zh-CN"/>
              </w:rPr>
              <w:t>15</w:t>
            </w:r>
          </w:p>
        </w:tc>
        <w:tc>
          <w:tcPr>
            <w:tcW w:w="296" w:type="pct"/>
            <w:shd w:val="clear" w:color="auto" w:fill="FFFFFF"/>
            <w:noWrap w:val="0"/>
            <w:tcMar>
              <w:top w:w="28" w:type="dxa"/>
              <w:left w:w="28" w:type="dxa"/>
              <w:bottom w:w="28" w:type="dxa"/>
              <w:right w:w="28" w:type="dxa"/>
            </w:tcMar>
            <w:vAlign w:val="center"/>
          </w:tcPr>
          <w:p w14:paraId="04D5AB50">
            <w:pPr>
              <w:pStyle w:val="11"/>
              <w:bidi w:val="0"/>
              <w:jc w:val="center"/>
              <w:rPr>
                <w:lang w:val="zh-CN"/>
              </w:rPr>
            </w:pPr>
            <w:r>
              <w:rPr>
                <w:lang w:val="zh-CN"/>
              </w:rPr>
              <w:t>15</w:t>
            </w:r>
          </w:p>
        </w:tc>
        <w:tc>
          <w:tcPr>
            <w:tcW w:w="242" w:type="pct"/>
            <w:shd w:val="clear" w:color="auto" w:fill="FFFFFF"/>
            <w:noWrap w:val="0"/>
            <w:tcMar>
              <w:top w:w="28" w:type="dxa"/>
              <w:left w:w="28" w:type="dxa"/>
              <w:bottom w:w="28" w:type="dxa"/>
              <w:right w:w="28" w:type="dxa"/>
            </w:tcMar>
            <w:vAlign w:val="center"/>
          </w:tcPr>
          <w:p w14:paraId="6B30C0BD">
            <w:pPr>
              <w:pStyle w:val="11"/>
              <w:bidi w:val="0"/>
              <w:jc w:val="center"/>
              <w:rPr>
                <w:lang w:val="zh-CN"/>
              </w:rPr>
            </w:pPr>
            <w:r>
              <w:rPr>
                <w:lang w:val="zh-CN"/>
              </w:rPr>
              <w:t>0.5</w:t>
            </w:r>
          </w:p>
        </w:tc>
        <w:tc>
          <w:tcPr>
            <w:tcW w:w="191" w:type="pct"/>
            <w:shd w:val="clear" w:color="auto" w:fill="FFFFFF"/>
            <w:noWrap w:val="0"/>
            <w:tcMar>
              <w:top w:w="28" w:type="dxa"/>
              <w:left w:w="28" w:type="dxa"/>
              <w:bottom w:w="28" w:type="dxa"/>
              <w:right w:w="28" w:type="dxa"/>
            </w:tcMar>
            <w:vAlign w:val="center"/>
          </w:tcPr>
          <w:p w14:paraId="4029013D">
            <w:pPr>
              <w:pStyle w:val="11"/>
              <w:bidi w:val="0"/>
              <w:jc w:val="center"/>
              <w:rPr>
                <w:lang w:val="zh-CN"/>
              </w:rPr>
            </w:pPr>
            <w:r>
              <w:rPr>
                <w:lang w:val="zh-CN"/>
              </w:rPr>
              <w:t>36</w:t>
            </w:r>
          </w:p>
        </w:tc>
        <w:tc>
          <w:tcPr>
            <w:tcW w:w="297" w:type="pct"/>
            <w:shd w:val="clear" w:color="auto" w:fill="FFFFFF"/>
            <w:noWrap w:val="0"/>
            <w:tcMar>
              <w:top w:w="28" w:type="dxa"/>
              <w:left w:w="28" w:type="dxa"/>
              <w:bottom w:w="28" w:type="dxa"/>
              <w:right w:w="28" w:type="dxa"/>
            </w:tcMar>
            <w:vAlign w:val="center"/>
          </w:tcPr>
          <w:p w14:paraId="4C1C3058">
            <w:pPr>
              <w:pStyle w:val="11"/>
              <w:bidi w:val="0"/>
              <w:jc w:val="center"/>
              <w:rPr>
                <w:lang w:val="zh-CN"/>
              </w:rPr>
            </w:pPr>
            <w:r>
              <w:rPr>
                <w:lang w:val="zh-CN"/>
              </w:rPr>
              <w:t>7</w:t>
            </w:r>
          </w:p>
        </w:tc>
        <w:tc>
          <w:tcPr>
            <w:tcW w:w="243" w:type="pct"/>
            <w:shd w:val="clear" w:color="auto" w:fill="FFFFFF"/>
            <w:noWrap w:val="0"/>
            <w:tcMar>
              <w:top w:w="28" w:type="dxa"/>
              <w:left w:w="28" w:type="dxa"/>
              <w:bottom w:w="28" w:type="dxa"/>
              <w:right w:w="28" w:type="dxa"/>
            </w:tcMar>
            <w:vAlign w:val="center"/>
          </w:tcPr>
          <w:p w14:paraId="58C64976">
            <w:pPr>
              <w:pStyle w:val="11"/>
              <w:bidi w:val="0"/>
              <w:jc w:val="center"/>
              <w:rPr>
                <w:lang w:val="zh-CN"/>
              </w:rPr>
            </w:pPr>
            <w:r>
              <w:rPr>
                <w:lang w:val="zh-CN"/>
              </w:rPr>
              <w:t>5</w:t>
            </w:r>
          </w:p>
        </w:tc>
        <w:tc>
          <w:tcPr>
            <w:tcW w:w="204" w:type="pct"/>
            <w:shd w:val="clear" w:color="auto" w:fill="FFFFFF"/>
            <w:noWrap w:val="0"/>
            <w:tcMar>
              <w:top w:w="28" w:type="dxa"/>
              <w:left w:w="28" w:type="dxa"/>
              <w:bottom w:w="28" w:type="dxa"/>
              <w:right w:w="28" w:type="dxa"/>
            </w:tcMar>
            <w:vAlign w:val="center"/>
          </w:tcPr>
          <w:p w14:paraId="3CA35123">
            <w:pPr>
              <w:pStyle w:val="11"/>
              <w:bidi w:val="0"/>
              <w:jc w:val="center"/>
              <w:rPr>
                <w:lang w:val="zh-CN"/>
              </w:rPr>
            </w:pPr>
            <w:r>
              <w:rPr>
                <w:lang w:val="zh-CN"/>
              </w:rPr>
              <w:t>0</w:t>
            </w:r>
          </w:p>
        </w:tc>
        <w:tc>
          <w:tcPr>
            <w:tcW w:w="231" w:type="pct"/>
            <w:shd w:val="clear" w:color="auto" w:fill="FFFFFF"/>
            <w:noWrap w:val="0"/>
            <w:tcMar>
              <w:top w:w="28" w:type="dxa"/>
              <w:left w:w="28" w:type="dxa"/>
              <w:bottom w:w="28" w:type="dxa"/>
              <w:right w:w="28" w:type="dxa"/>
            </w:tcMar>
            <w:vAlign w:val="center"/>
          </w:tcPr>
          <w:p w14:paraId="04D83C1B">
            <w:pPr>
              <w:pStyle w:val="11"/>
              <w:bidi w:val="0"/>
              <w:jc w:val="center"/>
              <w:rPr>
                <w:lang w:val="zh-CN"/>
              </w:rPr>
            </w:pPr>
            <w:r>
              <w:rPr>
                <w:lang w:val="zh-CN"/>
              </w:rPr>
              <w:t>35</w:t>
            </w:r>
          </w:p>
        </w:tc>
        <w:tc>
          <w:tcPr>
            <w:tcW w:w="227" w:type="pct"/>
            <w:shd w:val="clear" w:color="auto" w:fill="FFFFFF"/>
            <w:noWrap w:val="0"/>
            <w:tcMar>
              <w:top w:w="28" w:type="dxa"/>
              <w:left w:w="28" w:type="dxa"/>
              <w:bottom w:w="28" w:type="dxa"/>
              <w:right w:w="28" w:type="dxa"/>
            </w:tcMar>
            <w:vAlign w:val="center"/>
          </w:tcPr>
          <w:p w14:paraId="1185661E">
            <w:pPr>
              <w:pStyle w:val="11"/>
              <w:bidi w:val="0"/>
              <w:jc w:val="center"/>
              <w:rPr>
                <w:lang w:val="zh-CN"/>
              </w:rPr>
            </w:pPr>
            <w:r>
              <w:rPr>
                <w:lang w:val="zh-CN"/>
              </w:rPr>
              <w:t>25</w:t>
            </w:r>
          </w:p>
        </w:tc>
        <w:tc>
          <w:tcPr>
            <w:tcW w:w="227" w:type="pct"/>
            <w:shd w:val="clear" w:color="auto" w:fill="FFFFFF"/>
            <w:noWrap w:val="0"/>
            <w:tcMar>
              <w:top w:w="28" w:type="dxa"/>
              <w:left w:w="28" w:type="dxa"/>
              <w:bottom w:w="28" w:type="dxa"/>
              <w:right w:w="28" w:type="dxa"/>
            </w:tcMar>
            <w:vAlign w:val="center"/>
          </w:tcPr>
          <w:p w14:paraId="1CDE69AF">
            <w:pPr>
              <w:pStyle w:val="11"/>
              <w:bidi w:val="0"/>
              <w:jc w:val="center"/>
              <w:rPr>
                <w:lang w:val="zh-CN"/>
              </w:rPr>
            </w:pPr>
            <w:r>
              <w:rPr>
                <w:lang w:val="zh-CN"/>
              </w:rPr>
              <w:t>18</w:t>
            </w:r>
          </w:p>
        </w:tc>
        <w:tc>
          <w:tcPr>
            <w:tcW w:w="231" w:type="pct"/>
            <w:shd w:val="clear" w:color="auto" w:fill="FFFFFF"/>
            <w:noWrap w:val="0"/>
            <w:tcMar>
              <w:top w:w="28" w:type="dxa"/>
              <w:left w:w="28" w:type="dxa"/>
              <w:bottom w:w="28" w:type="dxa"/>
              <w:right w:w="28" w:type="dxa"/>
            </w:tcMar>
            <w:vAlign w:val="center"/>
          </w:tcPr>
          <w:p w14:paraId="499B2BB9">
            <w:pPr>
              <w:pStyle w:val="11"/>
              <w:bidi w:val="0"/>
              <w:jc w:val="center"/>
              <w:rPr>
                <w:rFonts w:hint="eastAsia"/>
                <w:lang w:val="zh-CN"/>
              </w:rPr>
            </w:pPr>
            <w:r>
              <w:rPr>
                <w:lang w:val="zh-CN"/>
              </w:rPr>
              <w:t>40</w:t>
            </w:r>
          </w:p>
        </w:tc>
      </w:tr>
    </w:tbl>
    <w:p w14:paraId="017B506C">
      <w:pPr>
        <w:bidi w:val="0"/>
        <w:ind w:left="0" w:leftChars="0" w:firstLine="0" w:firstLineChars="0"/>
        <w:jc w:val="center"/>
        <w:rPr>
          <w:rFonts w:hint="eastAsia"/>
          <w:b/>
          <w:bCs/>
          <w:lang w:val="zh-CN"/>
        </w:rPr>
      </w:pPr>
      <w:r>
        <w:rPr>
          <w:rFonts w:hint="eastAsia"/>
          <w:b/>
          <w:bCs/>
          <w:lang w:val="zh-CN"/>
        </w:rPr>
        <w:t>表6</w:t>
      </w:r>
      <w:r>
        <w:rPr>
          <w:rFonts w:hint="eastAsia"/>
          <w:b/>
          <w:bCs/>
          <w:lang w:val="en-US" w:eastAsia="zh-CN"/>
        </w:rPr>
        <w:t xml:space="preserve">  </w:t>
      </w:r>
      <w:r>
        <w:rPr>
          <w:rFonts w:hint="eastAsia"/>
          <w:b/>
          <w:bCs/>
          <w:lang w:val="zh-CN"/>
        </w:rPr>
        <w:t>南雄市小水电站基本表（2018年）</w:t>
      </w:r>
    </w:p>
    <w:p w14:paraId="7A953D93">
      <w:pPr>
        <w:bidi w:val="0"/>
        <w:jc w:val="right"/>
        <w:rPr>
          <w:rFonts w:hint="eastAsia"/>
          <w:lang w:val="zh-CN"/>
        </w:rPr>
      </w:pPr>
      <w:r>
        <w:rPr>
          <w:rFonts w:hint="eastAsia"/>
          <w:lang w:val="zh-CN"/>
        </w:rPr>
        <w:t>单位：装机容量千瓦、发电量万千瓦时</w:t>
      </w:r>
    </w:p>
    <w:tbl>
      <w:tblPr>
        <w:tblStyle w:val="7"/>
        <w:tblW w:w="0" w:type="auto"/>
        <w:tblInd w:w="28" w:type="dxa"/>
        <w:tblLayout w:type="fixed"/>
        <w:tblCellMar>
          <w:top w:w="0" w:type="dxa"/>
          <w:left w:w="0" w:type="dxa"/>
          <w:bottom w:w="0" w:type="dxa"/>
          <w:right w:w="0" w:type="dxa"/>
        </w:tblCellMar>
      </w:tblPr>
      <w:tblGrid>
        <w:gridCol w:w="619"/>
        <w:gridCol w:w="885"/>
        <w:gridCol w:w="885"/>
        <w:gridCol w:w="885"/>
        <w:gridCol w:w="959"/>
        <w:gridCol w:w="562"/>
        <w:gridCol w:w="1002"/>
        <w:gridCol w:w="1016"/>
        <w:gridCol w:w="780"/>
        <w:gridCol w:w="990"/>
        <w:gridCol w:w="885"/>
      </w:tblGrid>
      <w:tr w14:paraId="030850EB">
        <w:tblPrEx>
          <w:tblCellMar>
            <w:top w:w="0" w:type="dxa"/>
            <w:left w:w="0" w:type="dxa"/>
            <w:bottom w:w="0" w:type="dxa"/>
            <w:right w:w="0" w:type="dxa"/>
          </w:tblCellMar>
        </w:tblPrEx>
        <w:trPr>
          <w:trHeight w:val="283" w:hRule="atLeast"/>
          <w:tblHeader/>
        </w:trPr>
        <w:tc>
          <w:tcPr>
            <w:tcW w:w="619" w:type="dxa"/>
            <w:vMerge w:val="restar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D8D142A">
            <w:pPr>
              <w:pStyle w:val="11"/>
              <w:bidi w:val="0"/>
              <w:jc w:val="center"/>
              <w:rPr>
                <w:rFonts w:hint="eastAsia"/>
                <w:b/>
                <w:bCs/>
                <w:lang w:val="zh-CN"/>
              </w:rPr>
            </w:pPr>
            <w:r>
              <w:rPr>
                <w:rFonts w:hint="eastAsia"/>
                <w:b/>
                <w:bCs/>
                <w:lang w:val="zh-CN"/>
              </w:rPr>
              <w:t>年度</w:t>
            </w:r>
          </w:p>
        </w:tc>
        <w:tc>
          <w:tcPr>
            <w:tcW w:w="885" w:type="dxa"/>
            <w:vMerge w:val="restar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7ACA74A">
            <w:pPr>
              <w:pStyle w:val="11"/>
              <w:bidi w:val="0"/>
              <w:jc w:val="center"/>
              <w:rPr>
                <w:rFonts w:hint="eastAsia"/>
                <w:b/>
                <w:bCs/>
                <w:lang w:val="zh-CN"/>
              </w:rPr>
            </w:pPr>
            <w:r>
              <w:rPr>
                <w:rFonts w:hint="eastAsia"/>
                <w:b/>
                <w:bCs/>
                <w:lang w:val="zh-CN"/>
              </w:rPr>
              <w:t>年电站宗数</w:t>
            </w:r>
          </w:p>
        </w:tc>
        <w:tc>
          <w:tcPr>
            <w:tcW w:w="885" w:type="dxa"/>
            <w:vMerge w:val="restar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554666E">
            <w:pPr>
              <w:pStyle w:val="11"/>
              <w:bidi w:val="0"/>
              <w:jc w:val="center"/>
              <w:rPr>
                <w:rFonts w:hint="eastAsia"/>
                <w:b/>
                <w:bCs/>
                <w:lang w:val="zh-CN"/>
              </w:rPr>
            </w:pPr>
            <w:r>
              <w:rPr>
                <w:rFonts w:hint="eastAsia"/>
                <w:b/>
                <w:bCs/>
                <w:lang w:val="zh-CN"/>
              </w:rPr>
              <w:t>年装机容量</w:t>
            </w:r>
          </w:p>
        </w:tc>
        <w:tc>
          <w:tcPr>
            <w:tcW w:w="885" w:type="dxa"/>
            <w:vMerge w:val="restar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536AF6DF">
            <w:pPr>
              <w:pStyle w:val="11"/>
              <w:bidi w:val="0"/>
              <w:jc w:val="center"/>
              <w:rPr>
                <w:rFonts w:hint="eastAsia"/>
                <w:b/>
                <w:bCs/>
                <w:lang w:val="zh-CN"/>
              </w:rPr>
            </w:pPr>
            <w:r>
              <w:rPr>
                <w:rFonts w:hint="eastAsia"/>
                <w:b/>
                <w:bCs/>
                <w:lang w:val="zh-CN"/>
              </w:rPr>
              <w:t>年机组台数</w:t>
            </w:r>
          </w:p>
        </w:tc>
        <w:tc>
          <w:tcPr>
            <w:tcW w:w="959" w:type="dxa"/>
            <w:vMerge w:val="restar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F45D069">
            <w:pPr>
              <w:pStyle w:val="11"/>
              <w:bidi w:val="0"/>
              <w:jc w:val="center"/>
              <w:rPr>
                <w:rFonts w:hint="eastAsia"/>
                <w:b/>
                <w:bCs/>
                <w:lang w:val="zh-CN"/>
              </w:rPr>
            </w:pPr>
            <w:r>
              <w:rPr>
                <w:rFonts w:hint="eastAsia"/>
                <w:b/>
                <w:bCs/>
                <w:lang w:val="zh-CN"/>
              </w:rPr>
              <w:t>全年发电量</w:t>
            </w:r>
          </w:p>
        </w:tc>
        <w:tc>
          <w:tcPr>
            <w:tcW w:w="2580" w:type="dxa"/>
            <w:gridSpan w:val="3"/>
            <w:tcBorders>
              <w:top w:val="single" w:color="auto" w:sz="4" w:space="0"/>
              <w:left w:val="single" w:color="auto" w:sz="4" w:space="0"/>
              <w:bottom w:val="single" w:color="auto" w:sz="4" w:space="0"/>
              <w:right w:val="single" w:color="auto" w:sz="4" w:space="0"/>
            </w:tcBorders>
            <w:shd w:val="clear" w:color="auto" w:fill="FFFFFF"/>
            <w:noWrap w:val="0"/>
            <w:tcMar>
              <w:top w:w="57" w:type="dxa"/>
              <w:left w:w="28" w:type="dxa"/>
              <w:bottom w:w="57" w:type="dxa"/>
              <w:right w:w="28" w:type="dxa"/>
            </w:tcMar>
            <w:vAlign w:val="center"/>
          </w:tcPr>
          <w:p w14:paraId="732DC7F1">
            <w:pPr>
              <w:pStyle w:val="11"/>
              <w:bidi w:val="0"/>
              <w:jc w:val="center"/>
              <w:rPr>
                <w:rFonts w:hint="eastAsia"/>
                <w:b/>
                <w:bCs/>
                <w:lang w:val="zh-CN"/>
              </w:rPr>
            </w:pPr>
            <w:r>
              <w:rPr>
                <w:rFonts w:hint="eastAsia"/>
                <w:b/>
                <w:bCs/>
                <w:lang w:val="zh-CN"/>
              </w:rPr>
              <w:t>本年度新建电站</w:t>
            </w:r>
          </w:p>
        </w:tc>
        <w:tc>
          <w:tcPr>
            <w:tcW w:w="2655" w:type="dxa"/>
            <w:gridSpan w:val="3"/>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188B4D0E">
            <w:pPr>
              <w:pStyle w:val="11"/>
              <w:bidi w:val="0"/>
              <w:jc w:val="center"/>
              <w:rPr>
                <w:rFonts w:hint="eastAsia"/>
                <w:b/>
                <w:bCs/>
                <w:lang w:val="zh-CN"/>
              </w:rPr>
            </w:pPr>
            <w:r>
              <w:rPr>
                <w:rFonts w:hint="eastAsia"/>
                <w:b/>
                <w:bCs/>
                <w:lang w:val="zh-CN"/>
              </w:rPr>
              <w:t>本年度技改电站宗数</w:t>
            </w:r>
          </w:p>
        </w:tc>
      </w:tr>
      <w:tr w14:paraId="34388528">
        <w:tblPrEx>
          <w:tblCellMar>
            <w:top w:w="0" w:type="dxa"/>
            <w:left w:w="0" w:type="dxa"/>
            <w:bottom w:w="0" w:type="dxa"/>
            <w:right w:w="0" w:type="dxa"/>
          </w:tblCellMar>
        </w:tblPrEx>
        <w:trPr>
          <w:trHeight w:val="719" w:hRule="atLeast"/>
          <w:tblHeader/>
        </w:trPr>
        <w:tc>
          <w:tcPr>
            <w:tcW w:w="619" w:type="dxa"/>
            <w:vMerge w:val="continue"/>
            <w:tcBorders>
              <w:top w:val="single" w:color="auto" w:sz="4" w:space="0"/>
              <w:left w:val="nil"/>
              <w:bottom w:val="single" w:color="auto" w:sz="4" w:space="0"/>
              <w:right w:val="single" w:color="auto" w:sz="4" w:space="0"/>
            </w:tcBorders>
            <w:shd w:val="clear" w:color="auto" w:fill="FFFFFF"/>
            <w:noWrap w:val="0"/>
            <w:vAlign w:val="center"/>
          </w:tcPr>
          <w:p w14:paraId="109CBC5A">
            <w:pPr>
              <w:pStyle w:val="11"/>
              <w:bidi w:val="0"/>
              <w:jc w:val="center"/>
              <w:rPr>
                <w:rFonts w:hint="eastAsia"/>
                <w:b/>
                <w:bCs/>
              </w:rPr>
            </w:pPr>
          </w:p>
        </w:tc>
        <w:tc>
          <w:tcPr>
            <w:tcW w:w="885" w:type="dxa"/>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62687B29">
            <w:pPr>
              <w:pStyle w:val="11"/>
              <w:bidi w:val="0"/>
              <w:jc w:val="center"/>
              <w:rPr>
                <w:rFonts w:hint="eastAsia"/>
                <w:b/>
                <w:bCs/>
              </w:rPr>
            </w:pPr>
          </w:p>
        </w:tc>
        <w:tc>
          <w:tcPr>
            <w:tcW w:w="885" w:type="dxa"/>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5BA6E1CB">
            <w:pPr>
              <w:pStyle w:val="11"/>
              <w:bidi w:val="0"/>
              <w:jc w:val="center"/>
              <w:rPr>
                <w:rFonts w:hint="eastAsia"/>
                <w:b/>
                <w:bCs/>
              </w:rPr>
            </w:pPr>
          </w:p>
        </w:tc>
        <w:tc>
          <w:tcPr>
            <w:tcW w:w="885" w:type="dxa"/>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7ABBA8E7">
            <w:pPr>
              <w:pStyle w:val="11"/>
              <w:bidi w:val="0"/>
              <w:jc w:val="center"/>
              <w:rPr>
                <w:rFonts w:hint="eastAsia"/>
                <w:b/>
                <w:bCs/>
              </w:rPr>
            </w:pPr>
          </w:p>
        </w:tc>
        <w:tc>
          <w:tcPr>
            <w:tcW w:w="959" w:type="dxa"/>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167D476C">
            <w:pPr>
              <w:pStyle w:val="11"/>
              <w:bidi w:val="0"/>
              <w:jc w:val="center"/>
              <w:rPr>
                <w:rFonts w:hint="eastAsia"/>
                <w:b/>
                <w:bCs/>
              </w:rPr>
            </w:pPr>
          </w:p>
        </w:tc>
        <w:tc>
          <w:tcPr>
            <w:tcW w:w="562" w:type="dxa"/>
            <w:tcBorders>
              <w:top w:val="single" w:color="auto" w:sz="4" w:space="0"/>
              <w:left w:val="single" w:color="auto" w:sz="4" w:space="0"/>
              <w:bottom w:val="single" w:color="auto" w:sz="4" w:space="0"/>
              <w:right w:val="single" w:color="auto" w:sz="4" w:space="0"/>
            </w:tcBorders>
            <w:shd w:val="clear" w:color="auto" w:fill="FFFFFF"/>
            <w:noWrap w:val="0"/>
            <w:vAlign w:val="center"/>
          </w:tcPr>
          <w:p w14:paraId="21EA32E2">
            <w:pPr>
              <w:pStyle w:val="11"/>
              <w:bidi w:val="0"/>
              <w:jc w:val="center"/>
              <w:rPr>
                <w:rFonts w:hint="eastAsia"/>
                <w:b/>
                <w:bCs/>
                <w:lang w:val="zh-CN"/>
              </w:rPr>
            </w:pPr>
            <w:r>
              <w:rPr>
                <w:rFonts w:hint="eastAsia"/>
                <w:b/>
                <w:bCs/>
                <w:lang w:val="zh-CN"/>
              </w:rPr>
              <w:t>宗数</w:t>
            </w:r>
          </w:p>
        </w:tc>
        <w:tc>
          <w:tcPr>
            <w:tcW w:w="1002" w:type="dxa"/>
            <w:tcBorders>
              <w:top w:val="single" w:color="auto" w:sz="4" w:space="0"/>
              <w:left w:val="single" w:color="auto" w:sz="4" w:space="0"/>
              <w:bottom w:val="single" w:color="auto" w:sz="4" w:space="0"/>
              <w:right w:val="single" w:color="auto" w:sz="4" w:space="0"/>
            </w:tcBorders>
            <w:shd w:val="clear" w:color="auto" w:fill="FFFFFF"/>
            <w:noWrap w:val="0"/>
            <w:tcMar>
              <w:left w:w="28" w:type="dxa"/>
              <w:right w:w="28" w:type="dxa"/>
            </w:tcMar>
            <w:vAlign w:val="center"/>
          </w:tcPr>
          <w:p w14:paraId="6DFCC189">
            <w:pPr>
              <w:pStyle w:val="11"/>
              <w:bidi w:val="0"/>
              <w:jc w:val="center"/>
              <w:rPr>
                <w:rFonts w:hint="eastAsia"/>
                <w:b/>
                <w:bCs/>
                <w:lang w:val="zh-CN"/>
              </w:rPr>
            </w:pPr>
            <w:r>
              <w:rPr>
                <w:rFonts w:hint="eastAsia"/>
                <w:b/>
                <w:bCs/>
                <w:lang w:val="zh-CN"/>
              </w:rPr>
              <w:t>增加装机容量</w:t>
            </w:r>
          </w:p>
        </w:tc>
        <w:tc>
          <w:tcPr>
            <w:tcW w:w="1016" w:type="dxa"/>
            <w:tcBorders>
              <w:top w:val="single" w:color="auto" w:sz="4" w:space="0"/>
              <w:left w:val="single" w:color="auto" w:sz="4" w:space="0"/>
              <w:bottom w:val="single" w:color="auto" w:sz="4" w:space="0"/>
              <w:right w:val="single" w:color="auto" w:sz="4" w:space="0"/>
            </w:tcBorders>
            <w:shd w:val="clear" w:color="auto" w:fill="FFFFFF"/>
            <w:noWrap w:val="0"/>
            <w:tcMar>
              <w:left w:w="28" w:type="dxa"/>
              <w:right w:w="28" w:type="dxa"/>
            </w:tcMar>
            <w:vAlign w:val="center"/>
          </w:tcPr>
          <w:p w14:paraId="2C5C0DFB">
            <w:pPr>
              <w:pStyle w:val="11"/>
              <w:bidi w:val="0"/>
              <w:jc w:val="center"/>
              <w:rPr>
                <w:rFonts w:hint="eastAsia"/>
                <w:b/>
                <w:bCs/>
                <w:lang w:val="zh-CN"/>
              </w:rPr>
            </w:pPr>
            <w:r>
              <w:rPr>
                <w:rFonts w:hint="eastAsia"/>
                <w:b/>
                <w:bCs/>
                <w:lang w:val="zh-CN"/>
              </w:rPr>
              <w:t>增加机组台数</w:t>
            </w:r>
          </w:p>
        </w:tc>
        <w:tc>
          <w:tcPr>
            <w:tcW w:w="780" w:type="dxa"/>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9C580BF">
            <w:pPr>
              <w:pStyle w:val="11"/>
              <w:bidi w:val="0"/>
              <w:jc w:val="center"/>
              <w:rPr>
                <w:rFonts w:hint="eastAsia"/>
                <w:b/>
                <w:bCs/>
                <w:lang w:val="zh-CN"/>
              </w:rPr>
            </w:pPr>
            <w:r>
              <w:rPr>
                <w:rFonts w:hint="eastAsia"/>
                <w:b/>
                <w:bCs/>
                <w:lang w:val="zh-CN"/>
              </w:rPr>
              <w:t>宗数</w:t>
            </w:r>
          </w:p>
        </w:tc>
        <w:tc>
          <w:tcPr>
            <w:tcW w:w="990" w:type="dxa"/>
            <w:tcBorders>
              <w:top w:val="single" w:color="auto" w:sz="4" w:space="0"/>
              <w:left w:val="single" w:color="auto" w:sz="4" w:space="0"/>
              <w:bottom w:val="single" w:color="auto" w:sz="4" w:space="0"/>
              <w:right w:val="single" w:color="auto" w:sz="4" w:space="0"/>
            </w:tcBorders>
            <w:shd w:val="clear" w:color="auto" w:fill="FFFFFF"/>
            <w:noWrap w:val="0"/>
            <w:tcMar>
              <w:top w:w="113" w:type="dxa"/>
              <w:left w:w="28" w:type="dxa"/>
              <w:bottom w:w="113" w:type="dxa"/>
              <w:right w:w="28" w:type="dxa"/>
            </w:tcMar>
            <w:vAlign w:val="center"/>
          </w:tcPr>
          <w:p w14:paraId="1C5322BA">
            <w:pPr>
              <w:pStyle w:val="11"/>
              <w:bidi w:val="0"/>
              <w:jc w:val="center"/>
              <w:rPr>
                <w:rFonts w:hint="eastAsia"/>
                <w:b/>
                <w:bCs/>
                <w:lang w:val="zh-CN"/>
              </w:rPr>
            </w:pPr>
            <w:r>
              <w:rPr>
                <w:rFonts w:hint="eastAsia"/>
                <w:b/>
                <w:bCs/>
                <w:lang w:val="zh-CN"/>
              </w:rPr>
              <w:t>增加装机容量</w:t>
            </w:r>
          </w:p>
        </w:tc>
        <w:tc>
          <w:tcPr>
            <w:tcW w:w="885" w:type="dxa"/>
            <w:tcBorders>
              <w:top w:val="single" w:color="auto" w:sz="4" w:space="0"/>
              <w:left w:val="single" w:color="auto" w:sz="4" w:space="0"/>
              <w:bottom w:val="single" w:color="auto" w:sz="4" w:space="0"/>
              <w:right w:val="nil"/>
            </w:tcBorders>
            <w:shd w:val="clear" w:color="auto" w:fill="FFFFFF"/>
            <w:noWrap w:val="0"/>
            <w:tcMar>
              <w:left w:w="28" w:type="dxa"/>
              <w:right w:w="28" w:type="dxa"/>
            </w:tcMar>
            <w:vAlign w:val="center"/>
          </w:tcPr>
          <w:p w14:paraId="62388F62">
            <w:pPr>
              <w:pStyle w:val="11"/>
              <w:bidi w:val="0"/>
              <w:jc w:val="center"/>
              <w:rPr>
                <w:rFonts w:hint="eastAsia"/>
                <w:b/>
                <w:bCs/>
                <w:lang w:val="zh-CN"/>
              </w:rPr>
            </w:pPr>
            <w:r>
              <w:rPr>
                <w:rFonts w:hint="eastAsia"/>
                <w:b/>
                <w:bCs/>
                <w:lang w:val="zh-CN"/>
              </w:rPr>
              <w:t>增加机组台数</w:t>
            </w:r>
          </w:p>
        </w:tc>
      </w:tr>
      <w:tr w14:paraId="76751A52">
        <w:tblPrEx>
          <w:tblCellMar>
            <w:top w:w="0" w:type="dxa"/>
            <w:left w:w="0" w:type="dxa"/>
            <w:bottom w:w="0" w:type="dxa"/>
            <w:right w:w="0" w:type="dxa"/>
          </w:tblCellMar>
        </w:tblPrEx>
        <w:trPr>
          <w:trHeight w:val="561" w:hRule="atLeast"/>
        </w:trPr>
        <w:tc>
          <w:tcPr>
            <w:tcW w:w="619" w:type="dxa"/>
            <w:tcBorders>
              <w:top w:val="single" w:color="auto" w:sz="4" w:space="0"/>
              <w:left w:val="nil"/>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356E0E5A">
            <w:pPr>
              <w:pStyle w:val="11"/>
              <w:bidi w:val="0"/>
              <w:jc w:val="center"/>
              <w:rPr>
                <w:rFonts w:hint="eastAsia"/>
                <w:lang w:val="zh-CN"/>
              </w:rPr>
            </w:pPr>
            <w:r>
              <w:rPr>
                <w:rFonts w:hint="eastAsia"/>
                <w:lang w:val="zh-CN"/>
              </w:rPr>
              <w:t>2018</w:t>
            </w:r>
          </w:p>
        </w:tc>
        <w:tc>
          <w:tcPr>
            <w:tcW w:w="885" w:type="dxa"/>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76D67A63">
            <w:pPr>
              <w:pStyle w:val="11"/>
              <w:bidi w:val="0"/>
              <w:jc w:val="center"/>
              <w:rPr>
                <w:rFonts w:hint="eastAsia"/>
                <w:lang w:val="zh-CN"/>
              </w:rPr>
            </w:pPr>
            <w:r>
              <w:rPr>
                <w:rFonts w:hint="eastAsia"/>
                <w:lang w:val="zh-CN"/>
              </w:rPr>
              <w:t>187</w:t>
            </w:r>
          </w:p>
        </w:tc>
        <w:tc>
          <w:tcPr>
            <w:tcW w:w="885" w:type="dxa"/>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6B36C63A">
            <w:pPr>
              <w:pStyle w:val="11"/>
              <w:bidi w:val="0"/>
              <w:jc w:val="center"/>
              <w:rPr>
                <w:rFonts w:hint="eastAsia"/>
                <w:lang w:val="zh-CN"/>
              </w:rPr>
            </w:pPr>
            <w:r>
              <w:rPr>
                <w:rFonts w:hint="eastAsia"/>
                <w:lang w:val="zh-CN"/>
              </w:rPr>
              <w:t>90945</w:t>
            </w:r>
          </w:p>
        </w:tc>
        <w:tc>
          <w:tcPr>
            <w:tcW w:w="885" w:type="dxa"/>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584F1320">
            <w:pPr>
              <w:pStyle w:val="11"/>
              <w:bidi w:val="0"/>
              <w:jc w:val="center"/>
              <w:rPr>
                <w:rFonts w:hint="eastAsia"/>
                <w:lang w:val="zh-CN"/>
              </w:rPr>
            </w:pPr>
            <w:r>
              <w:rPr>
                <w:rFonts w:hint="eastAsia"/>
                <w:lang w:val="zh-CN"/>
              </w:rPr>
              <w:t>337</w:t>
            </w:r>
          </w:p>
        </w:tc>
        <w:tc>
          <w:tcPr>
            <w:tcW w:w="959" w:type="dxa"/>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7AB4A710">
            <w:pPr>
              <w:pStyle w:val="11"/>
              <w:bidi w:val="0"/>
              <w:jc w:val="center"/>
              <w:rPr>
                <w:rFonts w:hint="eastAsia"/>
                <w:lang w:val="zh-CN"/>
              </w:rPr>
            </w:pPr>
            <w:r>
              <w:rPr>
                <w:rFonts w:hint="eastAsia"/>
                <w:lang w:val="zh-CN"/>
              </w:rPr>
              <w:t>20969.69</w:t>
            </w:r>
          </w:p>
        </w:tc>
        <w:tc>
          <w:tcPr>
            <w:tcW w:w="562" w:type="dxa"/>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00F0EE2A">
            <w:pPr>
              <w:pStyle w:val="11"/>
              <w:bidi w:val="0"/>
              <w:jc w:val="center"/>
              <w:rPr>
                <w:rFonts w:hint="eastAsia"/>
                <w:lang w:val="zh-CN"/>
              </w:rPr>
            </w:pPr>
            <w:r>
              <w:rPr>
                <w:rFonts w:hint="eastAsia"/>
                <w:lang w:val="zh-CN"/>
              </w:rPr>
              <w:t>0</w:t>
            </w:r>
          </w:p>
        </w:tc>
        <w:tc>
          <w:tcPr>
            <w:tcW w:w="1002" w:type="dxa"/>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2A0A2C53">
            <w:pPr>
              <w:pStyle w:val="11"/>
              <w:bidi w:val="0"/>
              <w:jc w:val="center"/>
              <w:rPr>
                <w:rFonts w:hint="eastAsia"/>
                <w:lang w:val="zh-CN"/>
              </w:rPr>
            </w:pPr>
            <w:r>
              <w:rPr>
                <w:rFonts w:hint="eastAsia"/>
                <w:lang w:val="zh-CN"/>
              </w:rPr>
              <w:t>0</w:t>
            </w:r>
          </w:p>
        </w:tc>
        <w:tc>
          <w:tcPr>
            <w:tcW w:w="1016" w:type="dxa"/>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106DBFF9">
            <w:pPr>
              <w:pStyle w:val="11"/>
              <w:bidi w:val="0"/>
              <w:jc w:val="center"/>
              <w:rPr>
                <w:rFonts w:hint="eastAsia"/>
                <w:lang w:val="zh-CN"/>
              </w:rPr>
            </w:pPr>
            <w:r>
              <w:rPr>
                <w:rFonts w:hint="eastAsia"/>
                <w:lang w:val="zh-CN"/>
              </w:rPr>
              <w:t>0</w:t>
            </w:r>
          </w:p>
        </w:tc>
        <w:tc>
          <w:tcPr>
            <w:tcW w:w="780" w:type="dxa"/>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0EABF10C">
            <w:pPr>
              <w:pStyle w:val="11"/>
              <w:bidi w:val="0"/>
              <w:jc w:val="center"/>
              <w:rPr>
                <w:rFonts w:hint="eastAsia"/>
                <w:lang w:val="zh-CN"/>
              </w:rPr>
            </w:pPr>
            <w:r>
              <w:rPr>
                <w:rFonts w:hint="eastAsia"/>
                <w:lang w:val="zh-CN"/>
              </w:rPr>
              <w:t>0</w:t>
            </w:r>
          </w:p>
        </w:tc>
        <w:tc>
          <w:tcPr>
            <w:tcW w:w="990" w:type="dxa"/>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15E4F29D">
            <w:pPr>
              <w:pStyle w:val="11"/>
              <w:bidi w:val="0"/>
              <w:jc w:val="center"/>
              <w:rPr>
                <w:rFonts w:hint="eastAsia"/>
                <w:lang w:val="zh-CN"/>
              </w:rPr>
            </w:pPr>
            <w:r>
              <w:rPr>
                <w:rFonts w:hint="eastAsia"/>
                <w:lang w:val="zh-CN"/>
              </w:rPr>
              <w:t>0</w:t>
            </w:r>
          </w:p>
        </w:tc>
        <w:tc>
          <w:tcPr>
            <w:tcW w:w="885" w:type="dxa"/>
            <w:tcBorders>
              <w:top w:val="single" w:color="auto" w:sz="4" w:space="0"/>
              <w:left w:val="single" w:color="auto" w:sz="4" w:space="0"/>
              <w:bottom w:val="single" w:color="auto" w:sz="4" w:space="0"/>
              <w:right w:val="nil"/>
            </w:tcBorders>
            <w:shd w:val="clear" w:color="auto" w:fill="FFFFFF"/>
            <w:noWrap w:val="0"/>
            <w:tcMar>
              <w:top w:w="57" w:type="dxa"/>
              <w:left w:w="57" w:type="dxa"/>
              <w:bottom w:w="57" w:type="dxa"/>
              <w:right w:w="57" w:type="dxa"/>
            </w:tcMar>
            <w:vAlign w:val="center"/>
          </w:tcPr>
          <w:p w14:paraId="772875E0">
            <w:pPr>
              <w:pStyle w:val="11"/>
              <w:bidi w:val="0"/>
              <w:jc w:val="center"/>
              <w:rPr>
                <w:rFonts w:hint="eastAsia"/>
                <w:lang w:val="zh-CN"/>
              </w:rPr>
            </w:pPr>
            <w:r>
              <w:rPr>
                <w:rFonts w:hint="eastAsia"/>
                <w:lang w:val="zh-CN"/>
              </w:rPr>
              <w:t>0</w:t>
            </w:r>
          </w:p>
        </w:tc>
      </w:tr>
    </w:tbl>
    <w:p w14:paraId="034164DE">
      <w:pPr>
        <w:bidi w:val="0"/>
        <w:ind w:left="0" w:leftChars="0" w:firstLine="0" w:firstLineChars="0"/>
        <w:jc w:val="center"/>
        <w:rPr>
          <w:rFonts w:hint="eastAsia"/>
          <w:b/>
          <w:bCs/>
          <w:lang w:val="zh-CN"/>
        </w:rPr>
      </w:pPr>
      <w:r>
        <w:rPr>
          <w:rFonts w:hint="eastAsia"/>
          <w:b/>
          <w:bCs/>
          <w:lang w:val="zh-CN"/>
        </w:rPr>
        <w:t>表7</w:t>
      </w:r>
      <w:r>
        <w:rPr>
          <w:rFonts w:hint="eastAsia"/>
          <w:b/>
          <w:bCs/>
          <w:lang w:val="en-US" w:eastAsia="zh-CN"/>
        </w:rPr>
        <w:t xml:space="preserve">  </w:t>
      </w:r>
      <w:r>
        <w:rPr>
          <w:rFonts w:hint="eastAsia"/>
          <w:b/>
          <w:bCs/>
          <w:lang w:val="zh-CN"/>
        </w:rPr>
        <w:t>南雄市年降水量（2018年14宗重点水库平均数）</w:t>
      </w:r>
    </w:p>
    <w:p w14:paraId="67BF2F2C">
      <w:pPr>
        <w:bidi w:val="0"/>
        <w:jc w:val="right"/>
        <w:rPr>
          <w:rFonts w:hint="eastAsia"/>
          <w:lang w:val="zh-CN"/>
        </w:rPr>
      </w:pPr>
      <w:r>
        <w:rPr>
          <w:rFonts w:hint="eastAsia"/>
          <w:lang w:val="zh-CN"/>
        </w:rPr>
        <w:t>单位：装机容量千瓦、发电量万千瓦时</w:t>
      </w:r>
    </w:p>
    <w:tbl>
      <w:tblPr>
        <w:tblStyle w:val="7"/>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71"/>
        <w:gridCol w:w="1447"/>
        <w:gridCol w:w="1045"/>
        <w:gridCol w:w="806"/>
        <w:gridCol w:w="1380"/>
        <w:gridCol w:w="1382"/>
        <w:gridCol w:w="1382"/>
        <w:gridCol w:w="1383"/>
      </w:tblGrid>
      <w:tr w14:paraId="0347E7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blHeader/>
        </w:trPr>
        <w:tc>
          <w:tcPr>
            <w:tcW w:w="495" w:type="pct"/>
            <w:vMerge w:val="restart"/>
            <w:shd w:val="clear" w:color="auto" w:fill="FFFFFF"/>
            <w:noWrap w:val="0"/>
            <w:tcMar>
              <w:top w:w="28" w:type="dxa"/>
              <w:left w:w="28" w:type="dxa"/>
              <w:bottom w:w="28" w:type="dxa"/>
              <w:right w:w="28" w:type="dxa"/>
            </w:tcMar>
            <w:vAlign w:val="center"/>
          </w:tcPr>
          <w:p w14:paraId="1D832918">
            <w:pPr>
              <w:pStyle w:val="11"/>
              <w:bidi w:val="0"/>
              <w:jc w:val="center"/>
              <w:rPr>
                <w:rFonts w:hint="eastAsia"/>
                <w:b/>
                <w:bCs/>
                <w:lang w:val="zh-CN"/>
              </w:rPr>
            </w:pPr>
            <w:r>
              <w:rPr>
                <w:rFonts w:hint="eastAsia"/>
                <w:b/>
                <w:bCs/>
                <w:lang w:val="zh-CN"/>
              </w:rPr>
              <w:t>年度</w:t>
            </w:r>
          </w:p>
        </w:tc>
        <w:tc>
          <w:tcPr>
            <w:tcW w:w="738" w:type="pct"/>
            <w:vMerge w:val="restart"/>
            <w:shd w:val="clear" w:color="auto" w:fill="FFFFFF"/>
            <w:noWrap w:val="0"/>
            <w:tcMar>
              <w:top w:w="28" w:type="dxa"/>
              <w:left w:w="28" w:type="dxa"/>
              <w:bottom w:w="28" w:type="dxa"/>
              <w:right w:w="28" w:type="dxa"/>
            </w:tcMar>
            <w:vAlign w:val="center"/>
          </w:tcPr>
          <w:p w14:paraId="2476CDC3">
            <w:pPr>
              <w:pStyle w:val="11"/>
              <w:bidi w:val="0"/>
              <w:jc w:val="center"/>
              <w:rPr>
                <w:rFonts w:hint="eastAsia"/>
                <w:b/>
                <w:bCs/>
                <w:lang w:val="zh-CN"/>
              </w:rPr>
            </w:pPr>
            <w:r>
              <w:rPr>
                <w:rFonts w:hint="eastAsia"/>
                <w:b/>
                <w:bCs/>
                <w:lang w:val="zh-CN"/>
              </w:rPr>
              <w:t>计算面积（km2）</w:t>
            </w:r>
          </w:p>
        </w:tc>
        <w:tc>
          <w:tcPr>
            <w:tcW w:w="944" w:type="pct"/>
            <w:gridSpan w:val="2"/>
            <w:shd w:val="clear" w:color="auto" w:fill="FFFFFF"/>
            <w:noWrap w:val="0"/>
            <w:tcMar>
              <w:top w:w="28" w:type="dxa"/>
              <w:left w:w="28" w:type="dxa"/>
              <w:bottom w:w="28" w:type="dxa"/>
              <w:right w:w="28" w:type="dxa"/>
            </w:tcMar>
            <w:vAlign w:val="center"/>
          </w:tcPr>
          <w:p w14:paraId="49FFA0F8">
            <w:pPr>
              <w:pStyle w:val="11"/>
              <w:bidi w:val="0"/>
              <w:jc w:val="center"/>
              <w:rPr>
                <w:rFonts w:hint="eastAsia"/>
                <w:b/>
                <w:bCs/>
                <w:lang w:val="zh-CN"/>
              </w:rPr>
            </w:pPr>
            <w:r>
              <w:rPr>
                <w:rFonts w:hint="eastAsia"/>
                <w:b/>
                <w:bCs/>
                <w:lang w:val="zh-CN"/>
              </w:rPr>
              <w:t>年降水量</w:t>
            </w:r>
          </w:p>
        </w:tc>
        <w:tc>
          <w:tcPr>
            <w:tcW w:w="704" w:type="pct"/>
            <w:vMerge w:val="restart"/>
            <w:shd w:val="clear" w:color="auto" w:fill="FFFFFF"/>
            <w:noWrap w:val="0"/>
            <w:tcMar>
              <w:top w:w="28" w:type="dxa"/>
              <w:left w:w="28" w:type="dxa"/>
              <w:bottom w:w="28" w:type="dxa"/>
              <w:right w:w="28" w:type="dxa"/>
            </w:tcMar>
            <w:vAlign w:val="center"/>
          </w:tcPr>
          <w:p w14:paraId="511C8249">
            <w:pPr>
              <w:pStyle w:val="11"/>
              <w:bidi w:val="0"/>
              <w:jc w:val="center"/>
              <w:rPr>
                <w:rFonts w:hint="eastAsia"/>
                <w:b/>
                <w:bCs/>
                <w:lang w:val="zh-CN"/>
              </w:rPr>
            </w:pPr>
            <w:r>
              <w:rPr>
                <w:rFonts w:hint="eastAsia"/>
                <w:b/>
                <w:bCs/>
                <w:lang w:val="zh-CN"/>
              </w:rPr>
              <w:t>上年降水量（mm）</w:t>
            </w:r>
          </w:p>
        </w:tc>
        <w:tc>
          <w:tcPr>
            <w:tcW w:w="705" w:type="pct"/>
            <w:vMerge w:val="restart"/>
            <w:shd w:val="clear" w:color="auto" w:fill="FFFFFF"/>
            <w:noWrap w:val="0"/>
            <w:tcMar>
              <w:top w:w="28" w:type="dxa"/>
              <w:left w:w="28" w:type="dxa"/>
              <w:bottom w:w="28" w:type="dxa"/>
              <w:right w:w="28" w:type="dxa"/>
            </w:tcMar>
            <w:vAlign w:val="center"/>
          </w:tcPr>
          <w:p w14:paraId="1C963615">
            <w:pPr>
              <w:pStyle w:val="11"/>
              <w:bidi w:val="0"/>
              <w:jc w:val="center"/>
              <w:rPr>
                <w:rFonts w:hint="eastAsia"/>
                <w:b/>
                <w:bCs/>
                <w:lang w:val="zh-CN"/>
              </w:rPr>
            </w:pPr>
            <w:r>
              <w:rPr>
                <w:rFonts w:hint="eastAsia"/>
                <w:b/>
                <w:bCs/>
                <w:lang w:val="zh-CN"/>
              </w:rPr>
              <w:t>多年平均年降水量（mm）</w:t>
            </w:r>
          </w:p>
        </w:tc>
        <w:tc>
          <w:tcPr>
            <w:tcW w:w="705" w:type="pct"/>
            <w:vMerge w:val="restart"/>
            <w:shd w:val="clear" w:color="auto" w:fill="FFFFFF"/>
            <w:noWrap w:val="0"/>
            <w:tcMar>
              <w:top w:w="28" w:type="dxa"/>
              <w:left w:w="28" w:type="dxa"/>
              <w:bottom w:w="28" w:type="dxa"/>
              <w:right w:w="28" w:type="dxa"/>
            </w:tcMar>
            <w:vAlign w:val="center"/>
          </w:tcPr>
          <w:p w14:paraId="7FD25802">
            <w:pPr>
              <w:pStyle w:val="11"/>
              <w:bidi w:val="0"/>
              <w:jc w:val="center"/>
              <w:rPr>
                <w:rFonts w:hint="eastAsia"/>
                <w:b/>
                <w:bCs/>
                <w:lang w:val="zh-CN"/>
              </w:rPr>
            </w:pPr>
            <w:r>
              <w:rPr>
                <w:rFonts w:hint="eastAsia"/>
                <w:b/>
                <w:bCs/>
                <w:lang w:val="zh-CN"/>
              </w:rPr>
              <w:t>与上年比较（%）</w:t>
            </w:r>
          </w:p>
        </w:tc>
        <w:tc>
          <w:tcPr>
            <w:tcW w:w="705" w:type="pct"/>
            <w:vMerge w:val="restart"/>
            <w:shd w:val="clear" w:color="auto" w:fill="FFFFFF"/>
            <w:noWrap w:val="0"/>
            <w:tcMar>
              <w:top w:w="28" w:type="dxa"/>
              <w:left w:w="28" w:type="dxa"/>
              <w:bottom w:w="28" w:type="dxa"/>
              <w:right w:w="28" w:type="dxa"/>
            </w:tcMar>
            <w:vAlign w:val="center"/>
          </w:tcPr>
          <w:p w14:paraId="5868D593">
            <w:pPr>
              <w:pStyle w:val="11"/>
              <w:bidi w:val="0"/>
              <w:jc w:val="center"/>
              <w:rPr>
                <w:rFonts w:hint="eastAsia"/>
                <w:b/>
                <w:bCs/>
                <w:lang w:val="zh-CN"/>
              </w:rPr>
            </w:pPr>
            <w:r>
              <w:rPr>
                <w:rFonts w:hint="eastAsia"/>
                <w:b/>
                <w:bCs/>
                <w:lang w:val="zh-CN"/>
              </w:rPr>
              <w:t>与多年平均比较（%）</w:t>
            </w:r>
          </w:p>
        </w:tc>
      </w:tr>
      <w:tr w14:paraId="4FE97F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blHeader/>
        </w:trPr>
        <w:tc>
          <w:tcPr>
            <w:tcW w:w="495" w:type="pct"/>
            <w:vMerge w:val="continue"/>
            <w:shd w:val="clear" w:color="auto" w:fill="FFFFFF"/>
            <w:noWrap w:val="0"/>
            <w:vAlign w:val="center"/>
          </w:tcPr>
          <w:p w14:paraId="08C0632D">
            <w:pPr>
              <w:pStyle w:val="11"/>
              <w:bidi w:val="0"/>
              <w:jc w:val="center"/>
              <w:rPr>
                <w:rFonts w:hint="eastAsia"/>
              </w:rPr>
            </w:pPr>
          </w:p>
        </w:tc>
        <w:tc>
          <w:tcPr>
            <w:tcW w:w="738" w:type="pct"/>
            <w:vMerge w:val="continue"/>
            <w:shd w:val="clear" w:color="auto" w:fill="FFFFFF"/>
            <w:noWrap w:val="0"/>
            <w:vAlign w:val="center"/>
          </w:tcPr>
          <w:p w14:paraId="6591D20D">
            <w:pPr>
              <w:pStyle w:val="11"/>
              <w:bidi w:val="0"/>
              <w:jc w:val="center"/>
              <w:rPr>
                <w:rFonts w:hint="eastAsia"/>
              </w:rPr>
            </w:pPr>
          </w:p>
        </w:tc>
        <w:tc>
          <w:tcPr>
            <w:tcW w:w="533" w:type="pct"/>
            <w:shd w:val="clear" w:color="auto" w:fill="FFFFFF"/>
            <w:noWrap w:val="0"/>
            <w:tcMar>
              <w:top w:w="28" w:type="dxa"/>
              <w:left w:w="28" w:type="dxa"/>
              <w:bottom w:w="28" w:type="dxa"/>
              <w:right w:w="28" w:type="dxa"/>
            </w:tcMar>
            <w:vAlign w:val="center"/>
          </w:tcPr>
          <w:p w14:paraId="4E1674B9">
            <w:pPr>
              <w:pStyle w:val="11"/>
              <w:bidi w:val="0"/>
              <w:jc w:val="center"/>
              <w:rPr>
                <w:rFonts w:hint="eastAsia"/>
                <w:b/>
                <w:bCs/>
                <w:lang w:val="zh-CN"/>
              </w:rPr>
            </w:pPr>
            <w:r>
              <w:rPr>
                <w:rFonts w:hint="eastAsia"/>
                <w:b/>
                <w:bCs/>
                <w:lang w:val="zh-CN"/>
              </w:rPr>
              <w:t>毫米</w:t>
            </w:r>
          </w:p>
        </w:tc>
        <w:tc>
          <w:tcPr>
            <w:tcW w:w="410" w:type="pct"/>
            <w:shd w:val="clear" w:color="auto" w:fill="FFFFFF"/>
            <w:noWrap w:val="0"/>
            <w:tcMar>
              <w:top w:w="28" w:type="dxa"/>
              <w:left w:w="28" w:type="dxa"/>
              <w:bottom w:w="28" w:type="dxa"/>
              <w:right w:w="28" w:type="dxa"/>
            </w:tcMar>
            <w:vAlign w:val="center"/>
          </w:tcPr>
          <w:p w14:paraId="618CB9C1">
            <w:pPr>
              <w:pStyle w:val="11"/>
              <w:bidi w:val="0"/>
              <w:jc w:val="center"/>
              <w:rPr>
                <w:rFonts w:hint="eastAsia"/>
                <w:b/>
                <w:bCs/>
                <w:lang w:val="zh-CN"/>
              </w:rPr>
            </w:pPr>
            <w:r>
              <w:rPr>
                <w:rFonts w:hint="eastAsia"/>
                <w:b/>
                <w:bCs/>
                <w:lang w:val="zh-CN"/>
              </w:rPr>
              <w:t>亿m3</w:t>
            </w:r>
          </w:p>
        </w:tc>
        <w:tc>
          <w:tcPr>
            <w:tcW w:w="704" w:type="pct"/>
            <w:vMerge w:val="continue"/>
            <w:shd w:val="clear" w:color="auto" w:fill="FFFFFF"/>
            <w:noWrap w:val="0"/>
            <w:vAlign w:val="center"/>
          </w:tcPr>
          <w:p w14:paraId="432AF644">
            <w:pPr>
              <w:pStyle w:val="11"/>
              <w:bidi w:val="0"/>
              <w:jc w:val="center"/>
              <w:rPr>
                <w:rFonts w:hint="eastAsia"/>
              </w:rPr>
            </w:pPr>
          </w:p>
        </w:tc>
        <w:tc>
          <w:tcPr>
            <w:tcW w:w="705" w:type="pct"/>
            <w:vMerge w:val="continue"/>
            <w:shd w:val="clear" w:color="auto" w:fill="FFFFFF"/>
            <w:noWrap w:val="0"/>
            <w:vAlign w:val="center"/>
          </w:tcPr>
          <w:p w14:paraId="001622AD">
            <w:pPr>
              <w:pStyle w:val="11"/>
              <w:bidi w:val="0"/>
              <w:jc w:val="center"/>
              <w:rPr>
                <w:rFonts w:hint="eastAsia"/>
              </w:rPr>
            </w:pPr>
          </w:p>
        </w:tc>
        <w:tc>
          <w:tcPr>
            <w:tcW w:w="705" w:type="pct"/>
            <w:vMerge w:val="continue"/>
            <w:shd w:val="clear" w:color="auto" w:fill="FFFFFF"/>
            <w:noWrap w:val="0"/>
            <w:vAlign w:val="center"/>
          </w:tcPr>
          <w:p w14:paraId="771A0D88">
            <w:pPr>
              <w:pStyle w:val="11"/>
              <w:bidi w:val="0"/>
              <w:jc w:val="center"/>
              <w:rPr>
                <w:rFonts w:hint="eastAsia"/>
              </w:rPr>
            </w:pPr>
          </w:p>
        </w:tc>
        <w:tc>
          <w:tcPr>
            <w:tcW w:w="705" w:type="pct"/>
            <w:vMerge w:val="continue"/>
            <w:shd w:val="clear" w:color="auto" w:fill="FFFFFF"/>
            <w:noWrap w:val="0"/>
            <w:vAlign w:val="center"/>
          </w:tcPr>
          <w:p w14:paraId="1FA76697">
            <w:pPr>
              <w:pStyle w:val="11"/>
              <w:bidi w:val="0"/>
              <w:jc w:val="center"/>
              <w:rPr>
                <w:rFonts w:hint="eastAsia"/>
              </w:rPr>
            </w:pPr>
          </w:p>
        </w:tc>
      </w:tr>
      <w:tr w14:paraId="798EF9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4" w:hRule="atLeast"/>
        </w:trPr>
        <w:tc>
          <w:tcPr>
            <w:tcW w:w="495" w:type="pct"/>
            <w:shd w:val="clear" w:color="auto" w:fill="FFFFFF"/>
            <w:noWrap w:val="0"/>
            <w:tcMar>
              <w:top w:w="57" w:type="dxa"/>
              <w:left w:w="57" w:type="dxa"/>
              <w:bottom w:w="57" w:type="dxa"/>
              <w:right w:w="57" w:type="dxa"/>
            </w:tcMar>
            <w:vAlign w:val="center"/>
          </w:tcPr>
          <w:p w14:paraId="664A1B22">
            <w:pPr>
              <w:pStyle w:val="11"/>
              <w:bidi w:val="0"/>
              <w:jc w:val="center"/>
              <w:rPr>
                <w:rFonts w:hint="eastAsia"/>
                <w:lang w:val="zh-CN"/>
              </w:rPr>
            </w:pPr>
            <w:r>
              <w:rPr>
                <w:rFonts w:hint="eastAsia"/>
                <w:lang w:val="zh-CN"/>
              </w:rPr>
              <w:t>2018</w:t>
            </w:r>
          </w:p>
        </w:tc>
        <w:tc>
          <w:tcPr>
            <w:tcW w:w="738" w:type="pct"/>
            <w:shd w:val="clear" w:color="auto" w:fill="FFFFFF"/>
            <w:noWrap w:val="0"/>
            <w:tcMar>
              <w:top w:w="57" w:type="dxa"/>
              <w:left w:w="57" w:type="dxa"/>
              <w:bottom w:w="57" w:type="dxa"/>
              <w:right w:w="57" w:type="dxa"/>
            </w:tcMar>
            <w:vAlign w:val="center"/>
          </w:tcPr>
          <w:p w14:paraId="4164B160">
            <w:pPr>
              <w:pStyle w:val="11"/>
              <w:bidi w:val="0"/>
              <w:jc w:val="center"/>
              <w:rPr>
                <w:rFonts w:hint="eastAsia"/>
                <w:lang w:val="zh-CN"/>
              </w:rPr>
            </w:pPr>
            <w:r>
              <w:rPr>
                <w:rFonts w:hint="eastAsia"/>
                <w:lang w:val="zh-CN"/>
              </w:rPr>
              <w:t>2361</w:t>
            </w:r>
          </w:p>
        </w:tc>
        <w:tc>
          <w:tcPr>
            <w:tcW w:w="533" w:type="pct"/>
            <w:shd w:val="clear" w:color="auto" w:fill="FFFFFF"/>
            <w:noWrap w:val="0"/>
            <w:tcMar>
              <w:top w:w="57" w:type="dxa"/>
              <w:left w:w="57" w:type="dxa"/>
              <w:bottom w:w="57" w:type="dxa"/>
              <w:right w:w="57" w:type="dxa"/>
            </w:tcMar>
            <w:vAlign w:val="center"/>
          </w:tcPr>
          <w:p w14:paraId="2BF345BC">
            <w:pPr>
              <w:pStyle w:val="11"/>
              <w:bidi w:val="0"/>
              <w:jc w:val="center"/>
              <w:rPr>
                <w:rFonts w:hint="eastAsia"/>
                <w:lang w:val="zh-CN"/>
              </w:rPr>
            </w:pPr>
            <w:r>
              <w:rPr>
                <w:rFonts w:hint="eastAsia"/>
                <w:lang w:val="zh-CN"/>
              </w:rPr>
              <w:t>1263.6</w:t>
            </w:r>
          </w:p>
        </w:tc>
        <w:tc>
          <w:tcPr>
            <w:tcW w:w="410" w:type="pct"/>
            <w:shd w:val="clear" w:color="auto" w:fill="FFFFFF"/>
            <w:noWrap w:val="0"/>
            <w:tcMar>
              <w:top w:w="57" w:type="dxa"/>
              <w:left w:w="57" w:type="dxa"/>
              <w:bottom w:w="57" w:type="dxa"/>
              <w:right w:w="57" w:type="dxa"/>
            </w:tcMar>
            <w:vAlign w:val="center"/>
          </w:tcPr>
          <w:p w14:paraId="65D5E715">
            <w:pPr>
              <w:pStyle w:val="11"/>
              <w:bidi w:val="0"/>
              <w:jc w:val="center"/>
              <w:rPr>
                <w:rFonts w:hint="eastAsia"/>
                <w:lang w:val="zh-CN"/>
              </w:rPr>
            </w:pPr>
            <w:r>
              <w:rPr>
                <w:rFonts w:hint="eastAsia"/>
                <w:lang w:val="zh-CN"/>
              </w:rPr>
              <w:t>29.26</w:t>
            </w:r>
          </w:p>
        </w:tc>
        <w:tc>
          <w:tcPr>
            <w:tcW w:w="704" w:type="pct"/>
            <w:shd w:val="clear" w:color="auto" w:fill="FFFFFF"/>
            <w:noWrap w:val="0"/>
            <w:tcMar>
              <w:top w:w="57" w:type="dxa"/>
              <w:left w:w="57" w:type="dxa"/>
              <w:bottom w:w="57" w:type="dxa"/>
              <w:right w:w="57" w:type="dxa"/>
            </w:tcMar>
            <w:vAlign w:val="center"/>
          </w:tcPr>
          <w:p w14:paraId="70E32800">
            <w:pPr>
              <w:pStyle w:val="11"/>
              <w:bidi w:val="0"/>
              <w:jc w:val="center"/>
              <w:rPr>
                <w:rFonts w:hint="eastAsia"/>
                <w:lang w:val="zh-CN"/>
              </w:rPr>
            </w:pPr>
            <w:r>
              <w:rPr>
                <w:rFonts w:hint="eastAsia"/>
                <w:lang w:val="zh-CN"/>
              </w:rPr>
              <w:t>1239.4</w:t>
            </w:r>
          </w:p>
        </w:tc>
        <w:tc>
          <w:tcPr>
            <w:tcW w:w="705" w:type="pct"/>
            <w:shd w:val="clear" w:color="auto" w:fill="FFFFFF"/>
            <w:noWrap w:val="0"/>
            <w:tcMar>
              <w:top w:w="57" w:type="dxa"/>
              <w:left w:w="57" w:type="dxa"/>
              <w:bottom w:w="57" w:type="dxa"/>
              <w:right w:w="57" w:type="dxa"/>
            </w:tcMar>
            <w:vAlign w:val="center"/>
          </w:tcPr>
          <w:p w14:paraId="517C7744">
            <w:pPr>
              <w:pStyle w:val="11"/>
              <w:bidi w:val="0"/>
              <w:jc w:val="center"/>
              <w:rPr>
                <w:rFonts w:hint="eastAsia"/>
                <w:lang w:val="zh-CN"/>
              </w:rPr>
            </w:pPr>
            <w:r>
              <w:rPr>
                <w:rFonts w:hint="eastAsia"/>
                <w:lang w:val="zh-CN"/>
              </w:rPr>
              <w:t>1251.6</w:t>
            </w:r>
          </w:p>
        </w:tc>
        <w:tc>
          <w:tcPr>
            <w:tcW w:w="705" w:type="pct"/>
            <w:shd w:val="clear" w:color="auto" w:fill="FFFFFF"/>
            <w:noWrap w:val="0"/>
            <w:tcMar>
              <w:top w:w="57" w:type="dxa"/>
              <w:left w:w="57" w:type="dxa"/>
              <w:bottom w:w="57" w:type="dxa"/>
              <w:right w:w="57" w:type="dxa"/>
            </w:tcMar>
            <w:vAlign w:val="center"/>
          </w:tcPr>
          <w:p w14:paraId="6B9A04AC">
            <w:pPr>
              <w:pStyle w:val="11"/>
              <w:bidi w:val="0"/>
              <w:jc w:val="center"/>
              <w:rPr>
                <w:rFonts w:hint="eastAsia"/>
                <w:lang w:val="zh-CN"/>
              </w:rPr>
            </w:pPr>
            <w:r>
              <w:rPr>
                <w:rFonts w:hint="eastAsia"/>
                <w:lang w:val="zh-CN"/>
              </w:rPr>
              <w:t>2</w:t>
            </w:r>
          </w:p>
        </w:tc>
        <w:tc>
          <w:tcPr>
            <w:tcW w:w="705" w:type="pct"/>
            <w:shd w:val="clear" w:color="auto" w:fill="FFFFFF"/>
            <w:noWrap w:val="0"/>
            <w:tcMar>
              <w:top w:w="57" w:type="dxa"/>
              <w:left w:w="57" w:type="dxa"/>
              <w:bottom w:w="57" w:type="dxa"/>
              <w:right w:w="57" w:type="dxa"/>
            </w:tcMar>
            <w:vAlign w:val="center"/>
          </w:tcPr>
          <w:p w14:paraId="3ACC9DD3">
            <w:pPr>
              <w:pStyle w:val="11"/>
              <w:bidi w:val="0"/>
              <w:jc w:val="center"/>
              <w:rPr>
                <w:rFonts w:hint="eastAsia"/>
                <w:lang w:val="zh-CN"/>
              </w:rPr>
            </w:pPr>
            <w:r>
              <w:rPr>
                <w:rFonts w:hint="eastAsia"/>
                <w:lang w:val="zh-CN"/>
              </w:rPr>
              <w:t>1</w:t>
            </w:r>
          </w:p>
        </w:tc>
      </w:tr>
    </w:tbl>
    <w:p w14:paraId="3AED9A5A">
      <w:pPr>
        <w:bidi w:val="0"/>
        <w:ind w:left="0" w:leftChars="0" w:firstLine="0" w:firstLineChars="0"/>
        <w:jc w:val="center"/>
        <w:rPr>
          <w:rFonts w:hint="eastAsia"/>
          <w:b/>
          <w:bCs/>
          <w:lang w:val="zh-CN"/>
        </w:rPr>
      </w:pPr>
      <w:r>
        <w:rPr>
          <w:rFonts w:hint="eastAsia"/>
          <w:b/>
          <w:bCs/>
          <w:lang w:val="zh-CN"/>
        </w:rPr>
        <w:t>表8</w:t>
      </w:r>
      <w:r>
        <w:rPr>
          <w:rFonts w:hint="eastAsia"/>
          <w:b/>
          <w:bCs/>
          <w:lang w:val="en-US" w:eastAsia="zh-CN"/>
        </w:rPr>
        <w:t xml:space="preserve">  </w:t>
      </w:r>
      <w:r>
        <w:rPr>
          <w:rFonts w:hint="eastAsia"/>
          <w:b/>
          <w:bCs/>
          <w:lang w:val="zh-CN"/>
        </w:rPr>
        <w:t>南雄市地表水资源量（2018年）</w:t>
      </w:r>
    </w:p>
    <w:tbl>
      <w:tblPr>
        <w:tblStyle w:val="7"/>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415"/>
        <w:gridCol w:w="2403"/>
        <w:gridCol w:w="3530"/>
        <w:gridCol w:w="2450"/>
      </w:tblGrid>
      <w:tr w14:paraId="366D64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blHeader/>
        </w:trPr>
        <w:tc>
          <w:tcPr>
            <w:tcW w:w="722" w:type="pct"/>
            <w:shd w:val="clear" w:color="auto" w:fill="FFFFFF"/>
            <w:noWrap w:val="0"/>
            <w:tcMar>
              <w:top w:w="28" w:type="dxa"/>
              <w:left w:w="28" w:type="dxa"/>
              <w:bottom w:w="28" w:type="dxa"/>
              <w:right w:w="28" w:type="dxa"/>
            </w:tcMar>
            <w:vAlign w:val="center"/>
          </w:tcPr>
          <w:p w14:paraId="777D3B98">
            <w:pPr>
              <w:pStyle w:val="11"/>
              <w:bidi w:val="0"/>
              <w:jc w:val="center"/>
              <w:rPr>
                <w:rFonts w:hint="eastAsia"/>
                <w:b/>
                <w:bCs/>
                <w:lang w:val="zh-CN"/>
              </w:rPr>
            </w:pPr>
            <w:r>
              <w:rPr>
                <w:rFonts w:hint="eastAsia"/>
                <w:b/>
                <w:bCs/>
                <w:lang w:val="zh-CN"/>
              </w:rPr>
              <w:t>年度</w:t>
            </w:r>
          </w:p>
        </w:tc>
        <w:tc>
          <w:tcPr>
            <w:tcW w:w="1226" w:type="pct"/>
            <w:shd w:val="clear" w:color="auto" w:fill="FFFFFF"/>
            <w:noWrap w:val="0"/>
            <w:tcMar>
              <w:top w:w="28" w:type="dxa"/>
              <w:left w:w="28" w:type="dxa"/>
              <w:bottom w:w="28" w:type="dxa"/>
              <w:right w:w="28" w:type="dxa"/>
            </w:tcMar>
            <w:vAlign w:val="center"/>
          </w:tcPr>
          <w:p w14:paraId="5B4E6354">
            <w:pPr>
              <w:pStyle w:val="11"/>
              <w:bidi w:val="0"/>
              <w:jc w:val="center"/>
              <w:rPr>
                <w:rFonts w:hint="eastAsia"/>
                <w:b/>
                <w:bCs/>
                <w:lang w:val="zh-CN"/>
              </w:rPr>
            </w:pPr>
            <w:r>
              <w:rPr>
                <w:rFonts w:hint="eastAsia"/>
                <w:b/>
                <w:bCs/>
                <w:lang w:val="zh-CN"/>
              </w:rPr>
              <w:t>地表水资源量（亿立方米）</w:t>
            </w:r>
          </w:p>
        </w:tc>
        <w:tc>
          <w:tcPr>
            <w:tcW w:w="1801" w:type="pct"/>
            <w:shd w:val="clear" w:color="auto" w:fill="FFFFFF"/>
            <w:noWrap w:val="0"/>
            <w:tcMar>
              <w:top w:w="28" w:type="dxa"/>
              <w:left w:w="28" w:type="dxa"/>
              <w:bottom w:w="28" w:type="dxa"/>
              <w:right w:w="28" w:type="dxa"/>
            </w:tcMar>
            <w:vAlign w:val="center"/>
          </w:tcPr>
          <w:p w14:paraId="5A5F99E8">
            <w:pPr>
              <w:pStyle w:val="11"/>
              <w:bidi w:val="0"/>
              <w:jc w:val="center"/>
              <w:rPr>
                <w:rFonts w:hint="eastAsia"/>
                <w:b/>
                <w:bCs/>
                <w:lang w:val="zh-CN"/>
              </w:rPr>
            </w:pPr>
            <w:r>
              <w:rPr>
                <w:rFonts w:hint="eastAsia"/>
                <w:b/>
                <w:bCs/>
                <w:lang w:val="zh-CN"/>
              </w:rPr>
              <w:t>多年平均地表水资源量（亿立方米）</w:t>
            </w:r>
          </w:p>
        </w:tc>
        <w:tc>
          <w:tcPr>
            <w:tcW w:w="1250" w:type="pct"/>
            <w:shd w:val="clear" w:color="auto" w:fill="FFFFFF"/>
            <w:noWrap w:val="0"/>
            <w:tcMar>
              <w:top w:w="28" w:type="dxa"/>
              <w:left w:w="28" w:type="dxa"/>
              <w:bottom w:w="28" w:type="dxa"/>
              <w:right w:w="28" w:type="dxa"/>
            </w:tcMar>
            <w:vAlign w:val="center"/>
          </w:tcPr>
          <w:p w14:paraId="496D334C">
            <w:pPr>
              <w:pStyle w:val="11"/>
              <w:bidi w:val="0"/>
              <w:jc w:val="center"/>
              <w:rPr>
                <w:rFonts w:hint="eastAsia"/>
                <w:b/>
                <w:bCs/>
                <w:lang w:val="zh-CN"/>
              </w:rPr>
            </w:pPr>
            <w:r>
              <w:rPr>
                <w:rFonts w:hint="eastAsia"/>
                <w:b/>
                <w:bCs/>
                <w:lang w:val="zh-CN"/>
              </w:rPr>
              <w:t>与多年均值比较（%）</w:t>
            </w:r>
          </w:p>
        </w:tc>
      </w:tr>
      <w:tr w14:paraId="1B2F19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5" w:hRule="atLeast"/>
        </w:trPr>
        <w:tc>
          <w:tcPr>
            <w:tcW w:w="722" w:type="pct"/>
            <w:shd w:val="clear" w:color="auto" w:fill="FFFFFF"/>
            <w:noWrap w:val="0"/>
            <w:tcMar>
              <w:top w:w="28" w:type="dxa"/>
              <w:left w:w="28" w:type="dxa"/>
              <w:bottom w:w="28" w:type="dxa"/>
              <w:right w:w="28" w:type="dxa"/>
            </w:tcMar>
            <w:vAlign w:val="center"/>
          </w:tcPr>
          <w:p w14:paraId="06217208">
            <w:pPr>
              <w:pStyle w:val="11"/>
              <w:bidi w:val="0"/>
              <w:jc w:val="center"/>
              <w:rPr>
                <w:rFonts w:hint="eastAsia"/>
                <w:lang w:val="zh-CN"/>
              </w:rPr>
            </w:pPr>
            <w:r>
              <w:rPr>
                <w:rFonts w:hint="eastAsia"/>
                <w:lang w:val="zh-CN"/>
              </w:rPr>
              <w:t>2018</w:t>
            </w:r>
          </w:p>
        </w:tc>
        <w:tc>
          <w:tcPr>
            <w:tcW w:w="1226" w:type="pct"/>
            <w:shd w:val="clear" w:color="auto" w:fill="FFFFFF"/>
            <w:noWrap w:val="0"/>
            <w:tcMar>
              <w:top w:w="28" w:type="dxa"/>
              <w:left w:w="28" w:type="dxa"/>
              <w:bottom w:w="28" w:type="dxa"/>
              <w:right w:w="28" w:type="dxa"/>
            </w:tcMar>
            <w:vAlign w:val="center"/>
          </w:tcPr>
          <w:p w14:paraId="758EDB76">
            <w:pPr>
              <w:pStyle w:val="11"/>
              <w:bidi w:val="0"/>
              <w:jc w:val="center"/>
              <w:rPr>
                <w:rFonts w:hint="eastAsia"/>
                <w:lang w:val="zh-CN"/>
              </w:rPr>
            </w:pPr>
            <w:r>
              <w:rPr>
                <w:rFonts w:hint="eastAsia"/>
                <w:lang w:val="zh-CN"/>
              </w:rPr>
              <w:t>18.51</w:t>
            </w:r>
          </w:p>
        </w:tc>
        <w:tc>
          <w:tcPr>
            <w:tcW w:w="1801" w:type="pct"/>
            <w:shd w:val="clear" w:color="auto" w:fill="FFFFFF"/>
            <w:noWrap w:val="0"/>
            <w:tcMar>
              <w:top w:w="28" w:type="dxa"/>
              <w:left w:w="28" w:type="dxa"/>
              <w:bottom w:w="28" w:type="dxa"/>
              <w:right w:w="28" w:type="dxa"/>
            </w:tcMar>
            <w:vAlign w:val="center"/>
          </w:tcPr>
          <w:p w14:paraId="672D3495">
            <w:pPr>
              <w:pStyle w:val="11"/>
              <w:bidi w:val="0"/>
              <w:jc w:val="center"/>
              <w:rPr>
                <w:rFonts w:hint="eastAsia"/>
                <w:lang w:val="zh-CN"/>
              </w:rPr>
            </w:pPr>
            <w:r>
              <w:rPr>
                <w:rFonts w:hint="eastAsia"/>
                <w:lang w:val="zh-CN"/>
              </w:rPr>
              <w:t>18.73</w:t>
            </w:r>
          </w:p>
        </w:tc>
        <w:tc>
          <w:tcPr>
            <w:tcW w:w="1250" w:type="pct"/>
            <w:shd w:val="clear" w:color="auto" w:fill="FFFFFF"/>
            <w:noWrap w:val="0"/>
            <w:tcMar>
              <w:top w:w="28" w:type="dxa"/>
              <w:left w:w="28" w:type="dxa"/>
              <w:bottom w:w="28" w:type="dxa"/>
              <w:right w:w="28" w:type="dxa"/>
            </w:tcMar>
            <w:vAlign w:val="center"/>
          </w:tcPr>
          <w:p w14:paraId="0493F56B">
            <w:pPr>
              <w:pStyle w:val="11"/>
              <w:bidi w:val="0"/>
              <w:jc w:val="center"/>
              <w:rPr>
                <w:rFonts w:hint="eastAsia"/>
                <w:lang w:val="zh-CN"/>
              </w:rPr>
            </w:pPr>
            <w:r>
              <w:rPr>
                <w:rFonts w:hint="eastAsia"/>
                <w:lang w:val="zh-CN"/>
              </w:rPr>
              <w:t>-1.2</w:t>
            </w:r>
          </w:p>
        </w:tc>
      </w:tr>
    </w:tbl>
    <w:p w14:paraId="5F63E1F4">
      <w:pPr>
        <w:bidi w:val="0"/>
        <w:ind w:left="0" w:leftChars="0" w:firstLine="0" w:firstLineChars="0"/>
        <w:jc w:val="center"/>
        <w:rPr>
          <w:rFonts w:hint="eastAsia"/>
          <w:b/>
          <w:bCs/>
          <w:lang w:val="zh-CN"/>
        </w:rPr>
      </w:pPr>
      <w:r>
        <w:rPr>
          <w:rFonts w:hint="eastAsia"/>
          <w:b/>
          <w:bCs/>
          <w:lang w:val="zh-CN"/>
        </w:rPr>
        <w:t>表9</w:t>
      </w:r>
      <w:r>
        <w:rPr>
          <w:rFonts w:hint="eastAsia"/>
          <w:b/>
          <w:bCs/>
          <w:lang w:val="en-US" w:eastAsia="zh-CN"/>
        </w:rPr>
        <w:t xml:space="preserve">  </w:t>
      </w:r>
      <w:r>
        <w:rPr>
          <w:rFonts w:hint="eastAsia"/>
          <w:b/>
          <w:bCs/>
          <w:lang w:val="zh-CN"/>
        </w:rPr>
        <w:t>南雄市地下水资源量（2018年）</w:t>
      </w:r>
    </w:p>
    <w:tbl>
      <w:tblPr>
        <w:tblStyle w:val="7"/>
        <w:tblW w:w="4998" w:type="pct"/>
        <w:tblInd w:w="0" w:type="dxa"/>
        <w:tblLayout w:type="autofit"/>
        <w:tblCellMar>
          <w:top w:w="0" w:type="dxa"/>
          <w:left w:w="0" w:type="dxa"/>
          <w:bottom w:w="0" w:type="dxa"/>
          <w:right w:w="0" w:type="dxa"/>
        </w:tblCellMar>
      </w:tblPr>
      <w:tblGrid>
        <w:gridCol w:w="1415"/>
        <w:gridCol w:w="2403"/>
        <w:gridCol w:w="3530"/>
        <w:gridCol w:w="2450"/>
      </w:tblGrid>
      <w:tr w14:paraId="160EEF13">
        <w:tblPrEx>
          <w:tblCellMar>
            <w:top w:w="0" w:type="dxa"/>
            <w:left w:w="0" w:type="dxa"/>
            <w:bottom w:w="0" w:type="dxa"/>
            <w:right w:w="0" w:type="dxa"/>
          </w:tblCellMar>
        </w:tblPrEx>
        <w:trPr>
          <w:trHeight w:val="396" w:hRule="atLeast"/>
          <w:tblHeader/>
        </w:trPr>
        <w:tc>
          <w:tcPr>
            <w:tcW w:w="722"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6437CEC">
            <w:pPr>
              <w:pStyle w:val="11"/>
              <w:bidi w:val="0"/>
              <w:jc w:val="center"/>
              <w:rPr>
                <w:rFonts w:hint="eastAsia"/>
                <w:b/>
                <w:bCs/>
                <w:lang w:val="zh-CN"/>
              </w:rPr>
            </w:pPr>
            <w:r>
              <w:rPr>
                <w:rFonts w:hint="eastAsia"/>
                <w:b/>
                <w:bCs/>
                <w:lang w:val="zh-CN"/>
              </w:rPr>
              <w:t>年度</w:t>
            </w:r>
          </w:p>
        </w:tc>
        <w:tc>
          <w:tcPr>
            <w:tcW w:w="1226"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1086D69">
            <w:pPr>
              <w:pStyle w:val="11"/>
              <w:bidi w:val="0"/>
              <w:jc w:val="center"/>
              <w:rPr>
                <w:rFonts w:hint="eastAsia"/>
                <w:b/>
                <w:bCs/>
                <w:lang w:val="zh-CN"/>
              </w:rPr>
            </w:pPr>
            <w:r>
              <w:rPr>
                <w:rFonts w:hint="eastAsia"/>
                <w:b/>
                <w:bCs/>
                <w:lang w:val="zh-CN"/>
              </w:rPr>
              <w:t>地下水资源量（亿立方米）</w:t>
            </w:r>
          </w:p>
        </w:tc>
        <w:tc>
          <w:tcPr>
            <w:tcW w:w="1801"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4D32A4F">
            <w:pPr>
              <w:pStyle w:val="11"/>
              <w:bidi w:val="0"/>
              <w:jc w:val="center"/>
              <w:rPr>
                <w:rFonts w:hint="eastAsia"/>
                <w:b/>
                <w:bCs/>
                <w:lang w:val="zh-CN"/>
              </w:rPr>
            </w:pPr>
            <w:r>
              <w:rPr>
                <w:rFonts w:hint="eastAsia"/>
                <w:b/>
                <w:bCs/>
                <w:lang w:val="zh-CN"/>
              </w:rPr>
              <w:t>多年平均地下水资源量（亿立方米）</w:t>
            </w:r>
          </w:p>
        </w:tc>
        <w:tc>
          <w:tcPr>
            <w:tcW w:w="1250"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25A73C3D">
            <w:pPr>
              <w:pStyle w:val="11"/>
              <w:bidi w:val="0"/>
              <w:jc w:val="center"/>
              <w:rPr>
                <w:rFonts w:hint="eastAsia"/>
                <w:b/>
                <w:bCs/>
                <w:lang w:val="zh-CN"/>
              </w:rPr>
            </w:pPr>
            <w:r>
              <w:rPr>
                <w:rFonts w:hint="eastAsia"/>
                <w:b/>
                <w:bCs/>
                <w:lang w:val="zh-CN"/>
              </w:rPr>
              <w:t>与多年均值比较（%）</w:t>
            </w:r>
          </w:p>
        </w:tc>
      </w:tr>
      <w:tr w14:paraId="3E16B3E2">
        <w:tblPrEx>
          <w:tblCellMar>
            <w:top w:w="0" w:type="dxa"/>
            <w:left w:w="0" w:type="dxa"/>
            <w:bottom w:w="0" w:type="dxa"/>
            <w:right w:w="0" w:type="dxa"/>
          </w:tblCellMar>
        </w:tblPrEx>
        <w:trPr>
          <w:trHeight w:val="493" w:hRule="atLeast"/>
        </w:trPr>
        <w:tc>
          <w:tcPr>
            <w:tcW w:w="722"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5A983444">
            <w:pPr>
              <w:pStyle w:val="11"/>
              <w:bidi w:val="0"/>
              <w:jc w:val="center"/>
              <w:rPr>
                <w:rFonts w:hint="eastAsia"/>
                <w:lang w:val="zh-CN"/>
              </w:rPr>
            </w:pPr>
            <w:r>
              <w:rPr>
                <w:rFonts w:hint="eastAsia"/>
                <w:lang w:val="zh-CN"/>
              </w:rPr>
              <w:t>2018</w:t>
            </w:r>
          </w:p>
        </w:tc>
        <w:tc>
          <w:tcPr>
            <w:tcW w:w="1226"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DD61A83">
            <w:pPr>
              <w:pStyle w:val="11"/>
              <w:bidi w:val="0"/>
              <w:jc w:val="center"/>
              <w:rPr>
                <w:rFonts w:hint="eastAsia"/>
                <w:lang w:val="zh-CN"/>
              </w:rPr>
            </w:pPr>
            <w:r>
              <w:rPr>
                <w:rFonts w:hint="eastAsia"/>
                <w:lang w:val="zh-CN"/>
              </w:rPr>
              <w:t>4.47</w:t>
            </w:r>
          </w:p>
        </w:tc>
        <w:tc>
          <w:tcPr>
            <w:tcW w:w="1801"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746D8BB">
            <w:pPr>
              <w:pStyle w:val="11"/>
              <w:bidi w:val="0"/>
              <w:jc w:val="center"/>
              <w:rPr>
                <w:rFonts w:hint="eastAsia"/>
                <w:lang w:val="zh-CN"/>
              </w:rPr>
            </w:pPr>
            <w:r>
              <w:rPr>
                <w:rFonts w:hint="eastAsia"/>
                <w:lang w:val="zh-CN"/>
              </w:rPr>
              <w:t>4.52</w:t>
            </w:r>
          </w:p>
        </w:tc>
        <w:tc>
          <w:tcPr>
            <w:tcW w:w="1250"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6814307D">
            <w:pPr>
              <w:pStyle w:val="11"/>
              <w:bidi w:val="0"/>
              <w:jc w:val="center"/>
              <w:rPr>
                <w:rFonts w:hint="eastAsia"/>
                <w:lang w:val="zh-CN"/>
              </w:rPr>
            </w:pPr>
            <w:r>
              <w:rPr>
                <w:rFonts w:hint="eastAsia"/>
                <w:lang w:val="zh-CN"/>
              </w:rPr>
              <w:t>-1.1</w:t>
            </w:r>
          </w:p>
        </w:tc>
      </w:tr>
    </w:tbl>
    <w:p w14:paraId="126E81BD">
      <w:pPr>
        <w:bidi w:val="0"/>
        <w:ind w:left="0" w:leftChars="0" w:firstLine="0" w:firstLineChars="0"/>
        <w:jc w:val="center"/>
        <w:rPr>
          <w:rFonts w:hint="eastAsia"/>
          <w:b/>
          <w:bCs/>
          <w:lang w:val="zh-CN"/>
        </w:rPr>
      </w:pPr>
      <w:r>
        <w:rPr>
          <w:rFonts w:hint="eastAsia"/>
          <w:b/>
          <w:bCs/>
          <w:lang w:val="zh-CN"/>
        </w:rPr>
        <w:t>表10</w:t>
      </w:r>
      <w:r>
        <w:rPr>
          <w:rFonts w:hint="eastAsia"/>
          <w:b/>
          <w:bCs/>
          <w:lang w:val="en-US" w:eastAsia="zh-CN"/>
        </w:rPr>
        <w:t xml:space="preserve">  </w:t>
      </w:r>
      <w:r>
        <w:rPr>
          <w:rFonts w:hint="eastAsia"/>
          <w:b/>
          <w:bCs/>
          <w:lang w:val="zh-CN"/>
        </w:rPr>
        <w:t>南雄市年供水量（2018年）</w:t>
      </w:r>
    </w:p>
    <w:p w14:paraId="246FD0D6">
      <w:pPr>
        <w:bidi w:val="0"/>
        <w:jc w:val="right"/>
        <w:rPr>
          <w:rFonts w:hint="eastAsia"/>
          <w:lang w:val="zh-CN"/>
        </w:rPr>
      </w:pPr>
      <w:r>
        <w:rPr>
          <w:rFonts w:hint="eastAsia"/>
          <w:lang w:val="zh-CN"/>
        </w:rPr>
        <w:t>单位：万立方米</w:t>
      </w:r>
    </w:p>
    <w:tbl>
      <w:tblPr>
        <w:tblStyle w:val="7"/>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676"/>
        <w:gridCol w:w="947"/>
        <w:gridCol w:w="778"/>
        <w:gridCol w:w="821"/>
        <w:gridCol w:w="848"/>
        <w:gridCol w:w="1353"/>
        <w:gridCol w:w="1080"/>
        <w:gridCol w:w="1219"/>
        <w:gridCol w:w="866"/>
        <w:gridCol w:w="1152"/>
      </w:tblGrid>
      <w:tr w14:paraId="57759A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blHeader/>
        </w:trPr>
        <w:tc>
          <w:tcPr>
            <w:tcW w:w="347" w:type="pct"/>
            <w:vMerge w:val="restart"/>
            <w:shd w:val="clear" w:color="auto" w:fill="FFFFFF"/>
            <w:noWrap w:val="0"/>
            <w:vAlign w:val="center"/>
          </w:tcPr>
          <w:p w14:paraId="498AE71B">
            <w:pPr>
              <w:pStyle w:val="11"/>
              <w:bidi w:val="0"/>
              <w:jc w:val="center"/>
              <w:rPr>
                <w:rFonts w:hint="eastAsia"/>
                <w:b/>
                <w:bCs/>
                <w:lang w:val="zh-CN"/>
              </w:rPr>
            </w:pPr>
            <w:r>
              <w:rPr>
                <w:rFonts w:hint="eastAsia"/>
                <w:b/>
                <w:bCs/>
                <w:lang w:val="zh-CN"/>
              </w:rPr>
              <w:t>年度</w:t>
            </w:r>
          </w:p>
        </w:tc>
        <w:tc>
          <w:tcPr>
            <w:tcW w:w="486" w:type="pct"/>
            <w:vMerge w:val="restart"/>
            <w:shd w:val="clear" w:color="auto" w:fill="FFFFFF"/>
            <w:noWrap w:val="0"/>
            <w:vAlign w:val="center"/>
          </w:tcPr>
          <w:p w14:paraId="4F74C6BA">
            <w:pPr>
              <w:pStyle w:val="11"/>
              <w:bidi w:val="0"/>
              <w:jc w:val="center"/>
              <w:rPr>
                <w:rFonts w:hint="eastAsia"/>
                <w:b/>
                <w:bCs/>
                <w:lang w:val="zh-CN"/>
              </w:rPr>
            </w:pPr>
            <w:r>
              <w:rPr>
                <w:rFonts w:hint="eastAsia"/>
                <w:b/>
                <w:bCs/>
                <w:lang w:val="zh-CN"/>
              </w:rPr>
              <w:t>总供水量</w:t>
            </w:r>
          </w:p>
        </w:tc>
        <w:tc>
          <w:tcPr>
            <w:tcW w:w="1949" w:type="pct"/>
            <w:gridSpan w:val="4"/>
            <w:shd w:val="clear" w:color="auto" w:fill="FFFFFF"/>
            <w:noWrap w:val="0"/>
            <w:vAlign w:val="center"/>
          </w:tcPr>
          <w:p w14:paraId="18C8195B">
            <w:pPr>
              <w:pStyle w:val="11"/>
              <w:bidi w:val="0"/>
              <w:jc w:val="center"/>
              <w:rPr>
                <w:rFonts w:hint="eastAsia"/>
                <w:b/>
                <w:bCs/>
                <w:lang w:val="zh-CN"/>
              </w:rPr>
            </w:pPr>
            <w:r>
              <w:rPr>
                <w:rFonts w:hint="eastAsia"/>
                <w:b/>
                <w:bCs/>
                <w:lang w:val="zh-CN"/>
              </w:rPr>
              <w:t>地表水量</w:t>
            </w:r>
          </w:p>
        </w:tc>
        <w:tc>
          <w:tcPr>
            <w:tcW w:w="554" w:type="pct"/>
            <w:vMerge w:val="restart"/>
            <w:shd w:val="clear" w:color="auto" w:fill="FFFFFF"/>
            <w:noWrap w:val="0"/>
            <w:tcMar>
              <w:left w:w="28" w:type="dxa"/>
              <w:right w:w="28" w:type="dxa"/>
            </w:tcMar>
            <w:vAlign w:val="center"/>
          </w:tcPr>
          <w:p w14:paraId="4EAD328D">
            <w:pPr>
              <w:pStyle w:val="11"/>
              <w:bidi w:val="0"/>
              <w:jc w:val="center"/>
              <w:rPr>
                <w:rFonts w:hint="eastAsia"/>
                <w:b/>
                <w:bCs/>
                <w:lang w:val="zh-CN"/>
              </w:rPr>
            </w:pPr>
            <w:r>
              <w:rPr>
                <w:rFonts w:hint="eastAsia"/>
                <w:b/>
                <w:bCs/>
                <w:lang w:val="zh-CN"/>
              </w:rPr>
              <w:t>地下水量</w:t>
            </w:r>
          </w:p>
        </w:tc>
        <w:tc>
          <w:tcPr>
            <w:tcW w:w="625" w:type="pct"/>
            <w:vMerge w:val="restart"/>
            <w:shd w:val="clear" w:color="auto" w:fill="FFFFFF"/>
            <w:noWrap w:val="0"/>
            <w:tcMar>
              <w:top w:w="57" w:type="dxa"/>
              <w:bottom w:w="57" w:type="dxa"/>
            </w:tcMar>
            <w:vAlign w:val="center"/>
          </w:tcPr>
          <w:p w14:paraId="7C6628D5">
            <w:pPr>
              <w:pStyle w:val="11"/>
              <w:bidi w:val="0"/>
              <w:jc w:val="center"/>
              <w:rPr>
                <w:rFonts w:hint="eastAsia"/>
                <w:b/>
                <w:bCs/>
                <w:lang w:val="zh-CN"/>
              </w:rPr>
            </w:pPr>
            <w:r>
              <w:rPr>
                <w:rFonts w:hint="eastAsia"/>
                <w:b/>
                <w:bCs/>
                <w:lang w:val="zh-CN"/>
              </w:rPr>
              <w:t>占总供水量比例（%）</w:t>
            </w:r>
          </w:p>
        </w:tc>
        <w:tc>
          <w:tcPr>
            <w:tcW w:w="444" w:type="pct"/>
            <w:vMerge w:val="restart"/>
            <w:shd w:val="clear" w:color="auto" w:fill="FFFFFF"/>
            <w:noWrap w:val="0"/>
            <w:tcMar>
              <w:top w:w="28" w:type="dxa"/>
              <w:left w:w="28" w:type="dxa"/>
              <w:bottom w:w="28" w:type="dxa"/>
              <w:right w:w="28" w:type="dxa"/>
            </w:tcMar>
            <w:vAlign w:val="center"/>
          </w:tcPr>
          <w:p w14:paraId="74CE2324">
            <w:pPr>
              <w:pStyle w:val="11"/>
              <w:bidi w:val="0"/>
              <w:jc w:val="center"/>
              <w:rPr>
                <w:rFonts w:hint="eastAsia"/>
                <w:b/>
                <w:bCs/>
                <w:lang w:val="zh-CN"/>
              </w:rPr>
            </w:pPr>
            <w:r>
              <w:rPr>
                <w:rFonts w:hint="eastAsia"/>
                <w:b/>
                <w:bCs/>
                <w:lang w:val="zh-CN"/>
              </w:rPr>
              <w:t>其他供水量</w:t>
            </w:r>
          </w:p>
        </w:tc>
        <w:tc>
          <w:tcPr>
            <w:tcW w:w="591" w:type="pct"/>
            <w:vMerge w:val="restart"/>
            <w:shd w:val="clear" w:color="auto" w:fill="FFFFFF"/>
            <w:noWrap w:val="0"/>
            <w:tcMar>
              <w:top w:w="57" w:type="dxa"/>
              <w:bottom w:w="57" w:type="dxa"/>
            </w:tcMar>
            <w:vAlign w:val="center"/>
          </w:tcPr>
          <w:p w14:paraId="31657164">
            <w:pPr>
              <w:pStyle w:val="11"/>
              <w:bidi w:val="0"/>
              <w:jc w:val="center"/>
              <w:rPr>
                <w:rFonts w:hint="eastAsia"/>
                <w:b/>
                <w:bCs/>
                <w:lang w:val="zh-CN"/>
              </w:rPr>
            </w:pPr>
            <w:r>
              <w:rPr>
                <w:rFonts w:hint="eastAsia"/>
                <w:b/>
                <w:bCs/>
                <w:lang w:val="zh-CN"/>
              </w:rPr>
              <w:t>占总供水量比例（%）</w:t>
            </w:r>
          </w:p>
        </w:tc>
      </w:tr>
      <w:tr w14:paraId="36C459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blHeader/>
        </w:trPr>
        <w:tc>
          <w:tcPr>
            <w:tcW w:w="347" w:type="pct"/>
            <w:vMerge w:val="continue"/>
            <w:shd w:val="clear" w:color="auto" w:fill="FFFFFF"/>
            <w:noWrap w:val="0"/>
            <w:vAlign w:val="center"/>
          </w:tcPr>
          <w:p w14:paraId="4AE22647">
            <w:pPr>
              <w:pStyle w:val="11"/>
              <w:bidi w:val="0"/>
              <w:jc w:val="center"/>
              <w:rPr>
                <w:rFonts w:hint="eastAsia"/>
              </w:rPr>
            </w:pPr>
          </w:p>
        </w:tc>
        <w:tc>
          <w:tcPr>
            <w:tcW w:w="486" w:type="pct"/>
            <w:vMerge w:val="continue"/>
            <w:shd w:val="clear" w:color="auto" w:fill="FFFFFF"/>
            <w:noWrap w:val="0"/>
            <w:vAlign w:val="center"/>
          </w:tcPr>
          <w:p w14:paraId="48F3C4DC">
            <w:pPr>
              <w:pStyle w:val="11"/>
              <w:bidi w:val="0"/>
              <w:jc w:val="center"/>
              <w:rPr>
                <w:rFonts w:hint="eastAsia"/>
              </w:rPr>
            </w:pPr>
          </w:p>
        </w:tc>
        <w:tc>
          <w:tcPr>
            <w:tcW w:w="399" w:type="pct"/>
            <w:shd w:val="clear" w:color="auto" w:fill="FFFFFF"/>
            <w:noWrap w:val="0"/>
            <w:tcMar>
              <w:top w:w="57" w:type="dxa"/>
              <w:left w:w="28" w:type="dxa"/>
              <w:bottom w:w="57" w:type="dxa"/>
              <w:right w:w="28" w:type="dxa"/>
            </w:tcMar>
            <w:vAlign w:val="center"/>
          </w:tcPr>
          <w:p w14:paraId="632CBE93">
            <w:pPr>
              <w:pStyle w:val="11"/>
              <w:bidi w:val="0"/>
              <w:jc w:val="center"/>
              <w:rPr>
                <w:rFonts w:hint="eastAsia"/>
                <w:b/>
                <w:bCs/>
                <w:lang w:val="zh-CN"/>
              </w:rPr>
            </w:pPr>
            <w:r>
              <w:rPr>
                <w:rFonts w:hint="eastAsia"/>
                <w:b/>
                <w:bCs/>
                <w:lang w:val="zh-CN"/>
              </w:rPr>
              <w:t>蓄水量</w:t>
            </w:r>
          </w:p>
        </w:tc>
        <w:tc>
          <w:tcPr>
            <w:tcW w:w="421" w:type="pct"/>
            <w:shd w:val="clear" w:color="auto" w:fill="FFFFFF"/>
            <w:noWrap w:val="0"/>
            <w:tcMar>
              <w:top w:w="57" w:type="dxa"/>
              <w:left w:w="28" w:type="dxa"/>
              <w:bottom w:w="57" w:type="dxa"/>
              <w:right w:w="28" w:type="dxa"/>
            </w:tcMar>
            <w:vAlign w:val="center"/>
          </w:tcPr>
          <w:p w14:paraId="724901FA">
            <w:pPr>
              <w:pStyle w:val="11"/>
              <w:bidi w:val="0"/>
              <w:jc w:val="center"/>
              <w:rPr>
                <w:rFonts w:hint="eastAsia"/>
                <w:b/>
                <w:bCs/>
                <w:lang w:val="zh-CN"/>
              </w:rPr>
            </w:pPr>
            <w:r>
              <w:rPr>
                <w:rFonts w:hint="eastAsia"/>
                <w:b/>
                <w:bCs/>
                <w:lang w:val="zh-CN"/>
              </w:rPr>
              <w:t>引水量</w:t>
            </w:r>
          </w:p>
        </w:tc>
        <w:tc>
          <w:tcPr>
            <w:tcW w:w="435" w:type="pct"/>
            <w:shd w:val="clear" w:color="auto" w:fill="FFFFFF"/>
            <w:noWrap w:val="0"/>
            <w:tcMar>
              <w:top w:w="57" w:type="dxa"/>
              <w:left w:w="28" w:type="dxa"/>
              <w:bottom w:w="57" w:type="dxa"/>
              <w:right w:w="28" w:type="dxa"/>
            </w:tcMar>
            <w:vAlign w:val="center"/>
          </w:tcPr>
          <w:p w14:paraId="7199A091">
            <w:pPr>
              <w:pStyle w:val="11"/>
              <w:bidi w:val="0"/>
              <w:jc w:val="center"/>
              <w:rPr>
                <w:rFonts w:hint="eastAsia"/>
                <w:b/>
                <w:bCs/>
                <w:lang w:val="zh-CN"/>
              </w:rPr>
            </w:pPr>
            <w:r>
              <w:rPr>
                <w:rFonts w:hint="eastAsia"/>
                <w:b/>
                <w:bCs/>
                <w:lang w:val="zh-CN"/>
              </w:rPr>
              <w:t>提水量</w:t>
            </w:r>
          </w:p>
        </w:tc>
        <w:tc>
          <w:tcPr>
            <w:tcW w:w="692" w:type="pct"/>
            <w:shd w:val="clear" w:color="auto" w:fill="FFFFFF"/>
            <w:noWrap w:val="0"/>
            <w:tcMar>
              <w:top w:w="57" w:type="dxa"/>
              <w:left w:w="28" w:type="dxa"/>
              <w:bottom w:w="57" w:type="dxa"/>
              <w:right w:w="28" w:type="dxa"/>
            </w:tcMar>
            <w:vAlign w:val="center"/>
          </w:tcPr>
          <w:p w14:paraId="41E45E1D">
            <w:pPr>
              <w:pStyle w:val="11"/>
              <w:bidi w:val="0"/>
              <w:jc w:val="center"/>
              <w:rPr>
                <w:rFonts w:hint="eastAsia"/>
                <w:b/>
                <w:bCs/>
                <w:lang w:val="zh-CN"/>
              </w:rPr>
            </w:pPr>
            <w:r>
              <w:rPr>
                <w:rFonts w:hint="eastAsia"/>
                <w:b/>
                <w:bCs/>
                <w:lang w:val="zh-CN"/>
              </w:rPr>
              <w:t>占总供水量比例（%）</w:t>
            </w:r>
          </w:p>
        </w:tc>
        <w:tc>
          <w:tcPr>
            <w:tcW w:w="554" w:type="pct"/>
            <w:vMerge w:val="continue"/>
            <w:shd w:val="clear" w:color="auto" w:fill="FFFFFF"/>
            <w:noWrap w:val="0"/>
            <w:vAlign w:val="center"/>
          </w:tcPr>
          <w:p w14:paraId="2A8B4FF6">
            <w:pPr>
              <w:pStyle w:val="11"/>
              <w:bidi w:val="0"/>
              <w:jc w:val="center"/>
              <w:rPr>
                <w:rFonts w:hint="eastAsia"/>
              </w:rPr>
            </w:pPr>
          </w:p>
        </w:tc>
        <w:tc>
          <w:tcPr>
            <w:tcW w:w="625" w:type="pct"/>
            <w:vMerge w:val="continue"/>
            <w:shd w:val="clear" w:color="auto" w:fill="FFFFFF"/>
            <w:noWrap w:val="0"/>
            <w:vAlign w:val="center"/>
          </w:tcPr>
          <w:p w14:paraId="58E160C1">
            <w:pPr>
              <w:pStyle w:val="11"/>
              <w:bidi w:val="0"/>
              <w:jc w:val="center"/>
              <w:rPr>
                <w:rFonts w:hint="eastAsia"/>
              </w:rPr>
            </w:pPr>
          </w:p>
        </w:tc>
        <w:tc>
          <w:tcPr>
            <w:tcW w:w="444" w:type="pct"/>
            <w:vMerge w:val="continue"/>
            <w:shd w:val="clear" w:color="auto" w:fill="FFFFFF"/>
            <w:noWrap w:val="0"/>
            <w:vAlign w:val="center"/>
          </w:tcPr>
          <w:p w14:paraId="61A15446">
            <w:pPr>
              <w:pStyle w:val="11"/>
              <w:bidi w:val="0"/>
              <w:jc w:val="center"/>
              <w:rPr>
                <w:rFonts w:hint="eastAsia"/>
              </w:rPr>
            </w:pPr>
          </w:p>
        </w:tc>
        <w:tc>
          <w:tcPr>
            <w:tcW w:w="591" w:type="pct"/>
            <w:vMerge w:val="continue"/>
            <w:shd w:val="clear" w:color="auto" w:fill="FFFFFF"/>
            <w:noWrap w:val="0"/>
            <w:vAlign w:val="center"/>
          </w:tcPr>
          <w:p w14:paraId="080525C0">
            <w:pPr>
              <w:pStyle w:val="11"/>
              <w:bidi w:val="0"/>
              <w:jc w:val="center"/>
              <w:rPr>
                <w:rFonts w:hint="eastAsia"/>
              </w:rPr>
            </w:pPr>
          </w:p>
        </w:tc>
      </w:tr>
      <w:tr w14:paraId="6F88C3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347" w:type="pct"/>
            <w:shd w:val="clear" w:color="auto" w:fill="FFFFFF"/>
            <w:noWrap w:val="0"/>
            <w:tcMar>
              <w:top w:w="57" w:type="dxa"/>
              <w:left w:w="57" w:type="dxa"/>
              <w:bottom w:w="57" w:type="dxa"/>
              <w:right w:w="57" w:type="dxa"/>
            </w:tcMar>
            <w:vAlign w:val="center"/>
          </w:tcPr>
          <w:p w14:paraId="69CC669F">
            <w:pPr>
              <w:pStyle w:val="11"/>
              <w:bidi w:val="0"/>
              <w:jc w:val="center"/>
              <w:rPr>
                <w:rFonts w:hint="eastAsia"/>
                <w:lang w:val="zh-CN"/>
              </w:rPr>
            </w:pPr>
            <w:r>
              <w:rPr>
                <w:rFonts w:hint="eastAsia"/>
                <w:lang w:val="zh-CN"/>
              </w:rPr>
              <w:t>2018</w:t>
            </w:r>
          </w:p>
        </w:tc>
        <w:tc>
          <w:tcPr>
            <w:tcW w:w="486" w:type="pct"/>
            <w:shd w:val="clear" w:color="auto" w:fill="FFFFFF"/>
            <w:noWrap w:val="0"/>
            <w:tcMar>
              <w:top w:w="57" w:type="dxa"/>
              <w:left w:w="57" w:type="dxa"/>
              <w:bottom w:w="57" w:type="dxa"/>
              <w:right w:w="57" w:type="dxa"/>
            </w:tcMar>
            <w:vAlign w:val="center"/>
          </w:tcPr>
          <w:p w14:paraId="28C976A9">
            <w:pPr>
              <w:pStyle w:val="11"/>
              <w:bidi w:val="0"/>
              <w:jc w:val="center"/>
              <w:rPr>
                <w:rFonts w:hint="eastAsia"/>
                <w:lang w:val="zh-CN"/>
              </w:rPr>
            </w:pPr>
            <w:r>
              <w:rPr>
                <w:rFonts w:hint="eastAsia"/>
                <w:lang w:val="zh-CN"/>
              </w:rPr>
              <w:t>26408</w:t>
            </w:r>
          </w:p>
        </w:tc>
        <w:tc>
          <w:tcPr>
            <w:tcW w:w="399" w:type="pct"/>
            <w:shd w:val="clear" w:color="auto" w:fill="FFFFFF"/>
            <w:noWrap w:val="0"/>
            <w:tcMar>
              <w:top w:w="57" w:type="dxa"/>
              <w:left w:w="57" w:type="dxa"/>
              <w:bottom w:w="57" w:type="dxa"/>
              <w:right w:w="57" w:type="dxa"/>
            </w:tcMar>
            <w:vAlign w:val="center"/>
          </w:tcPr>
          <w:p w14:paraId="3E9C45A5">
            <w:pPr>
              <w:pStyle w:val="11"/>
              <w:bidi w:val="0"/>
              <w:jc w:val="center"/>
              <w:rPr>
                <w:rFonts w:hint="eastAsia"/>
                <w:lang w:val="zh-CN"/>
              </w:rPr>
            </w:pPr>
            <w:r>
              <w:rPr>
                <w:rFonts w:hint="eastAsia"/>
                <w:lang w:val="zh-CN"/>
              </w:rPr>
              <w:t>17070</w:t>
            </w:r>
          </w:p>
        </w:tc>
        <w:tc>
          <w:tcPr>
            <w:tcW w:w="421" w:type="pct"/>
            <w:shd w:val="clear" w:color="auto" w:fill="FFFFFF"/>
            <w:noWrap w:val="0"/>
            <w:tcMar>
              <w:top w:w="57" w:type="dxa"/>
              <w:left w:w="57" w:type="dxa"/>
              <w:bottom w:w="57" w:type="dxa"/>
              <w:right w:w="57" w:type="dxa"/>
            </w:tcMar>
            <w:vAlign w:val="center"/>
          </w:tcPr>
          <w:p w14:paraId="081C1765">
            <w:pPr>
              <w:pStyle w:val="11"/>
              <w:bidi w:val="0"/>
              <w:jc w:val="center"/>
              <w:rPr>
                <w:rFonts w:hint="eastAsia"/>
                <w:lang w:val="zh-CN"/>
              </w:rPr>
            </w:pPr>
            <w:r>
              <w:rPr>
                <w:rFonts w:hint="eastAsia"/>
                <w:lang w:val="zh-CN"/>
              </w:rPr>
              <w:t>7000</w:t>
            </w:r>
          </w:p>
        </w:tc>
        <w:tc>
          <w:tcPr>
            <w:tcW w:w="435" w:type="pct"/>
            <w:shd w:val="clear" w:color="auto" w:fill="FFFFFF"/>
            <w:noWrap w:val="0"/>
            <w:tcMar>
              <w:top w:w="57" w:type="dxa"/>
              <w:left w:w="57" w:type="dxa"/>
              <w:bottom w:w="57" w:type="dxa"/>
              <w:right w:w="57" w:type="dxa"/>
            </w:tcMar>
            <w:vAlign w:val="center"/>
          </w:tcPr>
          <w:p w14:paraId="2F287C9B">
            <w:pPr>
              <w:pStyle w:val="11"/>
              <w:bidi w:val="0"/>
              <w:jc w:val="center"/>
              <w:rPr>
                <w:rFonts w:hint="eastAsia"/>
                <w:lang w:val="zh-CN"/>
              </w:rPr>
            </w:pPr>
            <w:r>
              <w:rPr>
                <w:rFonts w:hint="eastAsia"/>
                <w:lang w:val="zh-CN"/>
              </w:rPr>
              <w:t>2108</w:t>
            </w:r>
          </w:p>
        </w:tc>
        <w:tc>
          <w:tcPr>
            <w:tcW w:w="692" w:type="pct"/>
            <w:shd w:val="clear" w:color="auto" w:fill="FFFFFF"/>
            <w:noWrap w:val="0"/>
            <w:tcMar>
              <w:top w:w="57" w:type="dxa"/>
              <w:left w:w="57" w:type="dxa"/>
              <w:bottom w:w="57" w:type="dxa"/>
              <w:right w:w="57" w:type="dxa"/>
            </w:tcMar>
            <w:vAlign w:val="center"/>
          </w:tcPr>
          <w:p w14:paraId="40212A09">
            <w:pPr>
              <w:pStyle w:val="11"/>
              <w:bidi w:val="0"/>
              <w:jc w:val="center"/>
              <w:rPr>
                <w:rFonts w:hint="eastAsia"/>
                <w:lang w:val="zh-CN"/>
              </w:rPr>
            </w:pPr>
            <w:r>
              <w:rPr>
                <w:rFonts w:hint="eastAsia"/>
                <w:lang w:val="zh-CN"/>
              </w:rPr>
              <w:t>99.13</w:t>
            </w:r>
          </w:p>
        </w:tc>
        <w:tc>
          <w:tcPr>
            <w:tcW w:w="554" w:type="pct"/>
            <w:shd w:val="clear" w:color="auto" w:fill="FFFFFF"/>
            <w:noWrap w:val="0"/>
            <w:tcMar>
              <w:top w:w="57" w:type="dxa"/>
              <w:left w:w="57" w:type="dxa"/>
              <w:bottom w:w="57" w:type="dxa"/>
              <w:right w:w="57" w:type="dxa"/>
            </w:tcMar>
            <w:vAlign w:val="center"/>
          </w:tcPr>
          <w:p w14:paraId="2F38A733">
            <w:pPr>
              <w:pStyle w:val="11"/>
              <w:bidi w:val="0"/>
              <w:jc w:val="center"/>
              <w:rPr>
                <w:rFonts w:hint="eastAsia"/>
                <w:lang w:val="zh-CN"/>
              </w:rPr>
            </w:pPr>
            <w:r>
              <w:rPr>
                <w:rFonts w:hint="eastAsia"/>
                <w:lang w:val="zh-CN"/>
              </w:rPr>
              <w:t>130</w:t>
            </w:r>
          </w:p>
        </w:tc>
        <w:tc>
          <w:tcPr>
            <w:tcW w:w="625" w:type="pct"/>
            <w:shd w:val="clear" w:color="auto" w:fill="FFFFFF"/>
            <w:noWrap w:val="0"/>
            <w:tcMar>
              <w:top w:w="57" w:type="dxa"/>
              <w:left w:w="57" w:type="dxa"/>
              <w:bottom w:w="57" w:type="dxa"/>
              <w:right w:w="57" w:type="dxa"/>
            </w:tcMar>
            <w:vAlign w:val="center"/>
          </w:tcPr>
          <w:p w14:paraId="3882D989">
            <w:pPr>
              <w:pStyle w:val="11"/>
              <w:bidi w:val="0"/>
              <w:jc w:val="center"/>
              <w:rPr>
                <w:rFonts w:hint="eastAsia"/>
                <w:lang w:val="zh-CN"/>
              </w:rPr>
            </w:pPr>
            <w:r>
              <w:rPr>
                <w:rFonts w:hint="eastAsia"/>
                <w:lang w:val="zh-CN"/>
              </w:rPr>
              <w:t>0.49</w:t>
            </w:r>
          </w:p>
        </w:tc>
        <w:tc>
          <w:tcPr>
            <w:tcW w:w="444" w:type="pct"/>
            <w:shd w:val="clear" w:color="auto" w:fill="FFFFFF"/>
            <w:noWrap w:val="0"/>
            <w:tcMar>
              <w:top w:w="57" w:type="dxa"/>
              <w:left w:w="57" w:type="dxa"/>
              <w:bottom w:w="57" w:type="dxa"/>
              <w:right w:w="57" w:type="dxa"/>
            </w:tcMar>
            <w:vAlign w:val="center"/>
          </w:tcPr>
          <w:p w14:paraId="77111EF8">
            <w:pPr>
              <w:pStyle w:val="11"/>
              <w:bidi w:val="0"/>
              <w:jc w:val="center"/>
              <w:rPr>
                <w:rFonts w:hint="eastAsia"/>
                <w:lang w:val="zh-CN"/>
              </w:rPr>
            </w:pPr>
            <w:r>
              <w:rPr>
                <w:rFonts w:hint="eastAsia"/>
                <w:lang w:val="zh-CN"/>
              </w:rPr>
              <w:t>100</w:t>
            </w:r>
          </w:p>
        </w:tc>
        <w:tc>
          <w:tcPr>
            <w:tcW w:w="591" w:type="pct"/>
            <w:shd w:val="clear" w:color="auto" w:fill="FFFFFF"/>
            <w:noWrap w:val="0"/>
            <w:tcMar>
              <w:top w:w="57" w:type="dxa"/>
              <w:left w:w="57" w:type="dxa"/>
              <w:bottom w:w="57" w:type="dxa"/>
              <w:right w:w="57" w:type="dxa"/>
            </w:tcMar>
            <w:vAlign w:val="center"/>
          </w:tcPr>
          <w:p w14:paraId="20E6318A">
            <w:pPr>
              <w:pStyle w:val="11"/>
              <w:bidi w:val="0"/>
              <w:jc w:val="center"/>
              <w:rPr>
                <w:rFonts w:hint="eastAsia"/>
                <w:lang w:val="zh-CN"/>
              </w:rPr>
            </w:pPr>
            <w:r>
              <w:rPr>
                <w:rFonts w:hint="eastAsia"/>
                <w:lang w:val="zh-CN"/>
              </w:rPr>
              <w:t>0.38</w:t>
            </w:r>
          </w:p>
        </w:tc>
      </w:tr>
    </w:tbl>
    <w:p w14:paraId="0EF0E29C">
      <w:pPr>
        <w:bidi w:val="0"/>
        <w:ind w:left="0" w:leftChars="0" w:firstLine="0" w:firstLineChars="0"/>
        <w:jc w:val="center"/>
        <w:rPr>
          <w:rFonts w:hint="eastAsia"/>
          <w:b/>
          <w:bCs/>
          <w:lang w:val="zh-CN"/>
        </w:rPr>
      </w:pPr>
      <w:r>
        <w:rPr>
          <w:rFonts w:hint="eastAsia"/>
          <w:b/>
          <w:bCs/>
          <w:lang w:val="zh-CN"/>
        </w:rPr>
        <w:t>表11</w:t>
      </w:r>
      <w:r>
        <w:rPr>
          <w:rFonts w:hint="eastAsia"/>
          <w:b/>
          <w:bCs/>
          <w:lang w:val="en-US" w:eastAsia="zh-CN"/>
        </w:rPr>
        <w:t xml:space="preserve">  </w:t>
      </w:r>
      <w:r>
        <w:rPr>
          <w:rFonts w:hint="eastAsia"/>
          <w:b/>
          <w:bCs/>
          <w:lang w:val="zh-CN"/>
        </w:rPr>
        <w:t>南雄市年用水量（2018年）</w:t>
      </w:r>
    </w:p>
    <w:p w14:paraId="2868CDB0">
      <w:pPr>
        <w:bidi w:val="0"/>
        <w:jc w:val="right"/>
        <w:rPr>
          <w:rFonts w:hint="eastAsia"/>
          <w:lang w:val="zh-CN"/>
        </w:rPr>
      </w:pPr>
      <w:r>
        <w:rPr>
          <w:rFonts w:hint="eastAsia"/>
          <w:lang w:val="zh-CN"/>
        </w:rPr>
        <w:t>单位：万立方米</w:t>
      </w:r>
    </w:p>
    <w:tbl>
      <w:tblPr>
        <w:tblStyle w:val="7"/>
        <w:tblW w:w="499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74"/>
        <w:gridCol w:w="970"/>
        <w:gridCol w:w="933"/>
        <w:gridCol w:w="609"/>
        <w:gridCol w:w="935"/>
        <w:gridCol w:w="1120"/>
        <w:gridCol w:w="849"/>
        <w:gridCol w:w="979"/>
        <w:gridCol w:w="944"/>
        <w:gridCol w:w="872"/>
        <w:gridCol w:w="942"/>
      </w:tblGrid>
      <w:tr w14:paraId="29916B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blHeader/>
        </w:trPr>
        <w:tc>
          <w:tcPr>
            <w:tcW w:w="295" w:type="pct"/>
            <w:vMerge w:val="restart"/>
            <w:shd w:val="clear" w:color="auto" w:fill="FFFFFF"/>
            <w:noWrap w:val="0"/>
            <w:vAlign w:val="center"/>
          </w:tcPr>
          <w:p w14:paraId="5CE01CBC">
            <w:pPr>
              <w:pStyle w:val="11"/>
              <w:bidi w:val="0"/>
              <w:jc w:val="center"/>
              <w:rPr>
                <w:rFonts w:hint="eastAsia"/>
                <w:b/>
                <w:bCs/>
                <w:lang w:val="zh-CN"/>
              </w:rPr>
            </w:pPr>
            <w:r>
              <w:rPr>
                <w:rFonts w:hint="eastAsia"/>
                <w:b/>
                <w:bCs/>
                <w:lang w:val="zh-CN"/>
              </w:rPr>
              <w:t>年度</w:t>
            </w:r>
          </w:p>
        </w:tc>
        <w:tc>
          <w:tcPr>
            <w:tcW w:w="2345" w:type="pct"/>
            <w:gridSpan w:val="5"/>
            <w:shd w:val="clear" w:color="auto" w:fill="FFFFFF"/>
            <w:noWrap w:val="0"/>
            <w:vAlign w:val="center"/>
          </w:tcPr>
          <w:p w14:paraId="70866C2E">
            <w:pPr>
              <w:pStyle w:val="11"/>
              <w:bidi w:val="0"/>
              <w:jc w:val="center"/>
              <w:rPr>
                <w:rFonts w:hint="eastAsia"/>
                <w:b/>
                <w:bCs/>
                <w:lang w:val="zh-CN"/>
              </w:rPr>
            </w:pPr>
            <w:r>
              <w:rPr>
                <w:rFonts w:hint="eastAsia"/>
                <w:b/>
                <w:bCs/>
                <w:lang w:val="zh-CN"/>
              </w:rPr>
              <w:t>生产用水量</w:t>
            </w:r>
          </w:p>
        </w:tc>
        <w:tc>
          <w:tcPr>
            <w:tcW w:w="436" w:type="pct"/>
            <w:vMerge w:val="restart"/>
            <w:shd w:val="clear" w:color="auto" w:fill="FFFFFF"/>
            <w:noWrap w:val="0"/>
            <w:tcMar>
              <w:left w:w="28" w:type="dxa"/>
              <w:right w:w="28" w:type="dxa"/>
            </w:tcMar>
            <w:vAlign w:val="center"/>
          </w:tcPr>
          <w:p w14:paraId="7E1D8625">
            <w:pPr>
              <w:pStyle w:val="11"/>
              <w:bidi w:val="0"/>
              <w:jc w:val="center"/>
              <w:rPr>
                <w:rFonts w:hint="eastAsia"/>
                <w:b/>
                <w:bCs/>
                <w:lang w:val="zh-CN"/>
              </w:rPr>
            </w:pPr>
            <w:r>
              <w:rPr>
                <w:rFonts w:hint="eastAsia"/>
                <w:b/>
                <w:bCs/>
                <w:lang w:val="zh-CN"/>
              </w:rPr>
              <w:t>居民生活</w:t>
            </w:r>
          </w:p>
        </w:tc>
        <w:tc>
          <w:tcPr>
            <w:tcW w:w="503" w:type="pct"/>
            <w:vMerge w:val="restart"/>
            <w:shd w:val="clear" w:color="auto" w:fill="FFFFFF"/>
            <w:noWrap w:val="0"/>
            <w:tcMar>
              <w:top w:w="57" w:type="dxa"/>
              <w:bottom w:w="57" w:type="dxa"/>
            </w:tcMar>
            <w:vAlign w:val="center"/>
          </w:tcPr>
          <w:p w14:paraId="2EA25324">
            <w:pPr>
              <w:pStyle w:val="11"/>
              <w:bidi w:val="0"/>
              <w:jc w:val="center"/>
              <w:rPr>
                <w:rFonts w:hint="eastAsia"/>
                <w:b/>
                <w:bCs/>
                <w:lang w:val="zh-CN"/>
              </w:rPr>
            </w:pPr>
            <w:r>
              <w:rPr>
                <w:rFonts w:hint="eastAsia"/>
                <w:b/>
                <w:bCs/>
                <w:lang w:val="zh-CN"/>
              </w:rPr>
              <w:t>占总用水比例（%）</w:t>
            </w:r>
          </w:p>
        </w:tc>
        <w:tc>
          <w:tcPr>
            <w:tcW w:w="485" w:type="pct"/>
            <w:vMerge w:val="restart"/>
            <w:shd w:val="clear" w:color="auto" w:fill="FFFFFF"/>
            <w:noWrap w:val="0"/>
            <w:tcMar>
              <w:top w:w="28" w:type="dxa"/>
              <w:left w:w="28" w:type="dxa"/>
              <w:bottom w:w="28" w:type="dxa"/>
              <w:right w:w="28" w:type="dxa"/>
            </w:tcMar>
            <w:vAlign w:val="center"/>
          </w:tcPr>
          <w:p w14:paraId="2AC5AEED">
            <w:pPr>
              <w:pStyle w:val="11"/>
              <w:bidi w:val="0"/>
              <w:jc w:val="center"/>
              <w:rPr>
                <w:rFonts w:hint="eastAsia"/>
                <w:b/>
                <w:bCs/>
                <w:lang w:val="zh-CN"/>
              </w:rPr>
            </w:pPr>
            <w:r>
              <w:rPr>
                <w:rFonts w:hint="eastAsia"/>
                <w:b/>
                <w:bCs/>
                <w:lang w:val="zh-CN"/>
              </w:rPr>
              <w:t>生态环境</w:t>
            </w:r>
          </w:p>
        </w:tc>
        <w:tc>
          <w:tcPr>
            <w:tcW w:w="448" w:type="pct"/>
            <w:vMerge w:val="restart"/>
            <w:shd w:val="clear" w:color="auto" w:fill="FFFFFF"/>
            <w:noWrap w:val="0"/>
            <w:tcMar>
              <w:top w:w="57" w:type="dxa"/>
              <w:bottom w:w="57" w:type="dxa"/>
            </w:tcMar>
            <w:vAlign w:val="center"/>
          </w:tcPr>
          <w:p w14:paraId="0D77E141">
            <w:pPr>
              <w:pStyle w:val="11"/>
              <w:bidi w:val="0"/>
              <w:jc w:val="center"/>
              <w:rPr>
                <w:rFonts w:hint="eastAsia"/>
                <w:b/>
                <w:bCs/>
                <w:lang w:val="zh-CN"/>
              </w:rPr>
            </w:pPr>
            <w:r>
              <w:rPr>
                <w:rFonts w:hint="eastAsia"/>
                <w:b/>
                <w:bCs/>
                <w:lang w:val="zh-CN"/>
              </w:rPr>
              <w:t>占总用水比例（%）</w:t>
            </w:r>
          </w:p>
        </w:tc>
        <w:tc>
          <w:tcPr>
            <w:tcW w:w="484" w:type="pct"/>
            <w:vMerge w:val="restart"/>
            <w:shd w:val="clear" w:color="auto" w:fill="FFFFFF"/>
            <w:noWrap w:val="0"/>
            <w:tcMar>
              <w:top w:w="57" w:type="dxa"/>
              <w:bottom w:w="57" w:type="dxa"/>
            </w:tcMar>
            <w:vAlign w:val="center"/>
          </w:tcPr>
          <w:p w14:paraId="27F0B8E7">
            <w:pPr>
              <w:pStyle w:val="11"/>
              <w:bidi w:val="0"/>
              <w:jc w:val="center"/>
              <w:rPr>
                <w:rFonts w:hint="eastAsia"/>
                <w:b/>
                <w:bCs/>
                <w:lang w:val="zh-CN"/>
              </w:rPr>
            </w:pPr>
            <w:r>
              <w:rPr>
                <w:rFonts w:hint="eastAsia"/>
                <w:b/>
                <w:bCs/>
                <w:lang w:val="zh-CN"/>
              </w:rPr>
              <w:t>总用水量</w:t>
            </w:r>
          </w:p>
        </w:tc>
      </w:tr>
      <w:tr w14:paraId="282C70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atLeast"/>
          <w:tblHeader/>
        </w:trPr>
        <w:tc>
          <w:tcPr>
            <w:tcW w:w="295" w:type="pct"/>
            <w:vMerge w:val="continue"/>
            <w:shd w:val="clear" w:color="auto" w:fill="FFFFFF"/>
            <w:noWrap w:val="0"/>
            <w:vAlign w:val="center"/>
          </w:tcPr>
          <w:p w14:paraId="33DAEF68">
            <w:pPr>
              <w:pStyle w:val="11"/>
              <w:bidi w:val="0"/>
              <w:jc w:val="center"/>
              <w:rPr>
                <w:rFonts w:hint="eastAsia"/>
              </w:rPr>
            </w:pPr>
          </w:p>
        </w:tc>
        <w:tc>
          <w:tcPr>
            <w:tcW w:w="498" w:type="pct"/>
            <w:shd w:val="clear" w:color="auto" w:fill="FFFFFF"/>
            <w:noWrap w:val="0"/>
            <w:tcMar>
              <w:top w:w="57" w:type="dxa"/>
              <w:left w:w="28" w:type="dxa"/>
              <w:bottom w:w="57" w:type="dxa"/>
              <w:right w:w="28" w:type="dxa"/>
            </w:tcMar>
            <w:vAlign w:val="center"/>
          </w:tcPr>
          <w:p w14:paraId="02E2E2C1">
            <w:pPr>
              <w:pStyle w:val="11"/>
              <w:bidi w:val="0"/>
              <w:jc w:val="center"/>
              <w:rPr>
                <w:rFonts w:hint="eastAsia"/>
                <w:b/>
                <w:bCs/>
                <w:lang w:val="zh-CN"/>
              </w:rPr>
            </w:pPr>
            <w:r>
              <w:rPr>
                <w:rFonts w:hint="eastAsia"/>
                <w:b/>
                <w:bCs/>
                <w:lang w:val="zh-CN"/>
              </w:rPr>
              <w:t>农田灌溉</w:t>
            </w:r>
          </w:p>
        </w:tc>
        <w:tc>
          <w:tcPr>
            <w:tcW w:w="479" w:type="pct"/>
            <w:shd w:val="clear" w:color="auto" w:fill="FFFFFF"/>
            <w:noWrap w:val="0"/>
            <w:tcMar>
              <w:top w:w="57" w:type="dxa"/>
              <w:left w:w="28" w:type="dxa"/>
              <w:bottom w:w="57" w:type="dxa"/>
              <w:right w:w="28" w:type="dxa"/>
            </w:tcMar>
            <w:vAlign w:val="center"/>
          </w:tcPr>
          <w:p w14:paraId="2D5AE9EE">
            <w:pPr>
              <w:pStyle w:val="11"/>
              <w:bidi w:val="0"/>
              <w:jc w:val="center"/>
              <w:rPr>
                <w:rFonts w:hint="eastAsia"/>
                <w:b/>
                <w:bCs/>
                <w:lang w:val="zh-CN"/>
              </w:rPr>
            </w:pPr>
            <w:r>
              <w:rPr>
                <w:rFonts w:hint="eastAsia"/>
                <w:b/>
                <w:bCs/>
                <w:lang w:val="zh-CN"/>
              </w:rPr>
              <w:t>林牧渔畜</w:t>
            </w:r>
          </w:p>
        </w:tc>
        <w:tc>
          <w:tcPr>
            <w:tcW w:w="313" w:type="pct"/>
            <w:shd w:val="clear" w:color="auto" w:fill="FFFFFF"/>
            <w:noWrap w:val="0"/>
            <w:tcMar>
              <w:top w:w="57" w:type="dxa"/>
              <w:left w:w="28" w:type="dxa"/>
              <w:bottom w:w="57" w:type="dxa"/>
              <w:right w:w="28" w:type="dxa"/>
            </w:tcMar>
            <w:vAlign w:val="center"/>
          </w:tcPr>
          <w:p w14:paraId="1413C11D">
            <w:pPr>
              <w:pStyle w:val="11"/>
              <w:bidi w:val="0"/>
              <w:jc w:val="center"/>
              <w:rPr>
                <w:rFonts w:hint="eastAsia"/>
                <w:b/>
                <w:bCs/>
                <w:lang w:val="zh-CN"/>
              </w:rPr>
            </w:pPr>
            <w:r>
              <w:rPr>
                <w:rFonts w:hint="eastAsia"/>
                <w:b/>
                <w:bCs/>
                <w:lang w:val="zh-CN"/>
              </w:rPr>
              <w:t>工业</w:t>
            </w:r>
          </w:p>
        </w:tc>
        <w:tc>
          <w:tcPr>
            <w:tcW w:w="480" w:type="pct"/>
            <w:shd w:val="clear" w:color="auto" w:fill="FFFFFF"/>
            <w:noWrap w:val="0"/>
            <w:tcMar>
              <w:top w:w="57" w:type="dxa"/>
              <w:left w:w="28" w:type="dxa"/>
              <w:bottom w:w="57" w:type="dxa"/>
              <w:right w:w="28" w:type="dxa"/>
            </w:tcMar>
            <w:vAlign w:val="center"/>
          </w:tcPr>
          <w:p w14:paraId="7B25D061">
            <w:pPr>
              <w:pStyle w:val="11"/>
              <w:bidi w:val="0"/>
              <w:jc w:val="center"/>
              <w:rPr>
                <w:rFonts w:hint="eastAsia"/>
                <w:b/>
                <w:bCs/>
                <w:lang w:val="zh-CN"/>
              </w:rPr>
            </w:pPr>
            <w:r>
              <w:rPr>
                <w:rFonts w:hint="eastAsia"/>
                <w:b/>
                <w:bCs/>
                <w:lang w:val="zh-CN"/>
              </w:rPr>
              <w:t>城镇公用</w:t>
            </w:r>
          </w:p>
        </w:tc>
        <w:tc>
          <w:tcPr>
            <w:tcW w:w="575" w:type="pct"/>
            <w:shd w:val="clear" w:color="auto" w:fill="FFFFFF"/>
            <w:noWrap w:val="0"/>
            <w:tcMar>
              <w:top w:w="57" w:type="dxa"/>
              <w:left w:w="28" w:type="dxa"/>
              <w:bottom w:w="57" w:type="dxa"/>
              <w:right w:w="28" w:type="dxa"/>
            </w:tcMar>
            <w:vAlign w:val="center"/>
          </w:tcPr>
          <w:p w14:paraId="02188235">
            <w:pPr>
              <w:pStyle w:val="11"/>
              <w:bidi w:val="0"/>
              <w:jc w:val="center"/>
              <w:rPr>
                <w:rFonts w:hint="eastAsia"/>
                <w:b/>
                <w:bCs/>
                <w:lang w:val="zh-CN"/>
              </w:rPr>
            </w:pPr>
            <w:r>
              <w:rPr>
                <w:rFonts w:hint="eastAsia"/>
                <w:b/>
                <w:bCs/>
                <w:lang w:val="zh-CN"/>
              </w:rPr>
              <w:t>占总用水比例（%）</w:t>
            </w:r>
          </w:p>
        </w:tc>
        <w:tc>
          <w:tcPr>
            <w:tcW w:w="436" w:type="pct"/>
            <w:vMerge w:val="continue"/>
            <w:shd w:val="clear" w:color="auto" w:fill="FFFFFF"/>
            <w:noWrap w:val="0"/>
            <w:vAlign w:val="center"/>
          </w:tcPr>
          <w:p w14:paraId="69A63CF0">
            <w:pPr>
              <w:pStyle w:val="11"/>
              <w:bidi w:val="0"/>
              <w:jc w:val="center"/>
              <w:rPr>
                <w:rFonts w:hint="eastAsia"/>
              </w:rPr>
            </w:pPr>
          </w:p>
        </w:tc>
        <w:tc>
          <w:tcPr>
            <w:tcW w:w="503" w:type="pct"/>
            <w:vMerge w:val="continue"/>
            <w:shd w:val="clear" w:color="auto" w:fill="FFFFFF"/>
            <w:noWrap w:val="0"/>
            <w:vAlign w:val="center"/>
          </w:tcPr>
          <w:p w14:paraId="6EB2736A">
            <w:pPr>
              <w:pStyle w:val="11"/>
              <w:bidi w:val="0"/>
              <w:jc w:val="center"/>
              <w:rPr>
                <w:rFonts w:hint="eastAsia"/>
              </w:rPr>
            </w:pPr>
          </w:p>
        </w:tc>
        <w:tc>
          <w:tcPr>
            <w:tcW w:w="485" w:type="pct"/>
            <w:vMerge w:val="continue"/>
            <w:shd w:val="clear" w:color="auto" w:fill="FFFFFF"/>
            <w:noWrap w:val="0"/>
            <w:vAlign w:val="center"/>
          </w:tcPr>
          <w:p w14:paraId="6D570F09">
            <w:pPr>
              <w:pStyle w:val="11"/>
              <w:bidi w:val="0"/>
              <w:jc w:val="center"/>
              <w:rPr>
                <w:rFonts w:hint="eastAsia"/>
              </w:rPr>
            </w:pPr>
          </w:p>
        </w:tc>
        <w:tc>
          <w:tcPr>
            <w:tcW w:w="448" w:type="pct"/>
            <w:vMerge w:val="continue"/>
            <w:shd w:val="clear" w:color="auto" w:fill="FFFFFF"/>
            <w:noWrap w:val="0"/>
            <w:vAlign w:val="center"/>
          </w:tcPr>
          <w:p w14:paraId="6A77C319">
            <w:pPr>
              <w:pStyle w:val="11"/>
              <w:bidi w:val="0"/>
              <w:jc w:val="center"/>
              <w:rPr>
                <w:rFonts w:hint="eastAsia"/>
              </w:rPr>
            </w:pPr>
          </w:p>
        </w:tc>
        <w:tc>
          <w:tcPr>
            <w:tcW w:w="484" w:type="pct"/>
            <w:vMerge w:val="continue"/>
            <w:shd w:val="clear" w:color="auto" w:fill="FFFFFF"/>
            <w:noWrap w:val="0"/>
            <w:vAlign w:val="center"/>
          </w:tcPr>
          <w:p w14:paraId="46C19C20">
            <w:pPr>
              <w:pStyle w:val="11"/>
              <w:bidi w:val="0"/>
              <w:jc w:val="center"/>
              <w:rPr>
                <w:rFonts w:hint="eastAsia"/>
              </w:rPr>
            </w:pPr>
          </w:p>
        </w:tc>
      </w:tr>
      <w:tr w14:paraId="204831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83" w:hRule="atLeast"/>
        </w:trPr>
        <w:tc>
          <w:tcPr>
            <w:tcW w:w="295" w:type="pct"/>
            <w:shd w:val="clear" w:color="auto" w:fill="FFFFFF"/>
            <w:noWrap w:val="0"/>
            <w:tcMar>
              <w:top w:w="57" w:type="dxa"/>
              <w:left w:w="57" w:type="dxa"/>
              <w:bottom w:w="57" w:type="dxa"/>
              <w:right w:w="57" w:type="dxa"/>
            </w:tcMar>
            <w:vAlign w:val="center"/>
          </w:tcPr>
          <w:p w14:paraId="5CCFB89C">
            <w:pPr>
              <w:pStyle w:val="11"/>
              <w:bidi w:val="0"/>
              <w:jc w:val="center"/>
              <w:rPr>
                <w:rFonts w:hint="eastAsia"/>
                <w:lang w:val="zh-CN"/>
              </w:rPr>
            </w:pPr>
            <w:r>
              <w:rPr>
                <w:rFonts w:hint="eastAsia"/>
                <w:lang w:val="zh-CN"/>
              </w:rPr>
              <w:t>2018</w:t>
            </w:r>
          </w:p>
        </w:tc>
        <w:tc>
          <w:tcPr>
            <w:tcW w:w="498" w:type="pct"/>
            <w:shd w:val="clear" w:color="auto" w:fill="FFFFFF"/>
            <w:noWrap w:val="0"/>
            <w:tcMar>
              <w:top w:w="57" w:type="dxa"/>
              <w:left w:w="57" w:type="dxa"/>
              <w:bottom w:w="57" w:type="dxa"/>
              <w:right w:w="57" w:type="dxa"/>
            </w:tcMar>
            <w:vAlign w:val="center"/>
          </w:tcPr>
          <w:p w14:paraId="0F9D078D">
            <w:pPr>
              <w:pStyle w:val="11"/>
              <w:bidi w:val="0"/>
              <w:jc w:val="center"/>
              <w:rPr>
                <w:rFonts w:hint="eastAsia"/>
                <w:lang w:val="zh-CN"/>
              </w:rPr>
            </w:pPr>
            <w:r>
              <w:rPr>
                <w:rFonts w:hint="eastAsia"/>
                <w:lang w:val="zh-CN"/>
              </w:rPr>
              <w:t>19729</w:t>
            </w:r>
          </w:p>
        </w:tc>
        <w:tc>
          <w:tcPr>
            <w:tcW w:w="479" w:type="pct"/>
            <w:shd w:val="clear" w:color="auto" w:fill="FFFFFF"/>
            <w:noWrap w:val="0"/>
            <w:tcMar>
              <w:top w:w="57" w:type="dxa"/>
              <w:left w:w="57" w:type="dxa"/>
              <w:bottom w:w="57" w:type="dxa"/>
              <w:right w:w="57" w:type="dxa"/>
            </w:tcMar>
            <w:vAlign w:val="center"/>
          </w:tcPr>
          <w:p w14:paraId="3FF2C638">
            <w:pPr>
              <w:pStyle w:val="11"/>
              <w:bidi w:val="0"/>
              <w:jc w:val="center"/>
              <w:rPr>
                <w:rFonts w:hint="eastAsia"/>
                <w:lang w:val="zh-CN"/>
              </w:rPr>
            </w:pPr>
            <w:r>
              <w:rPr>
                <w:rFonts w:hint="eastAsia"/>
                <w:lang w:val="zh-CN"/>
              </w:rPr>
              <w:t>2448</w:t>
            </w:r>
          </w:p>
        </w:tc>
        <w:tc>
          <w:tcPr>
            <w:tcW w:w="313" w:type="pct"/>
            <w:shd w:val="clear" w:color="auto" w:fill="FFFFFF"/>
            <w:noWrap w:val="0"/>
            <w:tcMar>
              <w:top w:w="57" w:type="dxa"/>
              <w:left w:w="57" w:type="dxa"/>
              <w:bottom w:w="57" w:type="dxa"/>
              <w:right w:w="57" w:type="dxa"/>
            </w:tcMar>
            <w:vAlign w:val="center"/>
          </w:tcPr>
          <w:p w14:paraId="48268DCD">
            <w:pPr>
              <w:pStyle w:val="11"/>
              <w:bidi w:val="0"/>
              <w:jc w:val="center"/>
              <w:rPr>
                <w:rFonts w:hint="eastAsia"/>
                <w:lang w:val="zh-CN"/>
              </w:rPr>
            </w:pPr>
            <w:r>
              <w:rPr>
                <w:rFonts w:hint="eastAsia"/>
                <w:lang w:val="zh-CN"/>
              </w:rPr>
              <w:t>1876</w:t>
            </w:r>
          </w:p>
        </w:tc>
        <w:tc>
          <w:tcPr>
            <w:tcW w:w="480" w:type="pct"/>
            <w:shd w:val="clear" w:color="auto" w:fill="FFFFFF"/>
            <w:noWrap w:val="0"/>
            <w:tcMar>
              <w:top w:w="57" w:type="dxa"/>
              <w:left w:w="57" w:type="dxa"/>
              <w:bottom w:w="57" w:type="dxa"/>
              <w:right w:w="57" w:type="dxa"/>
            </w:tcMar>
            <w:vAlign w:val="center"/>
          </w:tcPr>
          <w:p w14:paraId="22CE481A">
            <w:pPr>
              <w:pStyle w:val="11"/>
              <w:bidi w:val="0"/>
              <w:jc w:val="center"/>
              <w:rPr>
                <w:rFonts w:hint="eastAsia"/>
                <w:lang w:val="zh-CN"/>
              </w:rPr>
            </w:pPr>
            <w:r>
              <w:rPr>
                <w:rFonts w:hint="eastAsia"/>
                <w:lang w:val="zh-CN"/>
              </w:rPr>
              <w:t>550</w:t>
            </w:r>
          </w:p>
        </w:tc>
        <w:tc>
          <w:tcPr>
            <w:tcW w:w="575" w:type="pct"/>
            <w:shd w:val="clear" w:color="auto" w:fill="FFFFFF"/>
            <w:noWrap w:val="0"/>
            <w:tcMar>
              <w:top w:w="57" w:type="dxa"/>
              <w:left w:w="57" w:type="dxa"/>
              <w:bottom w:w="57" w:type="dxa"/>
              <w:right w:w="57" w:type="dxa"/>
            </w:tcMar>
            <w:vAlign w:val="center"/>
          </w:tcPr>
          <w:p w14:paraId="187B0D36">
            <w:pPr>
              <w:pStyle w:val="11"/>
              <w:bidi w:val="0"/>
              <w:jc w:val="center"/>
              <w:rPr>
                <w:rFonts w:hint="eastAsia"/>
                <w:lang w:val="zh-CN"/>
              </w:rPr>
            </w:pPr>
            <w:r>
              <w:rPr>
                <w:rFonts w:hint="eastAsia"/>
                <w:lang w:val="zh-CN"/>
              </w:rPr>
              <w:t>93.16</w:t>
            </w:r>
          </w:p>
        </w:tc>
        <w:tc>
          <w:tcPr>
            <w:tcW w:w="436" w:type="pct"/>
            <w:shd w:val="clear" w:color="auto" w:fill="FFFFFF"/>
            <w:noWrap w:val="0"/>
            <w:tcMar>
              <w:top w:w="57" w:type="dxa"/>
              <w:left w:w="57" w:type="dxa"/>
              <w:bottom w:w="57" w:type="dxa"/>
              <w:right w:w="57" w:type="dxa"/>
            </w:tcMar>
            <w:vAlign w:val="center"/>
          </w:tcPr>
          <w:p w14:paraId="79B6FDFE">
            <w:pPr>
              <w:pStyle w:val="11"/>
              <w:bidi w:val="0"/>
              <w:jc w:val="center"/>
              <w:rPr>
                <w:rFonts w:hint="eastAsia"/>
                <w:lang w:val="zh-CN"/>
              </w:rPr>
            </w:pPr>
            <w:r>
              <w:rPr>
                <w:rFonts w:hint="eastAsia"/>
                <w:lang w:val="zh-CN"/>
              </w:rPr>
              <w:t>1555</w:t>
            </w:r>
          </w:p>
        </w:tc>
        <w:tc>
          <w:tcPr>
            <w:tcW w:w="503" w:type="pct"/>
            <w:shd w:val="clear" w:color="auto" w:fill="FFFFFF"/>
            <w:noWrap w:val="0"/>
            <w:tcMar>
              <w:top w:w="57" w:type="dxa"/>
              <w:left w:w="57" w:type="dxa"/>
              <w:bottom w:w="57" w:type="dxa"/>
              <w:right w:w="57" w:type="dxa"/>
            </w:tcMar>
            <w:vAlign w:val="center"/>
          </w:tcPr>
          <w:p w14:paraId="5580BCE1">
            <w:pPr>
              <w:pStyle w:val="11"/>
              <w:bidi w:val="0"/>
              <w:jc w:val="center"/>
              <w:rPr>
                <w:rFonts w:hint="eastAsia"/>
                <w:lang w:val="zh-CN"/>
              </w:rPr>
            </w:pPr>
            <w:r>
              <w:rPr>
                <w:rFonts w:hint="eastAsia"/>
                <w:lang w:val="zh-CN"/>
              </w:rPr>
              <w:t>5.89</w:t>
            </w:r>
          </w:p>
        </w:tc>
        <w:tc>
          <w:tcPr>
            <w:tcW w:w="485" w:type="pct"/>
            <w:shd w:val="clear" w:color="auto" w:fill="FFFFFF"/>
            <w:noWrap w:val="0"/>
            <w:tcMar>
              <w:top w:w="57" w:type="dxa"/>
              <w:left w:w="57" w:type="dxa"/>
              <w:bottom w:w="57" w:type="dxa"/>
              <w:right w:w="57" w:type="dxa"/>
            </w:tcMar>
            <w:vAlign w:val="center"/>
          </w:tcPr>
          <w:p w14:paraId="2ACB2F77">
            <w:pPr>
              <w:pStyle w:val="11"/>
              <w:bidi w:val="0"/>
              <w:jc w:val="center"/>
              <w:rPr>
                <w:rFonts w:hint="eastAsia"/>
                <w:lang w:val="zh-CN"/>
              </w:rPr>
            </w:pPr>
            <w:r>
              <w:rPr>
                <w:rFonts w:hint="eastAsia"/>
                <w:lang w:val="zh-CN"/>
              </w:rPr>
              <w:t>250</w:t>
            </w:r>
          </w:p>
        </w:tc>
        <w:tc>
          <w:tcPr>
            <w:tcW w:w="448" w:type="pct"/>
            <w:shd w:val="clear" w:color="auto" w:fill="FFFFFF"/>
            <w:noWrap w:val="0"/>
            <w:tcMar>
              <w:top w:w="57" w:type="dxa"/>
              <w:left w:w="57" w:type="dxa"/>
              <w:bottom w:w="57" w:type="dxa"/>
              <w:right w:w="57" w:type="dxa"/>
            </w:tcMar>
            <w:vAlign w:val="center"/>
          </w:tcPr>
          <w:p w14:paraId="5B11139A">
            <w:pPr>
              <w:pStyle w:val="11"/>
              <w:bidi w:val="0"/>
              <w:jc w:val="center"/>
              <w:rPr>
                <w:rFonts w:hint="eastAsia"/>
                <w:lang w:val="zh-CN"/>
              </w:rPr>
            </w:pPr>
            <w:r>
              <w:rPr>
                <w:rFonts w:hint="eastAsia"/>
                <w:lang w:val="zh-CN"/>
              </w:rPr>
              <w:t>0.95</w:t>
            </w:r>
          </w:p>
        </w:tc>
        <w:tc>
          <w:tcPr>
            <w:tcW w:w="484" w:type="pct"/>
            <w:shd w:val="clear" w:color="auto" w:fill="FFFFFF"/>
            <w:noWrap w:val="0"/>
            <w:tcMar>
              <w:top w:w="57" w:type="dxa"/>
              <w:left w:w="57" w:type="dxa"/>
              <w:bottom w:w="57" w:type="dxa"/>
              <w:right w:w="57" w:type="dxa"/>
            </w:tcMar>
            <w:vAlign w:val="center"/>
          </w:tcPr>
          <w:p w14:paraId="0D1847F7">
            <w:pPr>
              <w:pStyle w:val="11"/>
              <w:bidi w:val="0"/>
              <w:jc w:val="center"/>
              <w:rPr>
                <w:rFonts w:hint="eastAsia"/>
                <w:lang w:val="zh-CN"/>
              </w:rPr>
            </w:pPr>
            <w:r>
              <w:rPr>
                <w:rFonts w:hint="eastAsia"/>
                <w:lang w:val="zh-CN"/>
              </w:rPr>
              <w:t>26158</w:t>
            </w:r>
          </w:p>
        </w:tc>
      </w:tr>
    </w:tbl>
    <w:p w14:paraId="268FDC9B">
      <w:pPr>
        <w:bidi w:val="0"/>
        <w:ind w:left="0" w:leftChars="0" w:firstLine="0" w:firstLineChars="0"/>
        <w:jc w:val="center"/>
        <w:rPr>
          <w:rFonts w:hint="eastAsia"/>
          <w:b/>
          <w:bCs/>
          <w:lang w:val="zh-CN"/>
        </w:rPr>
      </w:pPr>
      <w:r>
        <w:rPr>
          <w:rFonts w:hint="eastAsia"/>
          <w:b/>
          <w:bCs/>
          <w:lang w:val="zh-CN"/>
        </w:rPr>
        <w:t>表12</w:t>
      </w:r>
      <w:r>
        <w:rPr>
          <w:rFonts w:hint="eastAsia"/>
          <w:b/>
          <w:bCs/>
          <w:lang w:val="en-US" w:eastAsia="zh-CN"/>
        </w:rPr>
        <w:t xml:space="preserve">  </w:t>
      </w:r>
      <w:r>
        <w:rPr>
          <w:rFonts w:hint="eastAsia"/>
          <w:b/>
          <w:bCs/>
          <w:lang w:val="zh-CN"/>
        </w:rPr>
        <w:t>南雄市水资源利用表（2018年）</w:t>
      </w:r>
    </w:p>
    <w:tbl>
      <w:tblPr>
        <w:tblStyle w:val="7"/>
        <w:tblW w:w="4997" w:type="pct"/>
        <w:tblInd w:w="0" w:type="dxa"/>
        <w:tblLayout w:type="autofit"/>
        <w:tblCellMar>
          <w:top w:w="0" w:type="dxa"/>
          <w:left w:w="0" w:type="dxa"/>
          <w:bottom w:w="0" w:type="dxa"/>
          <w:right w:w="0" w:type="dxa"/>
        </w:tblCellMar>
      </w:tblPr>
      <w:tblGrid>
        <w:gridCol w:w="1962"/>
        <w:gridCol w:w="1962"/>
        <w:gridCol w:w="1960"/>
        <w:gridCol w:w="1962"/>
        <w:gridCol w:w="1950"/>
      </w:tblGrid>
      <w:tr w14:paraId="4E8ADF0D">
        <w:tblPrEx>
          <w:tblCellMar>
            <w:top w:w="0" w:type="dxa"/>
            <w:left w:w="0" w:type="dxa"/>
            <w:bottom w:w="0" w:type="dxa"/>
            <w:right w:w="0" w:type="dxa"/>
          </w:tblCellMar>
        </w:tblPrEx>
        <w:trPr>
          <w:trHeight w:val="510" w:hRule="atLeast"/>
          <w:tblHeader/>
        </w:trPr>
        <w:tc>
          <w:tcPr>
            <w:tcW w:w="1001"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01F5C48">
            <w:pPr>
              <w:pStyle w:val="11"/>
              <w:bidi w:val="0"/>
              <w:jc w:val="center"/>
              <w:rPr>
                <w:rFonts w:hint="eastAsia"/>
                <w:b/>
                <w:bCs/>
                <w:lang w:val="zh-CN"/>
              </w:rPr>
            </w:pPr>
            <w:r>
              <w:rPr>
                <w:rFonts w:hint="eastAsia"/>
                <w:b/>
                <w:bCs/>
                <w:lang w:val="zh-CN"/>
              </w:rPr>
              <w:t>年度</w:t>
            </w:r>
          </w:p>
        </w:tc>
        <w:tc>
          <w:tcPr>
            <w:tcW w:w="1001"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BBEC379">
            <w:pPr>
              <w:pStyle w:val="11"/>
              <w:bidi w:val="0"/>
              <w:jc w:val="center"/>
              <w:rPr>
                <w:rFonts w:hint="eastAsia"/>
                <w:b/>
                <w:bCs/>
                <w:lang w:val="zh-CN"/>
              </w:rPr>
            </w:pPr>
            <w:r>
              <w:rPr>
                <w:rFonts w:hint="eastAsia"/>
                <w:b/>
                <w:bCs/>
                <w:lang w:val="zh-CN"/>
              </w:rPr>
              <w:t>径流量（亿立方米）</w:t>
            </w:r>
          </w:p>
        </w:tc>
        <w:tc>
          <w:tcPr>
            <w:tcW w:w="1000"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A268167">
            <w:pPr>
              <w:pStyle w:val="11"/>
              <w:bidi w:val="0"/>
              <w:jc w:val="center"/>
              <w:rPr>
                <w:rFonts w:hint="eastAsia"/>
                <w:b/>
                <w:bCs/>
                <w:lang w:val="zh-CN"/>
              </w:rPr>
            </w:pPr>
            <w:r>
              <w:rPr>
                <w:rFonts w:hint="eastAsia"/>
                <w:b/>
                <w:bCs/>
                <w:lang w:val="zh-CN"/>
              </w:rPr>
              <w:t>水资源量（亿立方米）</w:t>
            </w:r>
          </w:p>
        </w:tc>
        <w:tc>
          <w:tcPr>
            <w:tcW w:w="1001"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E7F52A8">
            <w:pPr>
              <w:pStyle w:val="11"/>
              <w:bidi w:val="0"/>
              <w:jc w:val="center"/>
              <w:rPr>
                <w:rFonts w:hint="eastAsia"/>
                <w:b/>
                <w:bCs/>
                <w:lang w:val="zh-CN"/>
              </w:rPr>
            </w:pPr>
            <w:r>
              <w:rPr>
                <w:rFonts w:hint="eastAsia"/>
                <w:b/>
                <w:bCs/>
                <w:lang w:val="zh-CN"/>
              </w:rPr>
              <w:t>用水量（亿立方米）</w:t>
            </w:r>
          </w:p>
        </w:tc>
        <w:tc>
          <w:tcPr>
            <w:tcW w:w="995"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3859FCA0">
            <w:pPr>
              <w:pStyle w:val="11"/>
              <w:bidi w:val="0"/>
              <w:jc w:val="center"/>
              <w:rPr>
                <w:rFonts w:hint="eastAsia"/>
                <w:b/>
                <w:bCs/>
                <w:lang w:val="zh-CN"/>
              </w:rPr>
            </w:pPr>
            <w:r>
              <w:rPr>
                <w:rFonts w:hint="eastAsia"/>
                <w:b/>
                <w:bCs/>
                <w:lang w:val="zh-CN"/>
              </w:rPr>
              <w:t>水资源利用率（%）</w:t>
            </w:r>
          </w:p>
        </w:tc>
      </w:tr>
      <w:tr w14:paraId="3CEFCD6E">
        <w:tblPrEx>
          <w:tblCellMar>
            <w:top w:w="0" w:type="dxa"/>
            <w:left w:w="0" w:type="dxa"/>
            <w:bottom w:w="0" w:type="dxa"/>
            <w:right w:w="0" w:type="dxa"/>
          </w:tblCellMar>
        </w:tblPrEx>
        <w:trPr>
          <w:trHeight w:val="396" w:hRule="atLeast"/>
        </w:trPr>
        <w:tc>
          <w:tcPr>
            <w:tcW w:w="1001"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7788714">
            <w:pPr>
              <w:pStyle w:val="11"/>
              <w:bidi w:val="0"/>
              <w:jc w:val="center"/>
              <w:rPr>
                <w:rFonts w:hint="eastAsia"/>
                <w:lang w:val="zh-CN"/>
              </w:rPr>
            </w:pPr>
            <w:r>
              <w:rPr>
                <w:rFonts w:hint="eastAsia"/>
                <w:lang w:val="zh-CN"/>
              </w:rPr>
              <w:t>2018</w:t>
            </w:r>
          </w:p>
        </w:tc>
        <w:tc>
          <w:tcPr>
            <w:tcW w:w="1001"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5E43CA8">
            <w:pPr>
              <w:pStyle w:val="11"/>
              <w:bidi w:val="0"/>
              <w:jc w:val="center"/>
              <w:rPr>
                <w:rFonts w:hint="eastAsia"/>
                <w:lang w:val="zh-CN"/>
              </w:rPr>
            </w:pPr>
            <w:r>
              <w:rPr>
                <w:rFonts w:hint="eastAsia"/>
                <w:lang w:val="zh-CN"/>
              </w:rPr>
              <w:t>34.17</w:t>
            </w:r>
          </w:p>
        </w:tc>
        <w:tc>
          <w:tcPr>
            <w:tcW w:w="1000"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EC4F08A">
            <w:pPr>
              <w:pStyle w:val="11"/>
              <w:bidi w:val="0"/>
              <w:jc w:val="center"/>
              <w:rPr>
                <w:rFonts w:hint="eastAsia"/>
                <w:lang w:val="zh-CN"/>
              </w:rPr>
            </w:pPr>
            <w:r>
              <w:rPr>
                <w:rFonts w:hint="eastAsia"/>
                <w:lang w:val="zh-CN"/>
              </w:rPr>
              <w:t>22.98</w:t>
            </w:r>
          </w:p>
        </w:tc>
        <w:tc>
          <w:tcPr>
            <w:tcW w:w="1001"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37C5CD0">
            <w:pPr>
              <w:pStyle w:val="11"/>
              <w:bidi w:val="0"/>
              <w:jc w:val="center"/>
              <w:rPr>
                <w:rFonts w:hint="eastAsia"/>
                <w:lang w:val="zh-CN"/>
              </w:rPr>
            </w:pPr>
            <w:r>
              <w:rPr>
                <w:rFonts w:hint="eastAsia"/>
                <w:lang w:val="zh-CN"/>
              </w:rPr>
              <w:t>2.6408</w:t>
            </w:r>
          </w:p>
        </w:tc>
        <w:tc>
          <w:tcPr>
            <w:tcW w:w="995"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172C8431">
            <w:pPr>
              <w:pStyle w:val="11"/>
              <w:bidi w:val="0"/>
              <w:jc w:val="center"/>
              <w:rPr>
                <w:rFonts w:hint="eastAsia"/>
                <w:lang w:val="zh-CN"/>
              </w:rPr>
            </w:pPr>
            <w:r>
              <w:rPr>
                <w:rFonts w:hint="eastAsia"/>
                <w:lang w:val="zh-CN"/>
              </w:rPr>
              <w:t>11.49</w:t>
            </w:r>
          </w:p>
        </w:tc>
      </w:tr>
    </w:tbl>
    <w:p w14:paraId="093EE68D">
      <w:pPr>
        <w:bidi w:val="0"/>
        <w:ind w:left="0" w:leftChars="0" w:firstLine="0" w:firstLineChars="0"/>
        <w:jc w:val="center"/>
        <w:rPr>
          <w:rFonts w:hint="eastAsia"/>
          <w:b/>
          <w:bCs/>
          <w:lang w:val="zh-CN"/>
        </w:rPr>
      </w:pPr>
      <w:r>
        <w:rPr>
          <w:rFonts w:hint="eastAsia"/>
          <w:b/>
          <w:bCs/>
          <w:lang w:val="zh-CN"/>
        </w:rPr>
        <w:t>表13</w:t>
      </w:r>
      <w:r>
        <w:rPr>
          <w:rFonts w:hint="eastAsia"/>
          <w:b/>
          <w:bCs/>
          <w:lang w:val="en-US" w:eastAsia="zh-CN"/>
        </w:rPr>
        <w:t xml:space="preserve">  </w:t>
      </w:r>
      <w:r>
        <w:rPr>
          <w:rFonts w:hint="eastAsia"/>
          <w:b/>
          <w:bCs/>
          <w:lang w:val="zh-CN"/>
        </w:rPr>
        <w:t>南雄市主要用水指标（2018年）</w:t>
      </w:r>
    </w:p>
    <w:tbl>
      <w:tblPr>
        <w:tblStyle w:val="7"/>
        <w:tblW w:w="5026" w:type="pct"/>
        <w:tblInd w:w="0" w:type="dxa"/>
        <w:tblLayout w:type="autofit"/>
        <w:tblCellMar>
          <w:top w:w="0" w:type="dxa"/>
          <w:left w:w="0" w:type="dxa"/>
          <w:bottom w:w="0" w:type="dxa"/>
          <w:right w:w="0" w:type="dxa"/>
        </w:tblCellMar>
      </w:tblPr>
      <w:tblGrid>
        <w:gridCol w:w="659"/>
        <w:gridCol w:w="916"/>
        <w:gridCol w:w="1054"/>
        <w:gridCol w:w="1337"/>
        <w:gridCol w:w="1145"/>
        <w:gridCol w:w="1211"/>
        <w:gridCol w:w="1353"/>
        <w:gridCol w:w="830"/>
        <w:gridCol w:w="1320"/>
      </w:tblGrid>
      <w:tr w14:paraId="4765151C">
        <w:tblPrEx>
          <w:tblCellMar>
            <w:top w:w="0" w:type="dxa"/>
            <w:left w:w="0" w:type="dxa"/>
            <w:bottom w:w="0" w:type="dxa"/>
            <w:right w:w="0" w:type="dxa"/>
          </w:tblCellMar>
        </w:tblPrEx>
        <w:trPr>
          <w:trHeight w:val="220" w:hRule="atLeast"/>
          <w:tblHeader/>
        </w:trPr>
        <w:tc>
          <w:tcPr>
            <w:tcW w:w="335" w:type="pct"/>
            <w:vMerge w:val="restart"/>
            <w:tcBorders>
              <w:top w:val="single" w:color="auto" w:sz="4" w:space="0"/>
              <w:left w:val="nil"/>
              <w:bottom w:val="single" w:color="auto" w:sz="4" w:space="0"/>
              <w:right w:val="single" w:color="auto" w:sz="4" w:space="0"/>
            </w:tcBorders>
            <w:shd w:val="clear" w:color="auto" w:fill="FFFFFF"/>
            <w:noWrap w:val="0"/>
            <w:vAlign w:val="center"/>
          </w:tcPr>
          <w:p w14:paraId="6F0E4A24">
            <w:pPr>
              <w:pStyle w:val="11"/>
              <w:bidi w:val="0"/>
              <w:jc w:val="center"/>
              <w:rPr>
                <w:rFonts w:hint="eastAsia"/>
                <w:b/>
                <w:bCs/>
                <w:color w:val="000000"/>
                <w:lang w:val="zh-CN"/>
              </w:rPr>
            </w:pPr>
            <w:r>
              <w:rPr>
                <w:rFonts w:hint="eastAsia"/>
                <w:b/>
                <w:bCs/>
                <w:color w:val="000000"/>
                <w:lang w:val="zh-CN"/>
              </w:rPr>
              <w:t>年度</w:t>
            </w:r>
          </w:p>
        </w:tc>
        <w:tc>
          <w:tcPr>
            <w:tcW w:w="466" w:type="pct"/>
            <w:vMerge w:val="restar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57A949D">
            <w:pPr>
              <w:pStyle w:val="11"/>
              <w:bidi w:val="0"/>
              <w:jc w:val="center"/>
              <w:rPr>
                <w:rFonts w:hint="eastAsia"/>
                <w:b/>
                <w:bCs/>
                <w:color w:val="000000"/>
                <w:lang w:val="zh-CN"/>
              </w:rPr>
            </w:pPr>
            <w:r>
              <w:rPr>
                <w:rFonts w:hint="eastAsia"/>
                <w:b/>
                <w:bCs/>
                <w:color w:val="000000"/>
                <w:lang w:val="zh-CN"/>
              </w:rPr>
              <w:t>人均GDP（元）</w:t>
            </w:r>
          </w:p>
        </w:tc>
        <w:tc>
          <w:tcPr>
            <w:tcW w:w="536" w:type="pct"/>
            <w:vMerge w:val="restar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2AFFF3D">
            <w:pPr>
              <w:pStyle w:val="11"/>
              <w:bidi w:val="0"/>
              <w:jc w:val="center"/>
              <w:rPr>
                <w:rFonts w:hint="eastAsia"/>
                <w:b/>
                <w:bCs/>
                <w:color w:val="000000"/>
                <w:lang w:val="zh-CN"/>
              </w:rPr>
            </w:pPr>
            <w:r>
              <w:rPr>
                <w:rFonts w:hint="eastAsia"/>
                <w:b/>
                <w:bCs/>
                <w:color w:val="000000"/>
                <w:lang w:val="zh-CN"/>
              </w:rPr>
              <w:t>人均综合用水量</w:t>
            </w:r>
          </w:p>
          <w:p w14:paraId="4CAD9833">
            <w:pPr>
              <w:pStyle w:val="11"/>
              <w:bidi w:val="0"/>
              <w:jc w:val="center"/>
              <w:rPr>
                <w:rFonts w:hint="eastAsia"/>
                <w:b/>
                <w:bCs/>
                <w:color w:val="000000"/>
                <w:lang w:val="zh-CN"/>
              </w:rPr>
            </w:pPr>
            <w:r>
              <w:rPr>
                <w:rFonts w:hint="eastAsia"/>
                <w:b/>
                <w:bCs/>
                <w:color w:val="000000"/>
                <w:lang w:val="zh-CN"/>
              </w:rPr>
              <w:t>（立方米）</w:t>
            </w:r>
          </w:p>
        </w:tc>
        <w:tc>
          <w:tcPr>
            <w:tcW w:w="680" w:type="pct"/>
            <w:vMerge w:val="restar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C06E9EF">
            <w:pPr>
              <w:pStyle w:val="11"/>
              <w:bidi w:val="0"/>
              <w:jc w:val="center"/>
              <w:rPr>
                <w:rFonts w:hint="eastAsia"/>
                <w:b/>
                <w:bCs/>
                <w:color w:val="000000"/>
                <w:lang w:val="zh-CN"/>
              </w:rPr>
            </w:pPr>
            <w:r>
              <w:rPr>
                <w:rFonts w:hint="eastAsia"/>
                <w:b/>
                <w:bCs/>
                <w:color w:val="000000"/>
                <w:lang w:val="zh-CN"/>
              </w:rPr>
              <w:t>万元GDP用水量（立方米）</w:t>
            </w:r>
          </w:p>
        </w:tc>
        <w:tc>
          <w:tcPr>
            <w:tcW w:w="1198" w:type="pct"/>
            <w:gridSpan w:val="2"/>
            <w:tcBorders>
              <w:top w:val="single" w:color="auto" w:sz="4" w:space="0"/>
              <w:left w:val="single" w:color="auto" w:sz="4" w:space="0"/>
              <w:bottom w:val="single" w:color="auto" w:sz="4" w:space="0"/>
              <w:right w:val="single" w:color="auto" w:sz="4" w:space="0"/>
            </w:tcBorders>
            <w:shd w:val="clear" w:color="auto" w:fill="FFFFFF"/>
            <w:noWrap w:val="0"/>
            <w:vAlign w:val="center"/>
          </w:tcPr>
          <w:p w14:paraId="42F63489">
            <w:pPr>
              <w:pStyle w:val="11"/>
              <w:bidi w:val="0"/>
              <w:jc w:val="center"/>
              <w:rPr>
                <w:rFonts w:hint="eastAsia"/>
                <w:b/>
                <w:bCs/>
                <w:color w:val="000000"/>
                <w:lang w:val="zh-CN"/>
              </w:rPr>
            </w:pPr>
            <w:r>
              <w:rPr>
                <w:rFonts w:hint="eastAsia"/>
                <w:b/>
                <w:bCs/>
                <w:color w:val="000000"/>
                <w:lang w:val="zh-CN"/>
              </w:rPr>
              <w:t>万元工业增加值用水量（立方米）</w:t>
            </w:r>
          </w:p>
        </w:tc>
        <w:tc>
          <w:tcPr>
            <w:tcW w:w="688" w:type="pct"/>
            <w:vMerge w:val="restart"/>
            <w:tcBorders>
              <w:top w:val="single" w:color="auto" w:sz="4" w:space="0"/>
              <w:left w:val="single" w:color="auto" w:sz="4" w:space="0"/>
              <w:bottom w:val="single" w:color="auto" w:sz="4" w:space="0"/>
              <w:right w:val="single" w:color="auto" w:sz="4" w:space="0"/>
            </w:tcBorders>
            <w:shd w:val="clear" w:color="auto" w:fill="FFFFFF"/>
            <w:noWrap w:val="0"/>
            <w:tcMar>
              <w:top w:w="57" w:type="dxa"/>
              <w:left w:w="28" w:type="dxa"/>
              <w:bottom w:w="57" w:type="dxa"/>
              <w:right w:w="28" w:type="dxa"/>
            </w:tcMar>
            <w:vAlign w:val="center"/>
          </w:tcPr>
          <w:p w14:paraId="0469FBDD">
            <w:pPr>
              <w:pStyle w:val="11"/>
              <w:bidi w:val="0"/>
              <w:jc w:val="center"/>
              <w:rPr>
                <w:rFonts w:hint="eastAsia"/>
                <w:b/>
                <w:bCs/>
                <w:color w:val="000000"/>
                <w:lang w:val="zh-CN"/>
              </w:rPr>
            </w:pPr>
            <w:r>
              <w:rPr>
                <w:rFonts w:hint="eastAsia"/>
                <w:b/>
                <w:bCs/>
                <w:color w:val="000000"/>
                <w:lang w:val="zh-CN"/>
              </w:rPr>
              <w:t>农田实灌亩均用水量</w:t>
            </w:r>
          </w:p>
          <w:p w14:paraId="3DCF2D01">
            <w:pPr>
              <w:pStyle w:val="11"/>
              <w:bidi w:val="0"/>
              <w:jc w:val="center"/>
              <w:rPr>
                <w:rFonts w:hint="eastAsia"/>
                <w:b/>
                <w:bCs/>
                <w:color w:val="000000"/>
                <w:lang w:val="zh-CN"/>
              </w:rPr>
            </w:pPr>
            <w:r>
              <w:rPr>
                <w:rFonts w:hint="eastAsia"/>
                <w:b/>
                <w:bCs/>
                <w:color w:val="000000"/>
                <w:lang w:val="zh-CN"/>
              </w:rPr>
              <w:t>（立方米）</w:t>
            </w:r>
          </w:p>
        </w:tc>
        <w:tc>
          <w:tcPr>
            <w:tcW w:w="1093" w:type="pct"/>
            <w:gridSpan w:val="2"/>
            <w:tcBorders>
              <w:top w:val="single" w:color="auto" w:sz="4" w:space="0"/>
              <w:left w:val="single" w:color="auto" w:sz="4" w:space="0"/>
              <w:bottom w:val="single" w:color="auto" w:sz="4" w:space="0"/>
              <w:right w:val="nil"/>
            </w:tcBorders>
            <w:shd w:val="clear" w:color="auto" w:fill="FFFFFF"/>
            <w:noWrap w:val="0"/>
            <w:tcMar>
              <w:top w:w="57" w:type="dxa"/>
              <w:left w:w="28" w:type="dxa"/>
              <w:bottom w:w="57" w:type="dxa"/>
              <w:right w:w="28" w:type="dxa"/>
            </w:tcMar>
            <w:vAlign w:val="center"/>
          </w:tcPr>
          <w:p w14:paraId="2AF9A59E">
            <w:pPr>
              <w:pStyle w:val="11"/>
              <w:bidi w:val="0"/>
              <w:jc w:val="center"/>
              <w:rPr>
                <w:rFonts w:hint="eastAsia"/>
                <w:b/>
                <w:bCs/>
                <w:color w:val="000000"/>
                <w:lang w:val="zh-CN"/>
              </w:rPr>
            </w:pPr>
            <w:r>
              <w:rPr>
                <w:rFonts w:hint="eastAsia"/>
                <w:b/>
                <w:bCs/>
                <w:color w:val="000000"/>
                <w:lang w:val="zh-CN"/>
              </w:rPr>
              <w:t>居民生活人均用水量（升/日）</w:t>
            </w:r>
          </w:p>
        </w:tc>
      </w:tr>
      <w:tr w14:paraId="5F084F21">
        <w:tblPrEx>
          <w:tblCellMar>
            <w:top w:w="0" w:type="dxa"/>
            <w:left w:w="0" w:type="dxa"/>
            <w:bottom w:w="0" w:type="dxa"/>
            <w:right w:w="0" w:type="dxa"/>
          </w:tblCellMar>
        </w:tblPrEx>
        <w:trPr>
          <w:trHeight w:val="176" w:hRule="atLeast"/>
          <w:tblHeader/>
        </w:trPr>
        <w:tc>
          <w:tcPr>
            <w:tcW w:w="335" w:type="pct"/>
            <w:vMerge w:val="continue"/>
            <w:tcBorders>
              <w:top w:val="single" w:color="auto" w:sz="4" w:space="0"/>
              <w:left w:val="nil"/>
              <w:bottom w:val="single" w:color="auto" w:sz="4" w:space="0"/>
              <w:right w:val="single" w:color="auto" w:sz="4" w:space="0"/>
            </w:tcBorders>
            <w:shd w:val="clear" w:color="auto" w:fill="FFFFFF"/>
            <w:noWrap w:val="0"/>
            <w:vAlign w:val="center"/>
          </w:tcPr>
          <w:p w14:paraId="04A51CFB">
            <w:pPr>
              <w:pStyle w:val="11"/>
              <w:bidi w:val="0"/>
              <w:jc w:val="center"/>
              <w:rPr>
                <w:rFonts w:hint="eastAsia"/>
                <w:b/>
                <w:bCs/>
                <w:color w:val="000000"/>
              </w:rPr>
            </w:pPr>
          </w:p>
        </w:tc>
        <w:tc>
          <w:tcPr>
            <w:tcW w:w="466"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05C4B9D5">
            <w:pPr>
              <w:pStyle w:val="11"/>
              <w:bidi w:val="0"/>
              <w:jc w:val="center"/>
              <w:rPr>
                <w:rFonts w:hint="eastAsia"/>
                <w:b/>
                <w:bCs/>
                <w:color w:val="000000"/>
              </w:rPr>
            </w:pPr>
          </w:p>
        </w:tc>
        <w:tc>
          <w:tcPr>
            <w:tcW w:w="536"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5D2A1BCB">
            <w:pPr>
              <w:pStyle w:val="11"/>
              <w:bidi w:val="0"/>
              <w:jc w:val="center"/>
              <w:rPr>
                <w:rFonts w:hint="eastAsia"/>
                <w:b/>
                <w:bCs/>
                <w:color w:val="000000"/>
              </w:rPr>
            </w:pPr>
          </w:p>
        </w:tc>
        <w:tc>
          <w:tcPr>
            <w:tcW w:w="680"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522C6C75">
            <w:pPr>
              <w:pStyle w:val="11"/>
              <w:bidi w:val="0"/>
              <w:jc w:val="center"/>
              <w:rPr>
                <w:rFonts w:hint="eastAsia"/>
                <w:b/>
                <w:bCs/>
                <w:color w:val="000000"/>
              </w:rPr>
            </w:pPr>
          </w:p>
        </w:tc>
        <w:tc>
          <w:tcPr>
            <w:tcW w:w="58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7C5CBBE">
            <w:pPr>
              <w:pStyle w:val="11"/>
              <w:bidi w:val="0"/>
              <w:jc w:val="center"/>
              <w:rPr>
                <w:rFonts w:hint="eastAsia"/>
                <w:b/>
                <w:bCs/>
                <w:color w:val="000000"/>
                <w:lang w:val="zh-CN"/>
              </w:rPr>
            </w:pPr>
            <w:r>
              <w:rPr>
                <w:rFonts w:hint="eastAsia"/>
                <w:b/>
                <w:bCs/>
                <w:color w:val="000000"/>
                <w:lang w:val="zh-CN"/>
              </w:rPr>
              <w:t>含火电</w:t>
            </w:r>
          </w:p>
        </w:tc>
        <w:tc>
          <w:tcPr>
            <w:tcW w:w="616" w:type="pct"/>
            <w:tcBorders>
              <w:top w:val="single" w:color="auto" w:sz="4" w:space="0"/>
              <w:left w:val="single" w:color="auto" w:sz="4" w:space="0"/>
              <w:bottom w:val="single" w:color="auto" w:sz="4" w:space="0"/>
              <w:right w:val="single" w:color="auto" w:sz="4" w:space="0"/>
            </w:tcBorders>
            <w:shd w:val="clear" w:color="auto" w:fill="FFFFFF"/>
            <w:noWrap w:val="0"/>
            <w:tcMar>
              <w:top w:w="113" w:type="dxa"/>
              <w:left w:w="28" w:type="dxa"/>
              <w:bottom w:w="113" w:type="dxa"/>
              <w:right w:w="28" w:type="dxa"/>
            </w:tcMar>
            <w:vAlign w:val="center"/>
          </w:tcPr>
          <w:p w14:paraId="01D08AA0">
            <w:pPr>
              <w:pStyle w:val="11"/>
              <w:bidi w:val="0"/>
              <w:jc w:val="center"/>
              <w:rPr>
                <w:rFonts w:hint="eastAsia"/>
                <w:b/>
                <w:bCs/>
                <w:color w:val="000000"/>
                <w:lang w:val="zh-CN"/>
              </w:rPr>
            </w:pPr>
            <w:r>
              <w:rPr>
                <w:rFonts w:hint="eastAsia"/>
                <w:b/>
                <w:bCs/>
                <w:color w:val="000000"/>
                <w:lang w:val="zh-CN"/>
              </w:rPr>
              <w:t>不含火电</w:t>
            </w:r>
          </w:p>
        </w:tc>
        <w:tc>
          <w:tcPr>
            <w:tcW w:w="688"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22992F84">
            <w:pPr>
              <w:pStyle w:val="11"/>
              <w:bidi w:val="0"/>
              <w:jc w:val="center"/>
              <w:rPr>
                <w:rFonts w:hint="eastAsia"/>
                <w:b/>
                <w:bCs/>
                <w:color w:val="000000"/>
              </w:rPr>
            </w:pPr>
          </w:p>
        </w:tc>
        <w:tc>
          <w:tcPr>
            <w:tcW w:w="422" w:type="pct"/>
            <w:tcBorders>
              <w:top w:val="single" w:color="auto" w:sz="4" w:space="0"/>
              <w:left w:val="single" w:color="auto" w:sz="4" w:space="0"/>
              <w:bottom w:val="single" w:color="auto" w:sz="4" w:space="0"/>
              <w:right w:val="single" w:color="auto" w:sz="4" w:space="0"/>
            </w:tcBorders>
            <w:shd w:val="clear" w:color="auto" w:fill="FFFFFF"/>
            <w:noWrap w:val="0"/>
            <w:tcMar>
              <w:top w:w="113" w:type="dxa"/>
              <w:left w:w="28" w:type="dxa"/>
              <w:bottom w:w="113" w:type="dxa"/>
              <w:right w:w="28" w:type="dxa"/>
            </w:tcMar>
            <w:vAlign w:val="center"/>
          </w:tcPr>
          <w:p w14:paraId="73A85FFF">
            <w:pPr>
              <w:pStyle w:val="11"/>
              <w:bidi w:val="0"/>
              <w:jc w:val="center"/>
              <w:rPr>
                <w:rFonts w:hint="eastAsia"/>
                <w:b/>
                <w:bCs/>
                <w:color w:val="000000"/>
                <w:lang w:val="zh-CN"/>
              </w:rPr>
            </w:pPr>
            <w:r>
              <w:rPr>
                <w:rFonts w:hint="eastAsia"/>
                <w:b/>
                <w:bCs/>
                <w:color w:val="000000"/>
                <w:lang w:val="zh-CN"/>
              </w:rPr>
              <w:t>城镇</w:t>
            </w:r>
          </w:p>
        </w:tc>
        <w:tc>
          <w:tcPr>
            <w:tcW w:w="671"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7D9EB79B">
            <w:pPr>
              <w:pStyle w:val="11"/>
              <w:bidi w:val="0"/>
              <w:jc w:val="center"/>
              <w:rPr>
                <w:rFonts w:hint="eastAsia"/>
                <w:b/>
                <w:bCs/>
                <w:color w:val="000000"/>
                <w:lang w:val="zh-CN"/>
              </w:rPr>
            </w:pPr>
            <w:r>
              <w:rPr>
                <w:rFonts w:hint="eastAsia"/>
                <w:b/>
                <w:bCs/>
                <w:color w:val="000000"/>
                <w:lang w:val="zh-CN"/>
              </w:rPr>
              <w:t>农村</w:t>
            </w:r>
          </w:p>
        </w:tc>
      </w:tr>
      <w:tr w14:paraId="081EA21E">
        <w:tblPrEx>
          <w:tblCellMar>
            <w:top w:w="0" w:type="dxa"/>
            <w:left w:w="0" w:type="dxa"/>
            <w:bottom w:w="0" w:type="dxa"/>
            <w:right w:w="0" w:type="dxa"/>
          </w:tblCellMar>
        </w:tblPrEx>
        <w:trPr>
          <w:trHeight w:val="446" w:hRule="atLeast"/>
        </w:trPr>
        <w:tc>
          <w:tcPr>
            <w:tcW w:w="335" w:type="pct"/>
            <w:tcBorders>
              <w:top w:val="single" w:color="auto" w:sz="4" w:space="0"/>
              <w:left w:val="nil"/>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507D594D">
            <w:pPr>
              <w:pStyle w:val="11"/>
              <w:bidi w:val="0"/>
              <w:jc w:val="center"/>
              <w:rPr>
                <w:rFonts w:hint="eastAsia"/>
                <w:color w:val="000000"/>
                <w:lang w:val="zh-CN"/>
              </w:rPr>
            </w:pPr>
            <w:r>
              <w:rPr>
                <w:rFonts w:hint="eastAsia"/>
                <w:color w:val="000000"/>
                <w:lang w:val="zh-CN"/>
              </w:rPr>
              <w:t>2018</w:t>
            </w:r>
          </w:p>
        </w:tc>
        <w:tc>
          <w:tcPr>
            <w:tcW w:w="466" w:type="pct"/>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6E676D47">
            <w:pPr>
              <w:pStyle w:val="11"/>
              <w:bidi w:val="0"/>
              <w:jc w:val="center"/>
              <w:rPr>
                <w:rFonts w:hint="eastAsia"/>
                <w:color w:val="000000"/>
                <w:lang w:val="zh-CN"/>
              </w:rPr>
            </w:pPr>
            <w:r>
              <w:rPr>
                <w:rFonts w:hint="eastAsia"/>
                <w:color w:val="000000"/>
                <w:lang w:val="zh-CN"/>
              </w:rPr>
              <w:t>35706</w:t>
            </w:r>
          </w:p>
        </w:tc>
        <w:tc>
          <w:tcPr>
            <w:tcW w:w="536" w:type="pct"/>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0166D903">
            <w:pPr>
              <w:pStyle w:val="11"/>
              <w:bidi w:val="0"/>
              <w:jc w:val="center"/>
              <w:rPr>
                <w:rFonts w:hint="eastAsia"/>
                <w:color w:val="000000"/>
                <w:lang w:val="zh-CN"/>
              </w:rPr>
            </w:pPr>
            <w:r>
              <w:rPr>
                <w:rFonts w:hint="eastAsia"/>
                <w:color w:val="000000"/>
                <w:lang w:val="zh-CN"/>
              </w:rPr>
              <w:t>779</w:t>
            </w:r>
          </w:p>
        </w:tc>
        <w:tc>
          <w:tcPr>
            <w:tcW w:w="680" w:type="pct"/>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5A7C3F21">
            <w:pPr>
              <w:pStyle w:val="11"/>
              <w:bidi w:val="0"/>
              <w:jc w:val="center"/>
              <w:rPr>
                <w:rFonts w:hint="eastAsia"/>
                <w:color w:val="000000"/>
                <w:lang w:val="zh-CN"/>
              </w:rPr>
            </w:pPr>
            <w:r>
              <w:rPr>
                <w:rFonts w:hint="eastAsia"/>
                <w:color w:val="000000"/>
                <w:lang w:val="zh-CN"/>
              </w:rPr>
              <w:t>219.1</w:t>
            </w:r>
          </w:p>
        </w:tc>
        <w:tc>
          <w:tcPr>
            <w:tcW w:w="582" w:type="pct"/>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7D616794">
            <w:pPr>
              <w:pStyle w:val="11"/>
              <w:bidi w:val="0"/>
              <w:jc w:val="center"/>
              <w:rPr>
                <w:rFonts w:hint="eastAsia"/>
                <w:color w:val="000000"/>
                <w:lang w:val="zh-CN"/>
              </w:rPr>
            </w:pPr>
            <w:r>
              <w:rPr>
                <w:rFonts w:hint="eastAsia"/>
                <w:color w:val="000000"/>
                <w:lang w:val="zh-CN"/>
              </w:rPr>
              <w:t>0</w:t>
            </w:r>
          </w:p>
        </w:tc>
        <w:tc>
          <w:tcPr>
            <w:tcW w:w="616" w:type="pct"/>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2AB9D391">
            <w:pPr>
              <w:pStyle w:val="11"/>
              <w:bidi w:val="0"/>
              <w:jc w:val="center"/>
              <w:rPr>
                <w:rFonts w:hint="eastAsia"/>
                <w:color w:val="000000"/>
                <w:lang w:val="zh-CN"/>
              </w:rPr>
            </w:pPr>
            <w:r>
              <w:rPr>
                <w:rFonts w:hint="eastAsia"/>
                <w:color w:val="000000"/>
                <w:lang w:val="zh-CN"/>
              </w:rPr>
              <w:t>120</w:t>
            </w:r>
          </w:p>
        </w:tc>
        <w:tc>
          <w:tcPr>
            <w:tcW w:w="688" w:type="pct"/>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3CBDFD6F">
            <w:pPr>
              <w:pStyle w:val="11"/>
              <w:bidi w:val="0"/>
              <w:jc w:val="center"/>
              <w:rPr>
                <w:rFonts w:hint="eastAsia"/>
                <w:color w:val="000000"/>
                <w:lang w:val="zh-CN"/>
              </w:rPr>
            </w:pPr>
            <w:r>
              <w:rPr>
                <w:rFonts w:hint="eastAsia"/>
                <w:color w:val="000000"/>
                <w:lang w:val="zh-CN"/>
              </w:rPr>
              <w:t>631</w:t>
            </w:r>
          </w:p>
        </w:tc>
        <w:tc>
          <w:tcPr>
            <w:tcW w:w="422" w:type="pct"/>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6F114099">
            <w:pPr>
              <w:pStyle w:val="11"/>
              <w:bidi w:val="0"/>
              <w:jc w:val="center"/>
              <w:rPr>
                <w:rFonts w:hint="eastAsia"/>
                <w:color w:val="000000"/>
                <w:lang w:val="zh-CN"/>
              </w:rPr>
            </w:pPr>
            <w:r>
              <w:rPr>
                <w:rFonts w:hint="eastAsia"/>
                <w:color w:val="000000"/>
                <w:lang w:val="zh-CN"/>
              </w:rPr>
              <w:t>150</w:t>
            </w:r>
          </w:p>
        </w:tc>
        <w:tc>
          <w:tcPr>
            <w:tcW w:w="671" w:type="pct"/>
            <w:tcBorders>
              <w:top w:val="single" w:color="auto" w:sz="4" w:space="0"/>
              <w:left w:val="single" w:color="auto" w:sz="4" w:space="0"/>
              <w:bottom w:val="single" w:color="auto" w:sz="4" w:space="0"/>
              <w:right w:val="nil"/>
            </w:tcBorders>
            <w:shd w:val="clear" w:color="auto" w:fill="FFFFFF"/>
            <w:noWrap w:val="0"/>
            <w:tcMar>
              <w:top w:w="57" w:type="dxa"/>
              <w:left w:w="57" w:type="dxa"/>
              <w:bottom w:w="57" w:type="dxa"/>
              <w:right w:w="57" w:type="dxa"/>
            </w:tcMar>
            <w:vAlign w:val="center"/>
          </w:tcPr>
          <w:p w14:paraId="2890F2F3">
            <w:pPr>
              <w:pStyle w:val="11"/>
              <w:bidi w:val="0"/>
              <w:jc w:val="center"/>
              <w:rPr>
                <w:rFonts w:hint="eastAsia"/>
                <w:color w:val="000000"/>
                <w:lang w:val="zh-CN"/>
              </w:rPr>
            </w:pPr>
            <w:r>
              <w:rPr>
                <w:rFonts w:hint="eastAsia"/>
                <w:color w:val="000000"/>
                <w:lang w:val="zh-CN"/>
              </w:rPr>
              <w:t>104</w:t>
            </w:r>
          </w:p>
        </w:tc>
      </w:tr>
    </w:tbl>
    <w:p w14:paraId="081BCCAF">
      <w:pPr>
        <w:bidi w:val="0"/>
        <w:ind w:left="0" w:leftChars="0" w:firstLine="0" w:firstLineChars="0"/>
        <w:jc w:val="center"/>
        <w:rPr>
          <w:rFonts w:hint="eastAsia"/>
          <w:b/>
          <w:bCs/>
          <w:lang w:val="zh-CN"/>
        </w:rPr>
      </w:pPr>
      <w:r>
        <w:rPr>
          <w:rFonts w:hint="eastAsia"/>
          <w:b/>
          <w:bCs/>
          <w:lang w:val="zh-CN"/>
        </w:rPr>
        <w:t>表14</w:t>
      </w:r>
      <w:r>
        <w:rPr>
          <w:rFonts w:hint="eastAsia"/>
          <w:b/>
          <w:bCs/>
          <w:lang w:val="en-US" w:eastAsia="zh-CN"/>
        </w:rPr>
        <w:t xml:space="preserve">  </w:t>
      </w:r>
      <w:r>
        <w:rPr>
          <w:rFonts w:hint="eastAsia"/>
          <w:b/>
          <w:bCs/>
          <w:lang w:val="zh-CN"/>
        </w:rPr>
        <w:t>南雄市水库蓄水动态（2018年）</w:t>
      </w:r>
    </w:p>
    <w:p w14:paraId="50957803">
      <w:pPr>
        <w:bidi w:val="0"/>
        <w:jc w:val="right"/>
        <w:rPr>
          <w:rFonts w:hint="eastAsia"/>
          <w:lang w:val="zh-CN"/>
        </w:rPr>
      </w:pPr>
      <w:r>
        <w:rPr>
          <w:rFonts w:hint="eastAsia"/>
          <w:lang w:val="zh-CN"/>
        </w:rPr>
        <w:t>单位：万立方米</w:t>
      </w:r>
    </w:p>
    <w:tbl>
      <w:tblPr>
        <w:tblStyle w:val="7"/>
        <w:tblW w:w="4993" w:type="pct"/>
        <w:tblInd w:w="0" w:type="dxa"/>
        <w:tblLayout w:type="autofit"/>
        <w:tblCellMar>
          <w:top w:w="0" w:type="dxa"/>
          <w:left w:w="0" w:type="dxa"/>
          <w:bottom w:w="0" w:type="dxa"/>
          <w:right w:w="0" w:type="dxa"/>
        </w:tblCellMar>
      </w:tblPr>
      <w:tblGrid>
        <w:gridCol w:w="534"/>
        <w:gridCol w:w="582"/>
        <w:gridCol w:w="600"/>
        <w:gridCol w:w="730"/>
        <w:gridCol w:w="863"/>
        <w:gridCol w:w="1326"/>
        <w:gridCol w:w="816"/>
        <w:gridCol w:w="818"/>
        <w:gridCol w:w="1498"/>
        <w:gridCol w:w="865"/>
        <w:gridCol w:w="1100"/>
      </w:tblGrid>
      <w:tr w14:paraId="7B64CA2E">
        <w:tblPrEx>
          <w:tblCellMar>
            <w:top w:w="0" w:type="dxa"/>
            <w:left w:w="0" w:type="dxa"/>
            <w:bottom w:w="0" w:type="dxa"/>
            <w:right w:w="0" w:type="dxa"/>
          </w:tblCellMar>
        </w:tblPrEx>
        <w:trPr>
          <w:trHeight w:val="226" w:hRule="atLeast"/>
          <w:tblHeader/>
        </w:trPr>
        <w:tc>
          <w:tcPr>
            <w:tcW w:w="274" w:type="pct"/>
            <w:vMerge w:val="restart"/>
            <w:tcBorders>
              <w:top w:val="single" w:color="auto" w:sz="4" w:space="0"/>
              <w:left w:val="nil"/>
              <w:bottom w:val="single" w:color="auto" w:sz="4" w:space="0"/>
              <w:right w:val="single" w:color="auto" w:sz="4" w:space="0"/>
            </w:tcBorders>
            <w:shd w:val="clear" w:color="auto" w:fill="FFFFFF"/>
            <w:noWrap w:val="0"/>
            <w:vAlign w:val="center"/>
          </w:tcPr>
          <w:p w14:paraId="6D667B83">
            <w:pPr>
              <w:pStyle w:val="11"/>
              <w:bidi w:val="0"/>
              <w:jc w:val="center"/>
              <w:rPr>
                <w:rFonts w:hint="eastAsia"/>
                <w:b/>
                <w:bCs/>
                <w:color w:val="000000"/>
                <w:lang w:val="zh-CN"/>
              </w:rPr>
            </w:pPr>
            <w:r>
              <w:rPr>
                <w:rFonts w:hint="eastAsia"/>
                <w:b/>
                <w:bCs/>
                <w:color w:val="000000"/>
                <w:lang w:val="zh-CN"/>
              </w:rPr>
              <w:t>年度</w:t>
            </w:r>
          </w:p>
        </w:tc>
        <w:tc>
          <w:tcPr>
            <w:tcW w:w="607" w:type="pct"/>
            <w:gridSpan w:val="2"/>
            <w:tcBorders>
              <w:top w:val="single" w:color="auto" w:sz="4" w:space="0"/>
              <w:left w:val="single" w:color="auto" w:sz="4" w:space="0"/>
              <w:bottom w:val="single" w:color="auto" w:sz="4" w:space="0"/>
              <w:right w:val="single" w:color="auto" w:sz="4" w:space="0"/>
            </w:tcBorders>
            <w:shd w:val="clear" w:color="auto" w:fill="FFFFFF"/>
            <w:noWrap w:val="0"/>
            <w:vAlign w:val="center"/>
          </w:tcPr>
          <w:p w14:paraId="14D92D00">
            <w:pPr>
              <w:pStyle w:val="11"/>
              <w:bidi w:val="0"/>
              <w:jc w:val="center"/>
              <w:rPr>
                <w:rFonts w:hint="eastAsia"/>
                <w:b/>
                <w:bCs/>
                <w:color w:val="000000"/>
                <w:lang w:val="zh-CN"/>
              </w:rPr>
            </w:pPr>
            <w:r>
              <w:rPr>
                <w:rFonts w:hint="eastAsia"/>
                <w:b/>
                <w:bCs/>
                <w:color w:val="000000"/>
                <w:lang w:val="zh-CN"/>
              </w:rPr>
              <w:t>水库座数</w:t>
            </w:r>
          </w:p>
        </w:tc>
        <w:tc>
          <w:tcPr>
            <w:tcW w:w="818" w:type="pct"/>
            <w:gridSpan w:val="2"/>
            <w:tcBorders>
              <w:top w:val="single" w:color="auto" w:sz="4" w:space="0"/>
              <w:left w:val="single" w:color="auto" w:sz="4" w:space="0"/>
              <w:bottom w:val="single" w:color="auto" w:sz="4" w:space="0"/>
              <w:right w:val="single" w:color="auto" w:sz="4" w:space="0"/>
            </w:tcBorders>
            <w:shd w:val="clear" w:color="auto" w:fill="FFFFFF"/>
            <w:noWrap w:val="0"/>
            <w:vAlign w:val="center"/>
          </w:tcPr>
          <w:p w14:paraId="5025C13A">
            <w:pPr>
              <w:pStyle w:val="11"/>
              <w:bidi w:val="0"/>
              <w:jc w:val="center"/>
              <w:rPr>
                <w:rFonts w:hint="eastAsia"/>
                <w:b/>
                <w:bCs/>
                <w:color w:val="000000"/>
                <w:lang w:val="zh-CN"/>
              </w:rPr>
            </w:pPr>
            <w:r>
              <w:rPr>
                <w:rFonts w:hint="eastAsia"/>
                <w:b/>
                <w:bCs/>
                <w:color w:val="000000"/>
                <w:lang w:val="zh-CN"/>
              </w:rPr>
              <w:t>大型水库蓄水量</w:t>
            </w:r>
          </w:p>
        </w:tc>
        <w:tc>
          <w:tcPr>
            <w:tcW w:w="681" w:type="pct"/>
            <w:tcBorders>
              <w:top w:val="single" w:color="auto" w:sz="4" w:space="0"/>
              <w:left w:val="single" w:color="auto" w:sz="4" w:space="0"/>
              <w:bottom w:val="single" w:color="auto" w:sz="4" w:space="0"/>
              <w:right w:val="single" w:color="auto" w:sz="4" w:space="0"/>
            </w:tcBorders>
            <w:shd w:val="clear" w:color="auto" w:fill="FFFFFF"/>
            <w:noWrap w:val="0"/>
            <w:tcMar>
              <w:left w:w="28" w:type="dxa"/>
              <w:right w:w="28" w:type="dxa"/>
            </w:tcMar>
            <w:vAlign w:val="center"/>
          </w:tcPr>
          <w:p w14:paraId="69C055AF">
            <w:pPr>
              <w:pStyle w:val="11"/>
              <w:bidi w:val="0"/>
              <w:jc w:val="center"/>
              <w:rPr>
                <w:rFonts w:hint="eastAsia"/>
                <w:b/>
                <w:bCs/>
                <w:color w:val="000000"/>
                <w:lang w:val="zh-CN"/>
              </w:rPr>
            </w:pPr>
            <w:r>
              <w:rPr>
                <w:rFonts w:hint="eastAsia"/>
                <w:b/>
                <w:bCs/>
                <w:color w:val="000000"/>
                <w:lang w:val="zh-CN"/>
              </w:rPr>
              <w:t>大型水库年蓄水变量</w:t>
            </w:r>
          </w:p>
        </w:tc>
        <w:tc>
          <w:tcPr>
            <w:tcW w:w="839" w:type="pct"/>
            <w:gridSpan w:val="2"/>
            <w:tcBorders>
              <w:top w:val="single" w:color="auto" w:sz="4" w:space="0"/>
              <w:left w:val="single" w:color="auto" w:sz="4" w:space="0"/>
              <w:bottom w:val="single" w:color="auto" w:sz="4" w:space="0"/>
              <w:right w:val="single" w:color="auto" w:sz="4" w:space="0"/>
            </w:tcBorders>
            <w:shd w:val="clear" w:color="auto" w:fill="FFFFFF"/>
            <w:noWrap w:val="0"/>
            <w:tcMar>
              <w:top w:w="57" w:type="dxa"/>
              <w:bottom w:w="57" w:type="dxa"/>
            </w:tcMar>
            <w:vAlign w:val="center"/>
          </w:tcPr>
          <w:p w14:paraId="08210E71">
            <w:pPr>
              <w:pStyle w:val="11"/>
              <w:bidi w:val="0"/>
              <w:jc w:val="center"/>
              <w:rPr>
                <w:rFonts w:hint="eastAsia"/>
                <w:b/>
                <w:bCs/>
                <w:color w:val="000000"/>
                <w:lang w:val="zh-CN"/>
              </w:rPr>
            </w:pPr>
            <w:r>
              <w:rPr>
                <w:rFonts w:hint="eastAsia"/>
                <w:b/>
                <w:bCs/>
                <w:color w:val="000000"/>
                <w:lang w:val="zh-CN"/>
              </w:rPr>
              <w:t>中型水库蓄水量</w:t>
            </w:r>
          </w:p>
        </w:tc>
        <w:tc>
          <w:tcPr>
            <w:tcW w:w="7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B022AA0">
            <w:pPr>
              <w:pStyle w:val="11"/>
              <w:bidi w:val="0"/>
              <w:jc w:val="center"/>
              <w:rPr>
                <w:rFonts w:hint="eastAsia"/>
                <w:b/>
                <w:bCs/>
                <w:color w:val="000000"/>
                <w:lang w:val="zh-CN"/>
              </w:rPr>
            </w:pPr>
            <w:r>
              <w:rPr>
                <w:rFonts w:hint="eastAsia"/>
                <w:b/>
                <w:bCs/>
                <w:color w:val="000000"/>
                <w:lang w:val="zh-CN"/>
              </w:rPr>
              <w:t>中型水库年蓄水变量</w:t>
            </w:r>
          </w:p>
        </w:tc>
        <w:tc>
          <w:tcPr>
            <w:tcW w:w="1009" w:type="pct"/>
            <w:gridSpan w:val="2"/>
            <w:tcBorders>
              <w:top w:val="single" w:color="auto" w:sz="4" w:space="0"/>
              <w:left w:val="single" w:color="auto" w:sz="4" w:space="0"/>
              <w:bottom w:val="single" w:color="auto" w:sz="4" w:space="0"/>
              <w:right w:val="nil"/>
            </w:tcBorders>
            <w:shd w:val="clear" w:color="auto" w:fill="FFFFFF"/>
            <w:noWrap w:val="0"/>
            <w:tcMar>
              <w:top w:w="57" w:type="dxa"/>
              <w:bottom w:w="57" w:type="dxa"/>
            </w:tcMar>
            <w:vAlign w:val="center"/>
          </w:tcPr>
          <w:p w14:paraId="0DC688AD">
            <w:pPr>
              <w:pStyle w:val="11"/>
              <w:bidi w:val="0"/>
              <w:jc w:val="center"/>
              <w:rPr>
                <w:rFonts w:hint="eastAsia"/>
                <w:b/>
                <w:bCs/>
                <w:color w:val="000000"/>
                <w:lang w:val="zh-CN"/>
              </w:rPr>
            </w:pPr>
            <w:r>
              <w:rPr>
                <w:rFonts w:hint="eastAsia"/>
                <w:b/>
                <w:bCs/>
                <w:color w:val="000000"/>
                <w:lang w:val="zh-CN"/>
              </w:rPr>
              <w:t>合计</w:t>
            </w:r>
          </w:p>
        </w:tc>
      </w:tr>
      <w:tr w14:paraId="5FE5EFF2">
        <w:tblPrEx>
          <w:tblCellMar>
            <w:top w:w="0" w:type="dxa"/>
            <w:left w:w="0" w:type="dxa"/>
            <w:bottom w:w="0" w:type="dxa"/>
            <w:right w:w="0" w:type="dxa"/>
          </w:tblCellMar>
        </w:tblPrEx>
        <w:trPr>
          <w:trHeight w:val="283" w:hRule="atLeast"/>
          <w:tblHeader/>
        </w:trPr>
        <w:tc>
          <w:tcPr>
            <w:tcW w:w="274" w:type="pct"/>
            <w:vMerge w:val="continue"/>
            <w:tcBorders>
              <w:top w:val="single" w:color="auto" w:sz="4" w:space="0"/>
              <w:left w:val="nil"/>
              <w:bottom w:val="single" w:color="auto" w:sz="4" w:space="0"/>
              <w:right w:val="single" w:color="auto" w:sz="4" w:space="0"/>
            </w:tcBorders>
            <w:shd w:val="clear" w:color="auto" w:fill="FFFFFF"/>
            <w:noWrap w:val="0"/>
            <w:vAlign w:val="center"/>
          </w:tcPr>
          <w:p w14:paraId="206B7DEF">
            <w:pPr>
              <w:pStyle w:val="11"/>
              <w:bidi w:val="0"/>
              <w:jc w:val="center"/>
              <w:rPr>
                <w:rFonts w:hint="eastAsia"/>
                <w:b/>
                <w:bCs/>
                <w:color w:val="000000"/>
              </w:rPr>
            </w:pPr>
          </w:p>
        </w:tc>
        <w:tc>
          <w:tcPr>
            <w:tcW w:w="29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7AA8846">
            <w:pPr>
              <w:pStyle w:val="11"/>
              <w:bidi w:val="0"/>
              <w:jc w:val="center"/>
              <w:rPr>
                <w:rFonts w:hint="eastAsia"/>
                <w:b/>
                <w:bCs/>
                <w:color w:val="000000"/>
                <w:lang w:val="zh-CN"/>
              </w:rPr>
            </w:pPr>
            <w:r>
              <w:rPr>
                <w:rFonts w:hint="eastAsia"/>
                <w:b/>
                <w:bCs/>
                <w:color w:val="000000"/>
                <w:lang w:val="zh-CN"/>
              </w:rPr>
              <w:t>大型</w:t>
            </w:r>
          </w:p>
        </w:tc>
        <w:tc>
          <w:tcPr>
            <w:tcW w:w="30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4B3EDD0">
            <w:pPr>
              <w:pStyle w:val="11"/>
              <w:bidi w:val="0"/>
              <w:jc w:val="center"/>
              <w:rPr>
                <w:rFonts w:hint="eastAsia"/>
                <w:b/>
                <w:bCs/>
                <w:color w:val="000000"/>
                <w:lang w:val="zh-CN"/>
              </w:rPr>
            </w:pPr>
            <w:r>
              <w:rPr>
                <w:rFonts w:hint="eastAsia"/>
                <w:b/>
                <w:bCs/>
                <w:color w:val="000000"/>
                <w:lang w:val="zh-CN"/>
              </w:rPr>
              <w:t>中型</w:t>
            </w:r>
          </w:p>
        </w:tc>
        <w:tc>
          <w:tcPr>
            <w:tcW w:w="375"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74A93F1">
            <w:pPr>
              <w:pStyle w:val="11"/>
              <w:bidi w:val="0"/>
              <w:jc w:val="center"/>
              <w:rPr>
                <w:rFonts w:hint="eastAsia"/>
                <w:b/>
                <w:bCs/>
                <w:color w:val="000000"/>
                <w:lang w:val="zh-CN"/>
              </w:rPr>
            </w:pPr>
            <w:r>
              <w:rPr>
                <w:rFonts w:hint="eastAsia"/>
                <w:b/>
                <w:bCs/>
                <w:color w:val="000000"/>
                <w:lang w:val="zh-CN"/>
              </w:rPr>
              <w:t>上年末</w:t>
            </w:r>
          </w:p>
        </w:tc>
        <w:tc>
          <w:tcPr>
            <w:tcW w:w="44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07EE900">
            <w:pPr>
              <w:pStyle w:val="11"/>
              <w:bidi w:val="0"/>
              <w:jc w:val="center"/>
              <w:rPr>
                <w:rFonts w:hint="eastAsia"/>
                <w:b/>
                <w:bCs/>
                <w:color w:val="000000"/>
                <w:lang w:val="zh-CN"/>
              </w:rPr>
            </w:pPr>
            <w:r>
              <w:rPr>
                <w:rFonts w:hint="eastAsia"/>
                <w:b/>
                <w:bCs/>
                <w:color w:val="000000"/>
                <w:lang w:val="zh-CN"/>
              </w:rPr>
              <w:t>当年末</w:t>
            </w:r>
          </w:p>
        </w:tc>
        <w:tc>
          <w:tcPr>
            <w:tcW w:w="681" w:type="pct"/>
            <w:tcBorders>
              <w:top w:val="single" w:color="auto" w:sz="4" w:space="0"/>
              <w:left w:val="single" w:color="auto" w:sz="4" w:space="0"/>
              <w:bottom w:val="single" w:color="auto" w:sz="4" w:space="0"/>
              <w:right w:val="single" w:color="auto" w:sz="4" w:space="0"/>
            </w:tcBorders>
            <w:shd w:val="clear" w:color="auto" w:fill="FFFFFF"/>
            <w:noWrap w:val="0"/>
            <w:tcMar>
              <w:left w:w="28" w:type="dxa"/>
              <w:right w:w="28" w:type="dxa"/>
            </w:tcMar>
            <w:vAlign w:val="center"/>
          </w:tcPr>
          <w:p w14:paraId="0FA2887B">
            <w:pPr>
              <w:pStyle w:val="11"/>
              <w:bidi w:val="0"/>
              <w:jc w:val="center"/>
              <w:rPr>
                <w:rFonts w:hint="eastAsia"/>
                <w:b/>
                <w:bCs/>
                <w:color w:val="000000"/>
              </w:rPr>
            </w:pPr>
          </w:p>
        </w:tc>
        <w:tc>
          <w:tcPr>
            <w:tcW w:w="419" w:type="pct"/>
            <w:tcBorders>
              <w:top w:val="single" w:color="auto" w:sz="4" w:space="0"/>
              <w:left w:val="single" w:color="auto" w:sz="4" w:space="0"/>
              <w:bottom w:val="single" w:color="auto" w:sz="4" w:space="0"/>
              <w:right w:val="single" w:color="auto" w:sz="4" w:space="0"/>
            </w:tcBorders>
            <w:shd w:val="clear" w:color="auto" w:fill="FFFFFF"/>
            <w:noWrap w:val="0"/>
            <w:tcMar>
              <w:top w:w="113" w:type="dxa"/>
              <w:bottom w:w="113" w:type="dxa"/>
            </w:tcMar>
            <w:vAlign w:val="center"/>
          </w:tcPr>
          <w:p w14:paraId="6DE7C5AA">
            <w:pPr>
              <w:pStyle w:val="11"/>
              <w:bidi w:val="0"/>
              <w:jc w:val="center"/>
              <w:rPr>
                <w:rFonts w:hint="eastAsia"/>
                <w:b/>
                <w:bCs/>
                <w:color w:val="000000"/>
                <w:lang w:val="zh-CN"/>
              </w:rPr>
            </w:pPr>
            <w:r>
              <w:rPr>
                <w:rFonts w:hint="eastAsia"/>
                <w:b/>
                <w:bCs/>
                <w:color w:val="000000"/>
                <w:lang w:val="zh-CN"/>
              </w:rPr>
              <w:t>上年末</w:t>
            </w:r>
          </w:p>
        </w:tc>
        <w:tc>
          <w:tcPr>
            <w:tcW w:w="42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AD4B5D9">
            <w:pPr>
              <w:pStyle w:val="11"/>
              <w:bidi w:val="0"/>
              <w:jc w:val="center"/>
              <w:rPr>
                <w:rFonts w:hint="eastAsia"/>
                <w:b/>
                <w:bCs/>
                <w:color w:val="000000"/>
                <w:lang w:val="zh-CN"/>
              </w:rPr>
            </w:pPr>
            <w:r>
              <w:rPr>
                <w:rFonts w:hint="eastAsia"/>
                <w:b/>
                <w:bCs/>
                <w:color w:val="000000"/>
                <w:lang w:val="zh-CN"/>
              </w:rPr>
              <w:t>当年末</w:t>
            </w:r>
          </w:p>
        </w:tc>
        <w:tc>
          <w:tcPr>
            <w:tcW w:w="769"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922A8F6">
            <w:pPr>
              <w:pStyle w:val="11"/>
              <w:bidi w:val="0"/>
              <w:jc w:val="center"/>
              <w:rPr>
                <w:rFonts w:hint="eastAsia"/>
                <w:b/>
                <w:bCs/>
                <w:color w:val="000000"/>
              </w:rPr>
            </w:pPr>
          </w:p>
        </w:tc>
        <w:tc>
          <w:tcPr>
            <w:tcW w:w="444" w:type="pct"/>
            <w:tcBorders>
              <w:top w:val="single" w:color="auto" w:sz="4" w:space="0"/>
              <w:left w:val="single" w:color="auto" w:sz="4" w:space="0"/>
              <w:bottom w:val="single" w:color="auto" w:sz="4" w:space="0"/>
              <w:right w:val="single" w:color="auto" w:sz="4" w:space="0"/>
            </w:tcBorders>
            <w:shd w:val="clear" w:color="auto" w:fill="FFFFFF"/>
            <w:noWrap w:val="0"/>
            <w:tcMar>
              <w:top w:w="113" w:type="dxa"/>
              <w:bottom w:w="113" w:type="dxa"/>
            </w:tcMar>
            <w:vAlign w:val="center"/>
          </w:tcPr>
          <w:p w14:paraId="504F1EC7">
            <w:pPr>
              <w:pStyle w:val="11"/>
              <w:bidi w:val="0"/>
              <w:jc w:val="center"/>
              <w:rPr>
                <w:rFonts w:hint="eastAsia"/>
                <w:b/>
                <w:bCs/>
                <w:color w:val="000000"/>
                <w:lang w:val="zh-CN"/>
              </w:rPr>
            </w:pPr>
            <w:r>
              <w:rPr>
                <w:rFonts w:hint="eastAsia"/>
                <w:b/>
                <w:bCs/>
                <w:color w:val="000000"/>
                <w:lang w:val="zh-CN"/>
              </w:rPr>
              <w:t>年蓄水量</w:t>
            </w:r>
          </w:p>
        </w:tc>
        <w:tc>
          <w:tcPr>
            <w:tcW w:w="565" w:type="pct"/>
            <w:tcBorders>
              <w:top w:val="single" w:color="auto" w:sz="4" w:space="0"/>
              <w:left w:val="single" w:color="auto" w:sz="4" w:space="0"/>
              <w:bottom w:val="single" w:color="auto" w:sz="4" w:space="0"/>
              <w:right w:val="nil"/>
            </w:tcBorders>
            <w:shd w:val="clear" w:color="auto" w:fill="FFFFFF"/>
            <w:noWrap w:val="0"/>
            <w:tcMar>
              <w:top w:w="113" w:type="dxa"/>
              <w:bottom w:w="113" w:type="dxa"/>
            </w:tcMar>
            <w:vAlign w:val="center"/>
          </w:tcPr>
          <w:p w14:paraId="44C993BE">
            <w:pPr>
              <w:pStyle w:val="11"/>
              <w:bidi w:val="0"/>
              <w:jc w:val="center"/>
              <w:rPr>
                <w:rFonts w:hint="eastAsia"/>
                <w:b/>
                <w:bCs/>
                <w:color w:val="000000"/>
                <w:lang w:val="zh-CN"/>
              </w:rPr>
            </w:pPr>
            <w:r>
              <w:rPr>
                <w:rFonts w:hint="eastAsia"/>
                <w:b/>
                <w:bCs/>
                <w:color w:val="000000"/>
                <w:lang w:val="zh-CN"/>
              </w:rPr>
              <w:t>年蓄水变量</w:t>
            </w:r>
          </w:p>
        </w:tc>
      </w:tr>
      <w:tr w14:paraId="645E50B6">
        <w:tblPrEx>
          <w:tblCellMar>
            <w:top w:w="0" w:type="dxa"/>
            <w:left w:w="0" w:type="dxa"/>
            <w:bottom w:w="0" w:type="dxa"/>
            <w:right w:w="0" w:type="dxa"/>
          </w:tblCellMar>
        </w:tblPrEx>
        <w:trPr>
          <w:trHeight w:val="438" w:hRule="atLeast"/>
        </w:trPr>
        <w:tc>
          <w:tcPr>
            <w:tcW w:w="274" w:type="pct"/>
            <w:tcBorders>
              <w:top w:val="single" w:color="auto" w:sz="4" w:space="0"/>
              <w:left w:val="nil"/>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3BCD47E2">
            <w:pPr>
              <w:pStyle w:val="11"/>
              <w:bidi w:val="0"/>
              <w:jc w:val="center"/>
              <w:rPr>
                <w:rFonts w:hint="eastAsia"/>
                <w:color w:val="000000"/>
                <w:lang w:val="zh-CN"/>
              </w:rPr>
            </w:pPr>
            <w:r>
              <w:rPr>
                <w:rFonts w:hint="eastAsia"/>
                <w:color w:val="000000"/>
                <w:lang w:val="zh-CN"/>
              </w:rPr>
              <w:t>2018</w:t>
            </w:r>
          </w:p>
        </w:tc>
        <w:tc>
          <w:tcPr>
            <w:tcW w:w="299" w:type="pct"/>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5437ABAF">
            <w:pPr>
              <w:pStyle w:val="11"/>
              <w:bidi w:val="0"/>
              <w:jc w:val="center"/>
              <w:rPr>
                <w:rFonts w:hint="eastAsia"/>
                <w:color w:val="000000"/>
                <w:lang w:val="zh-CN"/>
              </w:rPr>
            </w:pPr>
          </w:p>
        </w:tc>
        <w:tc>
          <w:tcPr>
            <w:tcW w:w="307" w:type="pct"/>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7FB9D0C2">
            <w:pPr>
              <w:pStyle w:val="11"/>
              <w:bidi w:val="0"/>
              <w:jc w:val="center"/>
              <w:rPr>
                <w:rFonts w:hint="eastAsia"/>
                <w:color w:val="000000"/>
                <w:lang w:val="zh-CN"/>
              </w:rPr>
            </w:pPr>
            <w:r>
              <w:rPr>
                <w:rFonts w:hint="eastAsia"/>
                <w:color w:val="000000"/>
                <w:lang w:val="zh-CN"/>
              </w:rPr>
              <w:t>6</w:t>
            </w:r>
          </w:p>
        </w:tc>
        <w:tc>
          <w:tcPr>
            <w:tcW w:w="375" w:type="pct"/>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5DB27F87">
            <w:pPr>
              <w:pStyle w:val="11"/>
              <w:bidi w:val="0"/>
              <w:jc w:val="center"/>
              <w:rPr>
                <w:rFonts w:hint="eastAsia"/>
                <w:color w:val="000000"/>
                <w:lang w:val="zh-CN"/>
              </w:rPr>
            </w:pPr>
          </w:p>
        </w:tc>
        <w:tc>
          <w:tcPr>
            <w:tcW w:w="443" w:type="pct"/>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2D9F5431">
            <w:pPr>
              <w:pStyle w:val="11"/>
              <w:bidi w:val="0"/>
              <w:jc w:val="center"/>
              <w:rPr>
                <w:rFonts w:hint="eastAsia"/>
                <w:color w:val="000000"/>
                <w:lang w:val="zh-CN"/>
              </w:rPr>
            </w:pPr>
          </w:p>
        </w:tc>
        <w:tc>
          <w:tcPr>
            <w:tcW w:w="681" w:type="pct"/>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3D382591">
            <w:pPr>
              <w:pStyle w:val="11"/>
              <w:bidi w:val="0"/>
              <w:jc w:val="center"/>
              <w:rPr>
                <w:rFonts w:hint="eastAsia"/>
                <w:color w:val="000000"/>
                <w:lang w:val="zh-CN"/>
              </w:rPr>
            </w:pPr>
          </w:p>
        </w:tc>
        <w:tc>
          <w:tcPr>
            <w:tcW w:w="419" w:type="pct"/>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2F354965">
            <w:pPr>
              <w:pStyle w:val="11"/>
              <w:bidi w:val="0"/>
              <w:jc w:val="center"/>
              <w:rPr>
                <w:rFonts w:hint="eastAsia"/>
                <w:color w:val="000000"/>
                <w:lang w:val="zh-CN"/>
              </w:rPr>
            </w:pPr>
            <w:r>
              <w:rPr>
                <w:rFonts w:hint="eastAsia"/>
                <w:color w:val="000000"/>
                <w:lang w:val="zh-CN"/>
              </w:rPr>
              <w:t>7903</w:t>
            </w:r>
          </w:p>
        </w:tc>
        <w:tc>
          <w:tcPr>
            <w:tcW w:w="420" w:type="pct"/>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50424F68">
            <w:pPr>
              <w:pStyle w:val="11"/>
              <w:bidi w:val="0"/>
              <w:jc w:val="center"/>
              <w:rPr>
                <w:rFonts w:hint="eastAsia"/>
                <w:color w:val="000000"/>
                <w:lang w:val="zh-CN"/>
              </w:rPr>
            </w:pPr>
            <w:r>
              <w:rPr>
                <w:rFonts w:hint="eastAsia"/>
                <w:color w:val="000000"/>
                <w:lang w:val="zh-CN"/>
              </w:rPr>
              <w:t>7186.1</w:t>
            </w:r>
          </w:p>
        </w:tc>
        <w:tc>
          <w:tcPr>
            <w:tcW w:w="769" w:type="pct"/>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5B1E6F77">
            <w:pPr>
              <w:pStyle w:val="11"/>
              <w:bidi w:val="0"/>
              <w:jc w:val="center"/>
              <w:rPr>
                <w:rFonts w:hint="eastAsia"/>
                <w:color w:val="000000"/>
                <w:lang w:val="zh-CN"/>
              </w:rPr>
            </w:pPr>
            <w:r>
              <w:rPr>
                <w:rFonts w:hint="eastAsia"/>
                <w:color w:val="000000"/>
                <w:lang w:val="zh-CN"/>
              </w:rPr>
              <w:t>-717.8</w:t>
            </w:r>
          </w:p>
        </w:tc>
        <w:tc>
          <w:tcPr>
            <w:tcW w:w="444" w:type="pct"/>
            <w:tcBorders>
              <w:top w:val="single" w:color="auto" w:sz="4" w:space="0"/>
              <w:left w:val="single" w:color="auto" w:sz="4" w:space="0"/>
              <w:bottom w:val="single" w:color="auto" w:sz="4" w:space="0"/>
              <w:right w:val="single" w:color="auto" w:sz="4" w:space="0"/>
            </w:tcBorders>
            <w:shd w:val="clear" w:color="auto" w:fill="FFFFFF"/>
            <w:noWrap w:val="0"/>
            <w:tcMar>
              <w:top w:w="57" w:type="dxa"/>
              <w:left w:w="57" w:type="dxa"/>
              <w:bottom w:w="57" w:type="dxa"/>
              <w:right w:w="57" w:type="dxa"/>
            </w:tcMar>
            <w:vAlign w:val="center"/>
          </w:tcPr>
          <w:p w14:paraId="04675B8E">
            <w:pPr>
              <w:pStyle w:val="11"/>
              <w:bidi w:val="0"/>
              <w:jc w:val="center"/>
              <w:rPr>
                <w:rFonts w:hint="eastAsia"/>
                <w:color w:val="000000"/>
                <w:lang w:val="zh-CN"/>
              </w:rPr>
            </w:pPr>
            <w:r>
              <w:rPr>
                <w:rFonts w:hint="eastAsia"/>
                <w:color w:val="000000"/>
                <w:lang w:val="zh-CN"/>
              </w:rPr>
              <w:t>-7186.1</w:t>
            </w:r>
          </w:p>
        </w:tc>
        <w:tc>
          <w:tcPr>
            <w:tcW w:w="565" w:type="pct"/>
            <w:tcBorders>
              <w:top w:val="single" w:color="auto" w:sz="4" w:space="0"/>
              <w:left w:val="single" w:color="auto" w:sz="4" w:space="0"/>
              <w:bottom w:val="single" w:color="auto" w:sz="4" w:space="0"/>
              <w:right w:val="nil"/>
            </w:tcBorders>
            <w:shd w:val="clear" w:color="auto" w:fill="FFFFFF"/>
            <w:noWrap w:val="0"/>
            <w:tcMar>
              <w:top w:w="57" w:type="dxa"/>
              <w:left w:w="57" w:type="dxa"/>
              <w:bottom w:w="57" w:type="dxa"/>
              <w:right w:w="57" w:type="dxa"/>
            </w:tcMar>
            <w:vAlign w:val="center"/>
          </w:tcPr>
          <w:p w14:paraId="2940B6A8">
            <w:pPr>
              <w:pStyle w:val="11"/>
              <w:bidi w:val="0"/>
              <w:jc w:val="center"/>
              <w:rPr>
                <w:rFonts w:hint="eastAsia"/>
                <w:color w:val="000000"/>
                <w:lang w:val="zh-CN"/>
              </w:rPr>
            </w:pPr>
            <w:r>
              <w:rPr>
                <w:rFonts w:hint="eastAsia"/>
                <w:color w:val="000000"/>
                <w:lang w:val="zh-CN"/>
              </w:rPr>
              <w:t>-717.8</w:t>
            </w:r>
          </w:p>
        </w:tc>
      </w:tr>
    </w:tbl>
    <w:p w14:paraId="17925BEE">
      <w:pPr>
        <w:bidi w:val="0"/>
        <w:ind w:left="0" w:leftChars="0" w:firstLine="0" w:firstLineChars="0"/>
        <w:jc w:val="center"/>
        <w:rPr>
          <w:rFonts w:hint="eastAsia"/>
          <w:b/>
          <w:bCs/>
          <w:lang w:val="zh-CN"/>
        </w:rPr>
      </w:pPr>
      <w:r>
        <w:rPr>
          <w:rFonts w:hint="eastAsia"/>
          <w:b/>
          <w:bCs/>
          <w:lang w:val="zh-CN"/>
        </w:rPr>
        <w:t>表15</w:t>
      </w:r>
      <w:r>
        <w:rPr>
          <w:rFonts w:hint="eastAsia"/>
          <w:b/>
          <w:bCs/>
          <w:lang w:val="en-US" w:eastAsia="zh-CN"/>
        </w:rPr>
        <w:t xml:space="preserve">  </w:t>
      </w:r>
      <w:r>
        <w:rPr>
          <w:rFonts w:hint="eastAsia"/>
          <w:b/>
          <w:bCs/>
          <w:lang w:val="zh-CN"/>
        </w:rPr>
        <w:t>韶关水文分局管辖的降水量站点一览表</w:t>
      </w:r>
    </w:p>
    <w:tbl>
      <w:tblPr>
        <w:tblStyle w:val="7"/>
        <w:tblW w:w="4994" w:type="pct"/>
        <w:tblInd w:w="0" w:type="dxa"/>
        <w:tblLayout w:type="autofit"/>
        <w:tblCellMar>
          <w:top w:w="0" w:type="dxa"/>
          <w:left w:w="0" w:type="dxa"/>
          <w:bottom w:w="0" w:type="dxa"/>
          <w:right w:w="0" w:type="dxa"/>
        </w:tblCellMar>
      </w:tblPr>
      <w:tblGrid>
        <w:gridCol w:w="756"/>
        <w:gridCol w:w="758"/>
        <w:gridCol w:w="1140"/>
        <w:gridCol w:w="5747"/>
        <w:gridCol w:w="725"/>
        <w:gridCol w:w="664"/>
      </w:tblGrid>
      <w:tr w14:paraId="7170F52E">
        <w:tblPrEx>
          <w:tblCellMar>
            <w:top w:w="0" w:type="dxa"/>
            <w:left w:w="0" w:type="dxa"/>
            <w:bottom w:w="0" w:type="dxa"/>
            <w:right w:w="0" w:type="dxa"/>
          </w:tblCellMar>
        </w:tblPrEx>
        <w:trPr>
          <w:trHeight w:val="396" w:hRule="atLeast"/>
          <w:tblHeader/>
        </w:trPr>
        <w:tc>
          <w:tcPr>
            <w:tcW w:w="386"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02CC614">
            <w:pPr>
              <w:pStyle w:val="11"/>
              <w:bidi w:val="0"/>
              <w:jc w:val="center"/>
              <w:rPr>
                <w:rFonts w:hint="eastAsia"/>
                <w:b/>
                <w:bCs/>
                <w:color w:val="000000"/>
                <w:lang w:val="zh-CN"/>
              </w:rPr>
            </w:pPr>
            <w:r>
              <w:rPr>
                <w:rFonts w:hint="eastAsia"/>
                <w:b/>
                <w:bCs/>
                <w:color w:val="000000"/>
                <w:lang w:val="zh-CN"/>
              </w:rPr>
              <w:t>水系</w:t>
            </w:r>
          </w:p>
        </w:tc>
        <w:tc>
          <w:tcPr>
            <w:tcW w:w="387"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30A80E1">
            <w:pPr>
              <w:pStyle w:val="11"/>
              <w:bidi w:val="0"/>
              <w:jc w:val="center"/>
              <w:rPr>
                <w:rFonts w:hint="eastAsia"/>
                <w:b/>
                <w:bCs/>
                <w:color w:val="000000"/>
                <w:lang w:val="zh-CN"/>
              </w:rPr>
            </w:pPr>
            <w:r>
              <w:rPr>
                <w:rFonts w:hint="eastAsia"/>
                <w:b/>
                <w:bCs/>
                <w:color w:val="000000"/>
                <w:lang w:val="zh-CN"/>
              </w:rPr>
              <w:t>河名</w:t>
            </w:r>
          </w:p>
        </w:tc>
        <w:tc>
          <w:tcPr>
            <w:tcW w:w="58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0419131">
            <w:pPr>
              <w:pStyle w:val="11"/>
              <w:bidi w:val="0"/>
              <w:jc w:val="center"/>
              <w:rPr>
                <w:rFonts w:hint="eastAsia"/>
                <w:b/>
                <w:bCs/>
                <w:color w:val="000000"/>
                <w:lang w:val="zh-CN"/>
              </w:rPr>
            </w:pPr>
            <w:r>
              <w:rPr>
                <w:rFonts w:hint="eastAsia"/>
                <w:b/>
                <w:bCs/>
                <w:color w:val="000000"/>
                <w:lang w:val="zh-CN"/>
              </w:rPr>
              <w:t>流入何处</w:t>
            </w:r>
          </w:p>
        </w:tc>
        <w:tc>
          <w:tcPr>
            <w:tcW w:w="2934"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8E05457">
            <w:pPr>
              <w:pStyle w:val="11"/>
              <w:bidi w:val="0"/>
              <w:jc w:val="center"/>
              <w:rPr>
                <w:rFonts w:hint="eastAsia"/>
                <w:b/>
                <w:bCs/>
                <w:color w:val="000000"/>
                <w:lang w:val="zh-CN"/>
              </w:rPr>
            </w:pPr>
            <w:r>
              <w:rPr>
                <w:rFonts w:hint="eastAsia"/>
                <w:b/>
                <w:bCs/>
                <w:color w:val="000000"/>
                <w:lang w:val="zh-CN"/>
              </w:rPr>
              <w:t>站名</w:t>
            </w:r>
          </w:p>
        </w:tc>
        <w:tc>
          <w:tcPr>
            <w:tcW w:w="370"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FD4C5F5">
            <w:pPr>
              <w:pStyle w:val="11"/>
              <w:bidi w:val="0"/>
              <w:jc w:val="center"/>
              <w:rPr>
                <w:rFonts w:hint="eastAsia"/>
                <w:b/>
                <w:bCs/>
                <w:color w:val="000000"/>
                <w:lang w:val="zh-CN"/>
              </w:rPr>
            </w:pPr>
            <w:r>
              <w:rPr>
                <w:rFonts w:hint="eastAsia"/>
                <w:b/>
                <w:bCs/>
                <w:color w:val="000000"/>
                <w:lang w:val="zh-CN"/>
              </w:rPr>
              <w:t>站别</w:t>
            </w:r>
          </w:p>
        </w:tc>
        <w:tc>
          <w:tcPr>
            <w:tcW w:w="339"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233CCABE">
            <w:pPr>
              <w:pStyle w:val="11"/>
              <w:bidi w:val="0"/>
              <w:jc w:val="center"/>
              <w:rPr>
                <w:rFonts w:hint="eastAsia"/>
                <w:b/>
                <w:bCs/>
                <w:color w:val="000000"/>
                <w:lang w:val="zh-CN"/>
              </w:rPr>
            </w:pPr>
            <w:r>
              <w:rPr>
                <w:rFonts w:hint="eastAsia"/>
                <w:b/>
                <w:bCs/>
                <w:color w:val="000000"/>
                <w:lang w:val="zh-CN"/>
              </w:rPr>
              <w:t>备注</w:t>
            </w:r>
          </w:p>
        </w:tc>
      </w:tr>
      <w:tr w14:paraId="42DA493A">
        <w:tblPrEx>
          <w:tblCellMar>
            <w:top w:w="0" w:type="dxa"/>
            <w:left w:w="0" w:type="dxa"/>
            <w:bottom w:w="0" w:type="dxa"/>
            <w:right w:w="0" w:type="dxa"/>
          </w:tblCellMar>
        </w:tblPrEx>
        <w:trPr>
          <w:trHeight w:val="340" w:hRule="atLeast"/>
        </w:trPr>
        <w:tc>
          <w:tcPr>
            <w:tcW w:w="386" w:type="pct"/>
            <w:tcBorders>
              <w:top w:val="single" w:color="auto" w:sz="4" w:space="0"/>
              <w:left w:val="nil"/>
              <w:bottom w:val="nil"/>
              <w:right w:val="single" w:color="auto" w:sz="4" w:space="0"/>
            </w:tcBorders>
            <w:shd w:val="clear" w:color="auto" w:fill="FFFFFF"/>
            <w:noWrap w:val="0"/>
            <w:vAlign w:val="center"/>
          </w:tcPr>
          <w:p w14:paraId="1A630688">
            <w:pPr>
              <w:pStyle w:val="11"/>
              <w:bidi w:val="0"/>
              <w:jc w:val="center"/>
              <w:rPr>
                <w:rFonts w:hint="eastAsia"/>
                <w:color w:val="000000"/>
                <w:lang w:val="zh-CN"/>
              </w:rPr>
            </w:pPr>
            <w:r>
              <w:rPr>
                <w:rFonts w:hint="eastAsia"/>
                <w:color w:val="000000"/>
                <w:lang w:val="zh-CN"/>
              </w:rPr>
              <w:t>北江</w:t>
            </w:r>
          </w:p>
        </w:tc>
        <w:tc>
          <w:tcPr>
            <w:tcW w:w="387" w:type="pct"/>
            <w:tcBorders>
              <w:top w:val="single" w:color="auto" w:sz="4" w:space="0"/>
              <w:left w:val="single" w:color="auto" w:sz="4" w:space="0"/>
              <w:bottom w:val="nil"/>
              <w:right w:val="single" w:color="auto" w:sz="4" w:space="0"/>
            </w:tcBorders>
            <w:shd w:val="clear" w:color="auto" w:fill="FFFFFF"/>
            <w:noWrap w:val="0"/>
            <w:vAlign w:val="center"/>
          </w:tcPr>
          <w:p w14:paraId="7FE8076D">
            <w:pPr>
              <w:pStyle w:val="11"/>
              <w:bidi w:val="0"/>
              <w:jc w:val="center"/>
              <w:rPr>
                <w:rFonts w:hint="eastAsia"/>
                <w:color w:val="000000"/>
                <w:lang w:val="zh-CN"/>
              </w:rPr>
            </w:pPr>
            <w:r>
              <w:rPr>
                <w:rFonts w:hint="eastAsia"/>
                <w:color w:val="000000"/>
                <w:lang w:val="zh-CN"/>
              </w:rPr>
              <w:t>浈江</w:t>
            </w:r>
          </w:p>
        </w:tc>
        <w:tc>
          <w:tcPr>
            <w:tcW w:w="582" w:type="pct"/>
            <w:tcBorders>
              <w:top w:val="single" w:color="auto" w:sz="4" w:space="0"/>
              <w:left w:val="single" w:color="auto" w:sz="4" w:space="0"/>
              <w:bottom w:val="nil"/>
              <w:right w:val="single" w:color="auto" w:sz="4" w:space="0"/>
            </w:tcBorders>
            <w:shd w:val="clear" w:color="auto" w:fill="FFFFFF"/>
            <w:noWrap w:val="0"/>
            <w:vAlign w:val="center"/>
          </w:tcPr>
          <w:p w14:paraId="76176536">
            <w:pPr>
              <w:pStyle w:val="11"/>
              <w:bidi w:val="0"/>
              <w:jc w:val="center"/>
              <w:rPr>
                <w:rFonts w:hint="eastAsia"/>
                <w:color w:val="000000"/>
                <w:lang w:val="zh-CN"/>
              </w:rPr>
            </w:pPr>
            <w:r>
              <w:rPr>
                <w:rFonts w:hint="eastAsia"/>
                <w:color w:val="000000"/>
                <w:lang w:val="zh-CN"/>
              </w:rPr>
              <w:t>珠江三角洲</w:t>
            </w:r>
          </w:p>
        </w:tc>
        <w:tc>
          <w:tcPr>
            <w:tcW w:w="2934" w:type="pct"/>
            <w:tcBorders>
              <w:top w:val="single" w:color="auto" w:sz="4" w:space="0"/>
              <w:left w:val="single" w:color="auto" w:sz="4" w:space="0"/>
              <w:bottom w:val="nil"/>
              <w:right w:val="single" w:color="auto" w:sz="4" w:space="0"/>
            </w:tcBorders>
            <w:shd w:val="clear" w:color="auto" w:fill="FFFFFF"/>
            <w:noWrap w:val="0"/>
            <w:tcMar>
              <w:left w:w="57" w:type="dxa"/>
              <w:right w:w="57" w:type="dxa"/>
            </w:tcMar>
            <w:vAlign w:val="center"/>
          </w:tcPr>
          <w:p w14:paraId="3F7777C8">
            <w:pPr>
              <w:pStyle w:val="11"/>
              <w:bidi w:val="0"/>
              <w:jc w:val="center"/>
              <w:rPr>
                <w:rFonts w:hint="eastAsia"/>
                <w:color w:val="000000"/>
                <w:lang w:val="zh-CN"/>
              </w:rPr>
            </w:pPr>
            <w:r>
              <w:rPr>
                <w:rFonts w:hint="eastAsia"/>
                <w:color w:val="000000"/>
                <w:lang w:val="zh-CN"/>
              </w:rPr>
              <w:t>基本站：大源、孔江水库、乌迳、百顺、横江、中坪、瀑布水库、水口（南雄）、南雄、澜河、南埔；大中型水库站：宝江、苍石；巡测站：南雄（一）；中小河流：件塘、红梅、罗田水库、梅岭、蛇岭水库、下坝、围背水库、乌坭水库、榕树、江头、竹篙坑水库；中小河流水文（位）站：长市、外溪、苍石</w:t>
            </w:r>
          </w:p>
        </w:tc>
        <w:tc>
          <w:tcPr>
            <w:tcW w:w="370" w:type="pct"/>
            <w:tcBorders>
              <w:top w:val="single" w:color="auto" w:sz="4" w:space="0"/>
              <w:left w:val="single" w:color="auto" w:sz="4" w:space="0"/>
              <w:bottom w:val="nil"/>
              <w:right w:val="single" w:color="auto" w:sz="4" w:space="0"/>
            </w:tcBorders>
            <w:shd w:val="clear" w:color="auto" w:fill="FFFFFF"/>
            <w:noWrap w:val="0"/>
            <w:tcMar>
              <w:top w:w="28" w:type="dxa"/>
              <w:left w:w="28" w:type="dxa"/>
              <w:bottom w:w="28" w:type="dxa"/>
              <w:right w:w="28" w:type="dxa"/>
            </w:tcMar>
            <w:vAlign w:val="center"/>
          </w:tcPr>
          <w:p w14:paraId="19B1E01E">
            <w:pPr>
              <w:pStyle w:val="11"/>
              <w:bidi w:val="0"/>
              <w:jc w:val="center"/>
              <w:rPr>
                <w:rFonts w:hint="eastAsia"/>
                <w:color w:val="000000"/>
                <w:lang w:val="zh-CN"/>
              </w:rPr>
            </w:pPr>
            <w:r>
              <w:rPr>
                <w:rFonts w:hint="eastAsia"/>
                <w:color w:val="000000"/>
                <w:lang w:val="zh-CN"/>
              </w:rPr>
              <w:t>雨量站</w:t>
            </w:r>
          </w:p>
        </w:tc>
        <w:tc>
          <w:tcPr>
            <w:tcW w:w="339" w:type="pct"/>
            <w:tcBorders>
              <w:top w:val="single" w:color="auto" w:sz="4" w:space="0"/>
              <w:left w:val="single" w:color="auto" w:sz="4" w:space="0"/>
              <w:bottom w:val="nil"/>
              <w:right w:val="nil"/>
            </w:tcBorders>
            <w:shd w:val="clear" w:color="auto" w:fill="FFFFFF"/>
            <w:noWrap w:val="0"/>
            <w:tcMar>
              <w:top w:w="113" w:type="dxa"/>
              <w:bottom w:w="113" w:type="dxa"/>
            </w:tcMar>
            <w:vAlign w:val="center"/>
          </w:tcPr>
          <w:p w14:paraId="136B1722">
            <w:pPr>
              <w:pStyle w:val="11"/>
              <w:bidi w:val="0"/>
              <w:jc w:val="center"/>
              <w:rPr>
                <w:rFonts w:hint="eastAsia"/>
                <w:color w:val="000000"/>
                <w:lang w:val="zh-CN"/>
              </w:rPr>
            </w:pPr>
          </w:p>
        </w:tc>
      </w:tr>
    </w:tbl>
    <w:p w14:paraId="34AD440C">
      <w:pPr>
        <w:bidi w:val="0"/>
        <w:ind w:left="0" w:leftChars="0" w:firstLine="0" w:firstLineChars="0"/>
        <w:jc w:val="center"/>
        <w:rPr>
          <w:rFonts w:hint="eastAsia"/>
          <w:b/>
          <w:bCs/>
          <w:lang w:val="zh-CN"/>
        </w:rPr>
      </w:pPr>
      <w:r>
        <w:rPr>
          <w:rFonts w:hint="eastAsia"/>
          <w:b/>
          <w:bCs/>
          <w:lang w:val="zh-CN"/>
        </w:rPr>
        <w:t>表16</w:t>
      </w:r>
      <w:r>
        <w:rPr>
          <w:rFonts w:hint="eastAsia"/>
          <w:b/>
          <w:bCs/>
          <w:lang w:val="en-US" w:eastAsia="zh-CN"/>
        </w:rPr>
        <w:t xml:space="preserve">  </w:t>
      </w:r>
      <w:r>
        <w:rPr>
          <w:rFonts w:hint="eastAsia"/>
          <w:b/>
          <w:bCs/>
          <w:lang w:val="zh-CN"/>
        </w:rPr>
        <w:t>南雄市地表水资源量（2018年）</w:t>
      </w:r>
    </w:p>
    <w:tbl>
      <w:tblPr>
        <w:tblStyle w:val="7"/>
        <w:tblW w:w="4994" w:type="pct"/>
        <w:tblInd w:w="0" w:type="dxa"/>
        <w:tblLayout w:type="autofit"/>
        <w:tblCellMar>
          <w:top w:w="0" w:type="dxa"/>
          <w:left w:w="0" w:type="dxa"/>
          <w:bottom w:w="0" w:type="dxa"/>
          <w:right w:w="0" w:type="dxa"/>
        </w:tblCellMar>
      </w:tblPr>
      <w:tblGrid>
        <w:gridCol w:w="1080"/>
        <w:gridCol w:w="1081"/>
        <w:gridCol w:w="1244"/>
        <w:gridCol w:w="1083"/>
        <w:gridCol w:w="1395"/>
        <w:gridCol w:w="3907"/>
      </w:tblGrid>
      <w:tr w14:paraId="1B48B20D">
        <w:tblPrEx>
          <w:tblCellMar>
            <w:top w:w="0" w:type="dxa"/>
            <w:left w:w="0" w:type="dxa"/>
            <w:bottom w:w="0" w:type="dxa"/>
            <w:right w:w="0" w:type="dxa"/>
          </w:tblCellMar>
        </w:tblPrEx>
        <w:trPr>
          <w:trHeight w:val="396" w:hRule="atLeast"/>
          <w:tblHeader/>
        </w:trPr>
        <w:tc>
          <w:tcPr>
            <w:tcW w:w="551"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959378B">
            <w:pPr>
              <w:pStyle w:val="11"/>
              <w:bidi w:val="0"/>
              <w:jc w:val="center"/>
              <w:rPr>
                <w:rFonts w:hint="eastAsia"/>
                <w:b/>
                <w:bCs/>
                <w:color w:val="000000"/>
                <w:lang w:val="zh-CN"/>
              </w:rPr>
            </w:pPr>
            <w:r>
              <w:rPr>
                <w:rFonts w:hint="eastAsia"/>
                <w:b/>
                <w:bCs/>
                <w:color w:val="000000"/>
                <w:lang w:val="zh-CN"/>
              </w:rPr>
              <w:t>水系</w:t>
            </w:r>
          </w:p>
        </w:tc>
        <w:tc>
          <w:tcPr>
            <w:tcW w:w="55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AD8EB99">
            <w:pPr>
              <w:pStyle w:val="11"/>
              <w:bidi w:val="0"/>
              <w:jc w:val="center"/>
              <w:rPr>
                <w:rFonts w:hint="eastAsia"/>
                <w:b/>
                <w:bCs/>
                <w:color w:val="000000"/>
                <w:lang w:val="zh-CN"/>
              </w:rPr>
            </w:pPr>
            <w:r>
              <w:rPr>
                <w:rFonts w:hint="eastAsia"/>
                <w:b/>
                <w:bCs/>
                <w:color w:val="000000"/>
                <w:lang w:val="zh-CN"/>
              </w:rPr>
              <w:t>河名</w:t>
            </w:r>
          </w:p>
        </w:tc>
        <w:tc>
          <w:tcPr>
            <w:tcW w:w="6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09100C2">
            <w:pPr>
              <w:pStyle w:val="11"/>
              <w:bidi w:val="0"/>
              <w:jc w:val="center"/>
              <w:rPr>
                <w:rFonts w:hint="eastAsia"/>
                <w:b/>
                <w:bCs/>
                <w:color w:val="000000"/>
                <w:lang w:val="zh-CN"/>
              </w:rPr>
            </w:pPr>
            <w:r>
              <w:rPr>
                <w:rFonts w:hint="eastAsia"/>
                <w:b/>
                <w:bCs/>
                <w:color w:val="000000"/>
                <w:lang w:val="zh-CN"/>
              </w:rPr>
              <w:t>流入何处</w:t>
            </w:r>
          </w:p>
        </w:tc>
        <w:tc>
          <w:tcPr>
            <w:tcW w:w="55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867872C">
            <w:pPr>
              <w:pStyle w:val="11"/>
              <w:bidi w:val="0"/>
              <w:jc w:val="center"/>
              <w:rPr>
                <w:rFonts w:hint="eastAsia"/>
                <w:b/>
                <w:bCs/>
                <w:color w:val="000000"/>
                <w:lang w:val="zh-CN"/>
              </w:rPr>
            </w:pPr>
            <w:r>
              <w:rPr>
                <w:rFonts w:hint="eastAsia"/>
                <w:b/>
                <w:bCs/>
                <w:color w:val="000000"/>
                <w:lang w:val="zh-CN"/>
              </w:rPr>
              <w:t>站名</w:t>
            </w:r>
          </w:p>
        </w:tc>
        <w:tc>
          <w:tcPr>
            <w:tcW w:w="71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9E0F41D">
            <w:pPr>
              <w:pStyle w:val="11"/>
              <w:bidi w:val="0"/>
              <w:jc w:val="center"/>
              <w:rPr>
                <w:rFonts w:hint="eastAsia"/>
                <w:b/>
                <w:bCs/>
                <w:color w:val="000000"/>
                <w:lang w:val="zh-CN"/>
              </w:rPr>
            </w:pPr>
            <w:r>
              <w:rPr>
                <w:rFonts w:hint="eastAsia"/>
                <w:b/>
                <w:bCs/>
                <w:color w:val="000000"/>
                <w:lang w:val="zh-CN"/>
              </w:rPr>
              <w:t>站别</w:t>
            </w:r>
          </w:p>
        </w:tc>
        <w:tc>
          <w:tcPr>
            <w:tcW w:w="1994"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5622A8C4">
            <w:pPr>
              <w:pStyle w:val="11"/>
              <w:bidi w:val="0"/>
              <w:jc w:val="center"/>
              <w:rPr>
                <w:rFonts w:hint="eastAsia"/>
                <w:b/>
                <w:bCs/>
                <w:color w:val="000000"/>
                <w:lang w:val="zh-CN"/>
              </w:rPr>
            </w:pPr>
            <w:r>
              <w:rPr>
                <w:rFonts w:hint="eastAsia"/>
                <w:b/>
                <w:bCs/>
                <w:color w:val="000000"/>
                <w:lang w:val="zh-CN"/>
              </w:rPr>
              <w:t>监测断面</w:t>
            </w:r>
          </w:p>
        </w:tc>
      </w:tr>
      <w:tr w14:paraId="49F8F2A6">
        <w:tblPrEx>
          <w:tblCellMar>
            <w:top w:w="0" w:type="dxa"/>
            <w:left w:w="0" w:type="dxa"/>
            <w:bottom w:w="0" w:type="dxa"/>
            <w:right w:w="0" w:type="dxa"/>
          </w:tblCellMar>
        </w:tblPrEx>
        <w:trPr>
          <w:trHeight w:val="396" w:hRule="atLeast"/>
        </w:trPr>
        <w:tc>
          <w:tcPr>
            <w:tcW w:w="551"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E4CBB25">
            <w:pPr>
              <w:pStyle w:val="11"/>
              <w:bidi w:val="0"/>
              <w:jc w:val="center"/>
              <w:rPr>
                <w:rFonts w:hint="eastAsia"/>
                <w:color w:val="000000"/>
                <w:lang w:val="zh-CN"/>
              </w:rPr>
            </w:pPr>
            <w:r>
              <w:rPr>
                <w:rFonts w:hint="eastAsia"/>
                <w:color w:val="000000"/>
                <w:lang w:val="zh-CN"/>
              </w:rPr>
              <w:t>北江</w:t>
            </w:r>
          </w:p>
        </w:tc>
        <w:tc>
          <w:tcPr>
            <w:tcW w:w="55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0848E83">
            <w:pPr>
              <w:pStyle w:val="11"/>
              <w:bidi w:val="0"/>
              <w:jc w:val="center"/>
              <w:rPr>
                <w:rFonts w:hint="eastAsia"/>
                <w:color w:val="000000"/>
                <w:lang w:val="zh-CN"/>
              </w:rPr>
            </w:pPr>
            <w:r>
              <w:rPr>
                <w:rFonts w:hint="eastAsia"/>
                <w:color w:val="000000"/>
                <w:lang w:val="zh-CN"/>
              </w:rPr>
              <w:t>浈江</w:t>
            </w:r>
          </w:p>
        </w:tc>
        <w:tc>
          <w:tcPr>
            <w:tcW w:w="6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3381DC4">
            <w:pPr>
              <w:pStyle w:val="11"/>
              <w:bidi w:val="0"/>
              <w:jc w:val="center"/>
              <w:rPr>
                <w:rFonts w:hint="eastAsia"/>
                <w:color w:val="000000"/>
                <w:lang w:val="zh-CN"/>
              </w:rPr>
            </w:pPr>
            <w:r>
              <w:rPr>
                <w:rFonts w:hint="eastAsia"/>
                <w:color w:val="000000"/>
                <w:lang w:val="zh-CN"/>
              </w:rPr>
              <w:t>珠江三角洲</w:t>
            </w:r>
          </w:p>
        </w:tc>
        <w:tc>
          <w:tcPr>
            <w:tcW w:w="55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7FF874C">
            <w:pPr>
              <w:pStyle w:val="11"/>
              <w:bidi w:val="0"/>
              <w:jc w:val="center"/>
              <w:rPr>
                <w:rFonts w:hint="eastAsia"/>
                <w:color w:val="000000"/>
                <w:lang w:val="zh-CN"/>
              </w:rPr>
            </w:pPr>
            <w:r>
              <w:rPr>
                <w:rFonts w:hint="eastAsia"/>
                <w:color w:val="000000"/>
                <w:lang w:val="zh-CN"/>
              </w:rPr>
              <w:t>马芫</w:t>
            </w:r>
          </w:p>
        </w:tc>
        <w:tc>
          <w:tcPr>
            <w:tcW w:w="71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A32C425">
            <w:pPr>
              <w:pStyle w:val="11"/>
              <w:bidi w:val="0"/>
              <w:jc w:val="center"/>
              <w:rPr>
                <w:rFonts w:hint="eastAsia"/>
                <w:color w:val="000000"/>
                <w:lang w:val="zh-CN"/>
              </w:rPr>
            </w:pPr>
            <w:r>
              <w:rPr>
                <w:rFonts w:hint="eastAsia"/>
                <w:color w:val="000000"/>
                <w:lang w:val="zh-CN"/>
              </w:rPr>
              <w:t>水质监测</w:t>
            </w:r>
          </w:p>
        </w:tc>
        <w:tc>
          <w:tcPr>
            <w:tcW w:w="1994"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1C726A5F">
            <w:pPr>
              <w:pStyle w:val="11"/>
              <w:bidi w:val="0"/>
              <w:jc w:val="center"/>
              <w:rPr>
                <w:rFonts w:hint="eastAsia"/>
                <w:color w:val="000000"/>
                <w:lang w:val="zh-CN"/>
              </w:rPr>
            </w:pPr>
            <w:r>
              <w:rPr>
                <w:rFonts w:hint="eastAsia"/>
                <w:color w:val="000000"/>
                <w:lang w:val="zh-CN"/>
              </w:rPr>
              <w:t>广东省南雄市马芫村</w:t>
            </w:r>
          </w:p>
        </w:tc>
      </w:tr>
      <w:tr w14:paraId="78ADC99B">
        <w:tblPrEx>
          <w:tblCellMar>
            <w:top w:w="0" w:type="dxa"/>
            <w:left w:w="0" w:type="dxa"/>
            <w:bottom w:w="0" w:type="dxa"/>
            <w:right w:w="0" w:type="dxa"/>
          </w:tblCellMar>
        </w:tblPrEx>
        <w:trPr>
          <w:trHeight w:val="396" w:hRule="atLeast"/>
        </w:trPr>
        <w:tc>
          <w:tcPr>
            <w:tcW w:w="551"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96DB70E">
            <w:pPr>
              <w:pStyle w:val="11"/>
              <w:bidi w:val="0"/>
              <w:jc w:val="center"/>
              <w:rPr>
                <w:rFonts w:hint="eastAsia"/>
                <w:color w:val="000000"/>
                <w:lang w:val="zh-CN"/>
              </w:rPr>
            </w:pPr>
            <w:r>
              <w:rPr>
                <w:rFonts w:hint="eastAsia"/>
                <w:color w:val="000000"/>
                <w:lang w:val="zh-CN"/>
              </w:rPr>
              <w:t>北江</w:t>
            </w:r>
          </w:p>
        </w:tc>
        <w:tc>
          <w:tcPr>
            <w:tcW w:w="55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ABB8011">
            <w:pPr>
              <w:pStyle w:val="11"/>
              <w:bidi w:val="0"/>
              <w:jc w:val="center"/>
              <w:rPr>
                <w:rFonts w:hint="eastAsia"/>
                <w:color w:val="000000"/>
                <w:lang w:val="zh-CN"/>
              </w:rPr>
            </w:pPr>
            <w:r>
              <w:rPr>
                <w:rFonts w:hint="eastAsia"/>
                <w:color w:val="000000"/>
                <w:lang w:val="zh-CN"/>
              </w:rPr>
              <w:t>浈江</w:t>
            </w:r>
          </w:p>
        </w:tc>
        <w:tc>
          <w:tcPr>
            <w:tcW w:w="6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6940CC4">
            <w:pPr>
              <w:pStyle w:val="11"/>
              <w:bidi w:val="0"/>
              <w:jc w:val="center"/>
              <w:rPr>
                <w:rFonts w:hint="eastAsia"/>
                <w:color w:val="000000"/>
                <w:lang w:val="zh-CN"/>
              </w:rPr>
            </w:pPr>
            <w:r>
              <w:rPr>
                <w:rFonts w:hint="eastAsia"/>
                <w:color w:val="000000"/>
                <w:lang w:val="zh-CN"/>
              </w:rPr>
              <w:t>珠江三角洲</w:t>
            </w:r>
          </w:p>
        </w:tc>
        <w:tc>
          <w:tcPr>
            <w:tcW w:w="55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9E637CD">
            <w:pPr>
              <w:pStyle w:val="11"/>
              <w:bidi w:val="0"/>
              <w:jc w:val="center"/>
              <w:rPr>
                <w:rFonts w:hint="eastAsia"/>
                <w:color w:val="000000"/>
                <w:lang w:val="zh-CN"/>
              </w:rPr>
            </w:pPr>
            <w:r>
              <w:rPr>
                <w:rFonts w:hint="eastAsia"/>
                <w:color w:val="000000"/>
                <w:lang w:val="zh-CN"/>
              </w:rPr>
              <w:t>孔江水库</w:t>
            </w:r>
          </w:p>
        </w:tc>
        <w:tc>
          <w:tcPr>
            <w:tcW w:w="71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2013701">
            <w:pPr>
              <w:pStyle w:val="11"/>
              <w:bidi w:val="0"/>
              <w:jc w:val="center"/>
              <w:rPr>
                <w:rFonts w:hint="eastAsia"/>
                <w:color w:val="000000"/>
                <w:lang w:val="zh-CN"/>
              </w:rPr>
            </w:pPr>
            <w:r>
              <w:rPr>
                <w:rFonts w:hint="eastAsia"/>
                <w:color w:val="000000"/>
                <w:lang w:val="zh-CN"/>
              </w:rPr>
              <w:t>水质监测</w:t>
            </w:r>
          </w:p>
        </w:tc>
        <w:tc>
          <w:tcPr>
            <w:tcW w:w="1994"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5418B7F1">
            <w:pPr>
              <w:pStyle w:val="11"/>
              <w:bidi w:val="0"/>
              <w:jc w:val="center"/>
              <w:rPr>
                <w:rFonts w:hint="eastAsia"/>
                <w:color w:val="000000"/>
                <w:lang w:val="zh-CN"/>
              </w:rPr>
            </w:pPr>
            <w:r>
              <w:rPr>
                <w:rFonts w:hint="eastAsia"/>
                <w:color w:val="000000"/>
                <w:lang w:val="zh-CN"/>
              </w:rPr>
              <w:t>广东省南雄市乌迳镇孔江水库</w:t>
            </w:r>
          </w:p>
        </w:tc>
      </w:tr>
      <w:tr w14:paraId="69A8A081">
        <w:tblPrEx>
          <w:tblCellMar>
            <w:top w:w="0" w:type="dxa"/>
            <w:left w:w="0" w:type="dxa"/>
            <w:bottom w:w="0" w:type="dxa"/>
            <w:right w:w="0" w:type="dxa"/>
          </w:tblCellMar>
        </w:tblPrEx>
        <w:trPr>
          <w:trHeight w:val="396" w:hRule="atLeast"/>
        </w:trPr>
        <w:tc>
          <w:tcPr>
            <w:tcW w:w="551"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16ADE4F">
            <w:pPr>
              <w:pStyle w:val="11"/>
              <w:bidi w:val="0"/>
              <w:jc w:val="center"/>
              <w:rPr>
                <w:rFonts w:hint="eastAsia"/>
                <w:color w:val="000000"/>
                <w:lang w:val="zh-CN"/>
              </w:rPr>
            </w:pPr>
            <w:r>
              <w:rPr>
                <w:rFonts w:hint="eastAsia"/>
                <w:color w:val="000000"/>
                <w:lang w:val="zh-CN"/>
              </w:rPr>
              <w:t>北江</w:t>
            </w:r>
          </w:p>
        </w:tc>
        <w:tc>
          <w:tcPr>
            <w:tcW w:w="55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4FEA130">
            <w:pPr>
              <w:pStyle w:val="11"/>
              <w:bidi w:val="0"/>
              <w:jc w:val="center"/>
              <w:rPr>
                <w:rFonts w:hint="eastAsia"/>
                <w:color w:val="000000"/>
                <w:lang w:val="zh-CN"/>
              </w:rPr>
            </w:pPr>
            <w:r>
              <w:rPr>
                <w:rFonts w:hint="eastAsia"/>
                <w:color w:val="000000"/>
                <w:lang w:val="zh-CN"/>
              </w:rPr>
              <w:t>浈江</w:t>
            </w:r>
          </w:p>
        </w:tc>
        <w:tc>
          <w:tcPr>
            <w:tcW w:w="6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4BB8C72">
            <w:pPr>
              <w:pStyle w:val="11"/>
              <w:bidi w:val="0"/>
              <w:jc w:val="center"/>
              <w:rPr>
                <w:rFonts w:hint="eastAsia"/>
                <w:color w:val="000000"/>
                <w:lang w:val="zh-CN"/>
              </w:rPr>
            </w:pPr>
            <w:r>
              <w:rPr>
                <w:rFonts w:hint="eastAsia"/>
                <w:color w:val="000000"/>
                <w:lang w:val="zh-CN"/>
              </w:rPr>
              <w:t>珠江三角洲</w:t>
            </w:r>
          </w:p>
        </w:tc>
        <w:tc>
          <w:tcPr>
            <w:tcW w:w="55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1DAFB68">
            <w:pPr>
              <w:pStyle w:val="11"/>
              <w:bidi w:val="0"/>
              <w:jc w:val="center"/>
              <w:rPr>
                <w:rFonts w:hint="eastAsia"/>
                <w:color w:val="000000"/>
                <w:lang w:val="zh-CN"/>
              </w:rPr>
            </w:pPr>
            <w:r>
              <w:rPr>
                <w:rFonts w:hint="eastAsia"/>
                <w:color w:val="000000"/>
                <w:lang w:val="zh-CN"/>
              </w:rPr>
              <w:t>南雄</w:t>
            </w:r>
          </w:p>
        </w:tc>
        <w:tc>
          <w:tcPr>
            <w:tcW w:w="71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019CDBC">
            <w:pPr>
              <w:pStyle w:val="11"/>
              <w:bidi w:val="0"/>
              <w:jc w:val="center"/>
              <w:rPr>
                <w:rFonts w:hint="eastAsia"/>
                <w:color w:val="000000"/>
                <w:lang w:val="zh-CN"/>
              </w:rPr>
            </w:pPr>
            <w:r>
              <w:rPr>
                <w:rFonts w:hint="eastAsia"/>
                <w:color w:val="000000"/>
                <w:lang w:val="zh-CN"/>
              </w:rPr>
              <w:t>水质监测</w:t>
            </w:r>
          </w:p>
        </w:tc>
        <w:tc>
          <w:tcPr>
            <w:tcW w:w="1994"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2F78AD37">
            <w:pPr>
              <w:pStyle w:val="11"/>
              <w:bidi w:val="0"/>
              <w:jc w:val="center"/>
              <w:rPr>
                <w:rFonts w:hint="eastAsia"/>
                <w:color w:val="000000"/>
                <w:lang w:val="zh-CN"/>
              </w:rPr>
            </w:pPr>
            <w:r>
              <w:rPr>
                <w:rFonts w:hint="eastAsia"/>
                <w:color w:val="000000"/>
                <w:lang w:val="zh-CN"/>
              </w:rPr>
              <w:t>韶关市南雄市（区）三洲桥</w:t>
            </w:r>
          </w:p>
        </w:tc>
      </w:tr>
      <w:tr w14:paraId="50D0933B">
        <w:tblPrEx>
          <w:tblCellMar>
            <w:top w:w="0" w:type="dxa"/>
            <w:left w:w="0" w:type="dxa"/>
            <w:bottom w:w="0" w:type="dxa"/>
            <w:right w:w="0" w:type="dxa"/>
          </w:tblCellMar>
        </w:tblPrEx>
        <w:trPr>
          <w:trHeight w:val="396" w:hRule="atLeast"/>
        </w:trPr>
        <w:tc>
          <w:tcPr>
            <w:tcW w:w="551"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73477008">
            <w:pPr>
              <w:pStyle w:val="11"/>
              <w:bidi w:val="0"/>
              <w:jc w:val="center"/>
              <w:rPr>
                <w:rFonts w:hint="eastAsia"/>
                <w:color w:val="000000"/>
                <w:lang w:val="zh-CN"/>
              </w:rPr>
            </w:pPr>
            <w:r>
              <w:rPr>
                <w:rFonts w:hint="eastAsia"/>
                <w:color w:val="000000"/>
                <w:lang w:val="zh-CN"/>
              </w:rPr>
              <w:t>北江</w:t>
            </w:r>
          </w:p>
        </w:tc>
        <w:tc>
          <w:tcPr>
            <w:tcW w:w="55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A2C7D19">
            <w:pPr>
              <w:pStyle w:val="11"/>
              <w:bidi w:val="0"/>
              <w:jc w:val="center"/>
              <w:rPr>
                <w:rFonts w:hint="eastAsia"/>
                <w:color w:val="000000"/>
                <w:lang w:val="zh-CN"/>
              </w:rPr>
            </w:pPr>
            <w:r>
              <w:rPr>
                <w:rFonts w:hint="eastAsia"/>
                <w:color w:val="000000"/>
                <w:lang w:val="zh-CN"/>
              </w:rPr>
              <w:t>浈江</w:t>
            </w:r>
          </w:p>
        </w:tc>
        <w:tc>
          <w:tcPr>
            <w:tcW w:w="6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AC70473">
            <w:pPr>
              <w:pStyle w:val="11"/>
              <w:bidi w:val="0"/>
              <w:jc w:val="center"/>
              <w:rPr>
                <w:rFonts w:hint="eastAsia"/>
                <w:color w:val="000000"/>
                <w:lang w:val="zh-CN"/>
              </w:rPr>
            </w:pPr>
            <w:r>
              <w:rPr>
                <w:rFonts w:hint="eastAsia"/>
                <w:color w:val="000000"/>
                <w:lang w:val="zh-CN"/>
              </w:rPr>
              <w:t>珠江三角洲</w:t>
            </w:r>
          </w:p>
        </w:tc>
        <w:tc>
          <w:tcPr>
            <w:tcW w:w="55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5771363E">
            <w:pPr>
              <w:pStyle w:val="11"/>
              <w:bidi w:val="0"/>
              <w:jc w:val="center"/>
              <w:rPr>
                <w:rFonts w:hint="eastAsia"/>
                <w:color w:val="000000"/>
                <w:lang w:val="zh-CN"/>
              </w:rPr>
            </w:pPr>
            <w:r>
              <w:rPr>
                <w:rFonts w:hint="eastAsia"/>
                <w:color w:val="000000"/>
                <w:lang w:val="zh-CN"/>
              </w:rPr>
              <w:t>古市</w:t>
            </w:r>
          </w:p>
        </w:tc>
        <w:tc>
          <w:tcPr>
            <w:tcW w:w="71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31B59E6">
            <w:pPr>
              <w:pStyle w:val="11"/>
              <w:bidi w:val="0"/>
              <w:jc w:val="center"/>
              <w:rPr>
                <w:rFonts w:hint="eastAsia"/>
                <w:color w:val="000000"/>
                <w:lang w:val="zh-CN"/>
              </w:rPr>
            </w:pPr>
            <w:r>
              <w:rPr>
                <w:rFonts w:hint="eastAsia"/>
                <w:color w:val="000000"/>
                <w:lang w:val="zh-CN"/>
              </w:rPr>
              <w:t>水质监测</w:t>
            </w:r>
          </w:p>
        </w:tc>
        <w:tc>
          <w:tcPr>
            <w:tcW w:w="1994"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6876D3FD">
            <w:pPr>
              <w:pStyle w:val="11"/>
              <w:bidi w:val="0"/>
              <w:jc w:val="center"/>
              <w:rPr>
                <w:rFonts w:hint="eastAsia"/>
                <w:color w:val="000000"/>
                <w:lang w:val="zh-CN"/>
              </w:rPr>
            </w:pPr>
            <w:r>
              <w:rPr>
                <w:rFonts w:hint="eastAsia"/>
                <w:color w:val="000000"/>
                <w:lang w:val="zh-CN"/>
              </w:rPr>
              <w:t>韶关市南雄市（区）古市镇浈江大桥</w:t>
            </w:r>
          </w:p>
        </w:tc>
      </w:tr>
      <w:tr w14:paraId="387598B6">
        <w:tblPrEx>
          <w:tblCellMar>
            <w:top w:w="0" w:type="dxa"/>
            <w:left w:w="0" w:type="dxa"/>
            <w:bottom w:w="0" w:type="dxa"/>
            <w:right w:w="0" w:type="dxa"/>
          </w:tblCellMar>
        </w:tblPrEx>
        <w:trPr>
          <w:trHeight w:val="396" w:hRule="atLeast"/>
        </w:trPr>
        <w:tc>
          <w:tcPr>
            <w:tcW w:w="551"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1AD8F1B">
            <w:pPr>
              <w:pStyle w:val="11"/>
              <w:bidi w:val="0"/>
              <w:jc w:val="center"/>
              <w:rPr>
                <w:rFonts w:hint="eastAsia"/>
                <w:color w:val="000000"/>
                <w:lang w:val="zh-CN"/>
              </w:rPr>
            </w:pPr>
            <w:r>
              <w:rPr>
                <w:rFonts w:hint="eastAsia"/>
                <w:color w:val="000000"/>
                <w:lang w:val="zh-CN"/>
              </w:rPr>
              <w:t>北江</w:t>
            </w:r>
          </w:p>
        </w:tc>
        <w:tc>
          <w:tcPr>
            <w:tcW w:w="55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A8461A1">
            <w:pPr>
              <w:pStyle w:val="11"/>
              <w:bidi w:val="0"/>
              <w:jc w:val="center"/>
              <w:rPr>
                <w:rFonts w:hint="eastAsia"/>
                <w:color w:val="000000"/>
                <w:lang w:val="zh-CN"/>
              </w:rPr>
            </w:pPr>
            <w:r>
              <w:rPr>
                <w:rFonts w:hint="eastAsia"/>
                <w:color w:val="000000"/>
                <w:lang w:val="zh-CN"/>
              </w:rPr>
              <w:t>瀑布水</w:t>
            </w:r>
          </w:p>
        </w:tc>
        <w:tc>
          <w:tcPr>
            <w:tcW w:w="6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22791A4">
            <w:pPr>
              <w:pStyle w:val="11"/>
              <w:bidi w:val="0"/>
              <w:jc w:val="center"/>
              <w:rPr>
                <w:rFonts w:hint="eastAsia"/>
                <w:color w:val="000000"/>
                <w:lang w:val="zh-CN"/>
              </w:rPr>
            </w:pPr>
            <w:r>
              <w:rPr>
                <w:rFonts w:hint="eastAsia"/>
                <w:color w:val="000000"/>
                <w:lang w:val="zh-CN"/>
              </w:rPr>
              <w:t>珠江三角洲</w:t>
            </w:r>
          </w:p>
        </w:tc>
        <w:tc>
          <w:tcPr>
            <w:tcW w:w="55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D5ADE6E">
            <w:pPr>
              <w:pStyle w:val="11"/>
              <w:bidi w:val="0"/>
              <w:jc w:val="center"/>
              <w:rPr>
                <w:rFonts w:hint="eastAsia"/>
                <w:color w:val="000000"/>
                <w:lang w:val="zh-CN"/>
              </w:rPr>
            </w:pPr>
            <w:r>
              <w:rPr>
                <w:rFonts w:hint="eastAsia"/>
                <w:color w:val="000000"/>
                <w:lang w:val="zh-CN"/>
              </w:rPr>
              <w:t>瀑布水库</w:t>
            </w:r>
          </w:p>
        </w:tc>
        <w:tc>
          <w:tcPr>
            <w:tcW w:w="71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90B40F2">
            <w:pPr>
              <w:pStyle w:val="11"/>
              <w:bidi w:val="0"/>
              <w:jc w:val="center"/>
              <w:rPr>
                <w:rFonts w:hint="eastAsia"/>
                <w:color w:val="000000"/>
                <w:lang w:val="zh-CN"/>
              </w:rPr>
            </w:pPr>
            <w:r>
              <w:rPr>
                <w:rFonts w:hint="eastAsia"/>
                <w:color w:val="000000"/>
                <w:lang w:val="zh-CN"/>
              </w:rPr>
              <w:t>水质监测</w:t>
            </w:r>
          </w:p>
        </w:tc>
        <w:tc>
          <w:tcPr>
            <w:tcW w:w="1994"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068E6CF3">
            <w:pPr>
              <w:pStyle w:val="11"/>
              <w:bidi w:val="0"/>
              <w:jc w:val="center"/>
              <w:rPr>
                <w:rFonts w:hint="eastAsia"/>
                <w:color w:val="000000"/>
                <w:lang w:val="zh-CN"/>
              </w:rPr>
            </w:pPr>
            <w:r>
              <w:rPr>
                <w:rFonts w:hint="eastAsia"/>
                <w:color w:val="000000"/>
                <w:lang w:val="zh-CN"/>
              </w:rPr>
              <w:t>韶关市南雄市（区）瀑布水库</w:t>
            </w:r>
          </w:p>
        </w:tc>
      </w:tr>
      <w:tr w14:paraId="28C18223">
        <w:tblPrEx>
          <w:tblCellMar>
            <w:top w:w="0" w:type="dxa"/>
            <w:left w:w="0" w:type="dxa"/>
            <w:bottom w:w="0" w:type="dxa"/>
            <w:right w:w="0" w:type="dxa"/>
          </w:tblCellMar>
        </w:tblPrEx>
        <w:trPr>
          <w:trHeight w:val="396" w:hRule="atLeast"/>
        </w:trPr>
        <w:tc>
          <w:tcPr>
            <w:tcW w:w="551"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E1E8C1C">
            <w:pPr>
              <w:pStyle w:val="11"/>
              <w:bidi w:val="0"/>
              <w:jc w:val="center"/>
              <w:rPr>
                <w:rFonts w:hint="eastAsia"/>
                <w:color w:val="000000"/>
                <w:lang w:val="zh-CN"/>
              </w:rPr>
            </w:pPr>
            <w:r>
              <w:rPr>
                <w:rFonts w:hint="eastAsia"/>
                <w:color w:val="000000"/>
                <w:lang w:val="zh-CN"/>
              </w:rPr>
              <w:t>北江</w:t>
            </w:r>
          </w:p>
        </w:tc>
        <w:tc>
          <w:tcPr>
            <w:tcW w:w="55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933BF1B">
            <w:pPr>
              <w:pStyle w:val="11"/>
              <w:bidi w:val="0"/>
              <w:jc w:val="center"/>
              <w:rPr>
                <w:rFonts w:hint="eastAsia"/>
                <w:color w:val="000000"/>
                <w:lang w:val="zh-CN"/>
              </w:rPr>
            </w:pPr>
            <w:r>
              <w:rPr>
                <w:rFonts w:hint="eastAsia"/>
                <w:color w:val="000000"/>
                <w:lang w:val="zh-CN"/>
              </w:rPr>
              <w:t>宝江水</w:t>
            </w:r>
          </w:p>
        </w:tc>
        <w:tc>
          <w:tcPr>
            <w:tcW w:w="6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71F904A">
            <w:pPr>
              <w:pStyle w:val="11"/>
              <w:bidi w:val="0"/>
              <w:jc w:val="center"/>
              <w:rPr>
                <w:rFonts w:hint="eastAsia"/>
                <w:color w:val="000000"/>
                <w:lang w:val="zh-CN"/>
              </w:rPr>
            </w:pPr>
            <w:r>
              <w:rPr>
                <w:rFonts w:hint="eastAsia"/>
                <w:color w:val="000000"/>
                <w:lang w:val="zh-CN"/>
              </w:rPr>
              <w:t>珠江三角洲</w:t>
            </w:r>
          </w:p>
        </w:tc>
        <w:tc>
          <w:tcPr>
            <w:tcW w:w="55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E8F24E1">
            <w:pPr>
              <w:pStyle w:val="11"/>
              <w:bidi w:val="0"/>
              <w:jc w:val="center"/>
              <w:rPr>
                <w:rFonts w:hint="eastAsia"/>
                <w:color w:val="000000"/>
                <w:lang w:val="zh-CN"/>
              </w:rPr>
            </w:pPr>
            <w:r>
              <w:rPr>
                <w:rFonts w:hint="eastAsia"/>
                <w:color w:val="000000"/>
                <w:lang w:val="zh-CN"/>
              </w:rPr>
              <w:t>宝江水库</w:t>
            </w:r>
          </w:p>
        </w:tc>
        <w:tc>
          <w:tcPr>
            <w:tcW w:w="71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C131FA6">
            <w:pPr>
              <w:pStyle w:val="11"/>
              <w:bidi w:val="0"/>
              <w:jc w:val="center"/>
              <w:rPr>
                <w:rFonts w:hint="eastAsia"/>
                <w:color w:val="000000"/>
                <w:lang w:val="zh-CN"/>
              </w:rPr>
            </w:pPr>
            <w:r>
              <w:rPr>
                <w:rFonts w:hint="eastAsia"/>
                <w:color w:val="000000"/>
                <w:lang w:val="zh-CN"/>
              </w:rPr>
              <w:t>水质监测</w:t>
            </w:r>
          </w:p>
        </w:tc>
        <w:tc>
          <w:tcPr>
            <w:tcW w:w="1994"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6973FB68">
            <w:pPr>
              <w:pStyle w:val="11"/>
              <w:bidi w:val="0"/>
              <w:jc w:val="center"/>
              <w:rPr>
                <w:rFonts w:hint="eastAsia"/>
                <w:color w:val="000000"/>
                <w:lang w:val="zh-CN"/>
              </w:rPr>
            </w:pPr>
            <w:r>
              <w:rPr>
                <w:rFonts w:hint="eastAsia"/>
                <w:color w:val="000000"/>
                <w:lang w:val="zh-CN"/>
              </w:rPr>
              <w:t>广东省南雄市水口镇</w:t>
            </w:r>
          </w:p>
        </w:tc>
      </w:tr>
      <w:tr w14:paraId="1145F5D3">
        <w:tblPrEx>
          <w:tblCellMar>
            <w:top w:w="0" w:type="dxa"/>
            <w:left w:w="0" w:type="dxa"/>
            <w:bottom w:w="0" w:type="dxa"/>
            <w:right w:w="0" w:type="dxa"/>
          </w:tblCellMar>
        </w:tblPrEx>
        <w:trPr>
          <w:trHeight w:val="396" w:hRule="atLeast"/>
        </w:trPr>
        <w:tc>
          <w:tcPr>
            <w:tcW w:w="551"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5FF9777">
            <w:pPr>
              <w:pStyle w:val="11"/>
              <w:bidi w:val="0"/>
              <w:jc w:val="center"/>
              <w:rPr>
                <w:rFonts w:hint="eastAsia"/>
                <w:color w:val="000000"/>
                <w:lang w:val="zh-CN"/>
              </w:rPr>
            </w:pPr>
            <w:r>
              <w:rPr>
                <w:rFonts w:hint="eastAsia"/>
                <w:color w:val="000000"/>
                <w:lang w:val="zh-CN"/>
              </w:rPr>
              <w:t>北江</w:t>
            </w:r>
          </w:p>
        </w:tc>
        <w:tc>
          <w:tcPr>
            <w:tcW w:w="55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B302DE9">
            <w:pPr>
              <w:pStyle w:val="11"/>
              <w:bidi w:val="0"/>
              <w:jc w:val="center"/>
              <w:rPr>
                <w:rFonts w:hint="eastAsia"/>
                <w:color w:val="000000"/>
                <w:lang w:val="zh-CN"/>
              </w:rPr>
            </w:pPr>
            <w:r>
              <w:rPr>
                <w:rFonts w:hint="eastAsia"/>
                <w:color w:val="000000"/>
                <w:lang w:val="zh-CN"/>
              </w:rPr>
              <w:t>南山水</w:t>
            </w:r>
          </w:p>
        </w:tc>
        <w:tc>
          <w:tcPr>
            <w:tcW w:w="6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729DBB6">
            <w:pPr>
              <w:pStyle w:val="11"/>
              <w:bidi w:val="0"/>
              <w:jc w:val="center"/>
              <w:rPr>
                <w:rFonts w:hint="eastAsia"/>
                <w:color w:val="000000"/>
                <w:lang w:val="zh-CN"/>
              </w:rPr>
            </w:pPr>
            <w:r>
              <w:rPr>
                <w:rFonts w:hint="eastAsia"/>
                <w:color w:val="000000"/>
                <w:lang w:val="zh-CN"/>
              </w:rPr>
              <w:t>珠江三角洲</w:t>
            </w:r>
          </w:p>
        </w:tc>
        <w:tc>
          <w:tcPr>
            <w:tcW w:w="55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3BED251C">
            <w:pPr>
              <w:pStyle w:val="11"/>
              <w:bidi w:val="0"/>
              <w:jc w:val="center"/>
              <w:rPr>
                <w:rFonts w:hint="eastAsia"/>
                <w:color w:val="000000"/>
                <w:lang w:val="zh-CN"/>
              </w:rPr>
            </w:pPr>
            <w:r>
              <w:rPr>
                <w:rFonts w:hint="eastAsia"/>
                <w:color w:val="000000"/>
                <w:lang w:val="zh-CN"/>
              </w:rPr>
              <w:t>横江水库</w:t>
            </w:r>
          </w:p>
        </w:tc>
        <w:tc>
          <w:tcPr>
            <w:tcW w:w="71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788AD26">
            <w:pPr>
              <w:pStyle w:val="11"/>
              <w:bidi w:val="0"/>
              <w:jc w:val="center"/>
              <w:rPr>
                <w:rFonts w:hint="eastAsia"/>
                <w:color w:val="000000"/>
                <w:lang w:val="zh-CN"/>
              </w:rPr>
            </w:pPr>
            <w:r>
              <w:rPr>
                <w:rFonts w:hint="eastAsia"/>
                <w:color w:val="000000"/>
                <w:lang w:val="zh-CN"/>
              </w:rPr>
              <w:t>水质监测</w:t>
            </w:r>
          </w:p>
        </w:tc>
        <w:tc>
          <w:tcPr>
            <w:tcW w:w="1994"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0F6834F7">
            <w:pPr>
              <w:pStyle w:val="11"/>
              <w:bidi w:val="0"/>
              <w:jc w:val="center"/>
              <w:rPr>
                <w:rFonts w:hint="eastAsia"/>
                <w:color w:val="000000"/>
                <w:lang w:val="zh-CN"/>
              </w:rPr>
            </w:pPr>
            <w:r>
              <w:rPr>
                <w:rFonts w:hint="eastAsia"/>
                <w:color w:val="000000"/>
                <w:lang w:val="zh-CN"/>
              </w:rPr>
              <w:t>广东省南雄市珠玑镇横江水库</w:t>
            </w:r>
          </w:p>
        </w:tc>
      </w:tr>
      <w:tr w14:paraId="59E3F91F">
        <w:tblPrEx>
          <w:tblCellMar>
            <w:top w:w="0" w:type="dxa"/>
            <w:left w:w="0" w:type="dxa"/>
            <w:bottom w:w="0" w:type="dxa"/>
            <w:right w:w="0" w:type="dxa"/>
          </w:tblCellMar>
        </w:tblPrEx>
        <w:trPr>
          <w:trHeight w:val="396" w:hRule="atLeast"/>
        </w:trPr>
        <w:tc>
          <w:tcPr>
            <w:tcW w:w="551" w:type="pct"/>
            <w:tcBorders>
              <w:top w:val="single" w:color="auto" w:sz="4" w:space="0"/>
              <w:left w:val="nil"/>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0D595030">
            <w:pPr>
              <w:pStyle w:val="11"/>
              <w:bidi w:val="0"/>
              <w:jc w:val="center"/>
              <w:rPr>
                <w:rFonts w:hint="eastAsia"/>
                <w:color w:val="000000"/>
                <w:lang w:val="zh-CN"/>
              </w:rPr>
            </w:pPr>
            <w:r>
              <w:rPr>
                <w:rFonts w:hint="eastAsia"/>
                <w:color w:val="000000"/>
                <w:lang w:val="zh-CN"/>
              </w:rPr>
              <w:t>北江</w:t>
            </w:r>
          </w:p>
        </w:tc>
        <w:tc>
          <w:tcPr>
            <w:tcW w:w="55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6045149D">
            <w:pPr>
              <w:pStyle w:val="11"/>
              <w:bidi w:val="0"/>
              <w:jc w:val="center"/>
              <w:rPr>
                <w:rFonts w:hint="eastAsia"/>
                <w:color w:val="000000"/>
                <w:lang w:val="zh-CN"/>
              </w:rPr>
            </w:pPr>
            <w:r>
              <w:rPr>
                <w:rFonts w:hint="eastAsia"/>
                <w:color w:val="000000"/>
                <w:lang w:val="zh-CN"/>
              </w:rPr>
              <w:t>新龙水</w:t>
            </w:r>
          </w:p>
        </w:tc>
        <w:tc>
          <w:tcPr>
            <w:tcW w:w="635"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2DBDAC37">
            <w:pPr>
              <w:pStyle w:val="11"/>
              <w:bidi w:val="0"/>
              <w:jc w:val="center"/>
              <w:rPr>
                <w:rFonts w:hint="eastAsia"/>
                <w:color w:val="000000"/>
                <w:lang w:val="zh-CN"/>
              </w:rPr>
            </w:pPr>
            <w:r>
              <w:rPr>
                <w:rFonts w:hint="eastAsia"/>
                <w:color w:val="000000"/>
                <w:lang w:val="zh-CN"/>
              </w:rPr>
              <w:t>珠江三角洲</w:t>
            </w:r>
          </w:p>
        </w:tc>
        <w:tc>
          <w:tcPr>
            <w:tcW w:w="553"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44B75C9A">
            <w:pPr>
              <w:pStyle w:val="11"/>
              <w:bidi w:val="0"/>
              <w:jc w:val="center"/>
              <w:rPr>
                <w:rFonts w:hint="eastAsia"/>
                <w:color w:val="000000"/>
                <w:lang w:val="zh-CN"/>
              </w:rPr>
            </w:pPr>
            <w:r>
              <w:rPr>
                <w:rFonts w:hint="eastAsia"/>
                <w:color w:val="000000"/>
                <w:lang w:val="zh-CN"/>
              </w:rPr>
              <w:t>中坪水库</w:t>
            </w:r>
          </w:p>
        </w:tc>
        <w:tc>
          <w:tcPr>
            <w:tcW w:w="712" w:type="pct"/>
            <w:tcBorders>
              <w:top w:val="single" w:color="auto" w:sz="4" w:space="0"/>
              <w:left w:val="single" w:color="auto" w:sz="4" w:space="0"/>
              <w:bottom w:val="single" w:color="auto" w:sz="4" w:space="0"/>
              <w:right w:val="single" w:color="auto" w:sz="4" w:space="0"/>
            </w:tcBorders>
            <w:shd w:val="clear" w:color="auto" w:fill="FFFFFF"/>
            <w:noWrap w:val="0"/>
            <w:tcMar>
              <w:top w:w="28" w:type="dxa"/>
              <w:left w:w="28" w:type="dxa"/>
              <w:bottom w:w="28" w:type="dxa"/>
              <w:right w:w="28" w:type="dxa"/>
            </w:tcMar>
            <w:vAlign w:val="center"/>
          </w:tcPr>
          <w:p w14:paraId="195418E4">
            <w:pPr>
              <w:pStyle w:val="11"/>
              <w:bidi w:val="0"/>
              <w:jc w:val="center"/>
              <w:rPr>
                <w:rFonts w:hint="eastAsia"/>
                <w:color w:val="000000"/>
                <w:lang w:val="zh-CN"/>
              </w:rPr>
            </w:pPr>
            <w:r>
              <w:rPr>
                <w:rFonts w:hint="eastAsia"/>
                <w:color w:val="000000"/>
                <w:lang w:val="zh-CN"/>
              </w:rPr>
              <w:t>水质监测</w:t>
            </w:r>
          </w:p>
        </w:tc>
        <w:tc>
          <w:tcPr>
            <w:tcW w:w="1994" w:type="pct"/>
            <w:tcBorders>
              <w:top w:val="single" w:color="auto" w:sz="4" w:space="0"/>
              <w:left w:val="single" w:color="auto" w:sz="4" w:space="0"/>
              <w:bottom w:val="single" w:color="auto" w:sz="4" w:space="0"/>
              <w:right w:val="nil"/>
            </w:tcBorders>
            <w:shd w:val="clear" w:color="auto" w:fill="FFFFFF"/>
            <w:noWrap w:val="0"/>
            <w:tcMar>
              <w:top w:w="28" w:type="dxa"/>
              <w:left w:w="28" w:type="dxa"/>
              <w:bottom w:w="28" w:type="dxa"/>
              <w:right w:w="28" w:type="dxa"/>
            </w:tcMar>
            <w:vAlign w:val="center"/>
          </w:tcPr>
          <w:p w14:paraId="694D42B4">
            <w:pPr>
              <w:pStyle w:val="11"/>
              <w:bidi w:val="0"/>
              <w:jc w:val="center"/>
              <w:rPr>
                <w:rFonts w:hint="eastAsia"/>
                <w:color w:val="000000"/>
                <w:lang w:val="zh-CN"/>
              </w:rPr>
            </w:pPr>
            <w:r>
              <w:rPr>
                <w:rFonts w:hint="eastAsia"/>
                <w:color w:val="000000"/>
                <w:lang w:val="zh-CN"/>
              </w:rPr>
              <w:t>广东省韶关市南雄市坪田镇新龙村</w:t>
            </w:r>
          </w:p>
        </w:tc>
      </w:tr>
    </w:tbl>
    <w:p w14:paraId="6F9C703F">
      <w:pPr>
        <w:bidi w:val="0"/>
        <w:jc w:val="right"/>
        <w:rPr>
          <w:rFonts w:hint="eastAsia"/>
          <w:b/>
          <w:bCs/>
          <w:lang w:val="zh-CN"/>
        </w:rPr>
      </w:pPr>
      <w:r>
        <w:rPr>
          <w:rFonts w:hint="eastAsia"/>
          <w:b/>
          <w:bCs/>
          <w:lang w:val="zh-CN"/>
        </w:rPr>
        <w:t>（陈燕红）</w:t>
      </w:r>
    </w:p>
    <w:p w14:paraId="1A4ED787">
      <w:pPr>
        <w:pStyle w:val="11"/>
        <w:bidi w:val="0"/>
        <w:rPr>
          <w:rFonts w:hint="eastAsia"/>
          <w:b/>
          <w:bCs/>
          <w:lang w:val="zh-CN"/>
        </w:rPr>
      </w:pPr>
      <w:r>
        <w:rPr>
          <w:rFonts w:hint="eastAsia"/>
          <w:b/>
          <w:bCs/>
          <w:lang w:val="zh-CN"/>
        </w:rPr>
        <w:t>附：2018年市水务局领导班子成员名单</w:t>
      </w:r>
    </w:p>
    <w:p w14:paraId="6F91D546">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严桂龙</w:t>
      </w:r>
    </w:p>
    <w:p w14:paraId="2AA93852">
      <w:pPr>
        <w:pStyle w:val="11"/>
        <w:bidi w:val="0"/>
        <w:rPr>
          <w:rFonts w:hint="eastAsia"/>
          <w:lang w:val="zh-CN"/>
        </w:rPr>
      </w:pPr>
      <w:r>
        <w:rPr>
          <w:rFonts w:hint="eastAsia"/>
          <w:b/>
          <w:bCs/>
          <w:lang w:val="zh-CN"/>
        </w:rPr>
        <w:t>副局长：</w:t>
      </w:r>
      <w:r>
        <w:rPr>
          <w:rFonts w:hint="eastAsia"/>
          <w:lang w:val="zh-CN"/>
        </w:rPr>
        <w:t>巫钟晟</w:t>
      </w:r>
      <w:r>
        <w:rPr>
          <w:rFonts w:hint="eastAsia"/>
          <w:lang w:val="en-US" w:eastAsia="zh-CN"/>
        </w:rPr>
        <w:t xml:space="preserve">   </w:t>
      </w:r>
      <w:r>
        <w:rPr>
          <w:rFonts w:hint="eastAsia"/>
          <w:lang w:val="zh-CN"/>
        </w:rPr>
        <w:t>王绪育</w:t>
      </w:r>
      <w:r>
        <w:rPr>
          <w:rFonts w:hint="eastAsia"/>
          <w:lang w:val="en-US" w:eastAsia="zh-CN"/>
        </w:rPr>
        <w:t xml:space="preserve">   </w:t>
      </w:r>
      <w:r>
        <w:rPr>
          <w:rFonts w:hint="eastAsia"/>
          <w:lang w:val="zh-CN"/>
        </w:rPr>
        <w:t>欧阳克重</w:t>
      </w:r>
    </w:p>
    <w:p w14:paraId="619B9C2C">
      <w:pPr>
        <w:pStyle w:val="3"/>
        <w:bidi w:val="0"/>
        <w:rPr>
          <w:rFonts w:hint="eastAsia"/>
          <w:lang w:val="zh-CN"/>
        </w:rPr>
      </w:pPr>
      <w:r>
        <w:rPr>
          <w:rFonts w:hint="eastAsia"/>
          <w:lang w:val="zh-CN"/>
        </w:rPr>
        <w:t>水土保持</w:t>
      </w:r>
    </w:p>
    <w:p w14:paraId="6F3B089F">
      <w:pPr>
        <w:pStyle w:val="4"/>
        <w:bidi w:val="0"/>
        <w:rPr>
          <w:rFonts w:hint="eastAsia"/>
          <w:lang w:val="zh-CN"/>
        </w:rPr>
      </w:pPr>
      <w:r>
        <w:rPr>
          <w:rFonts w:hint="eastAsia"/>
          <w:lang w:val="zh-CN"/>
        </w:rPr>
        <w:t>【概况】</w:t>
      </w:r>
    </w:p>
    <w:p w14:paraId="0216647C">
      <w:pPr>
        <w:bidi w:val="0"/>
        <w:rPr>
          <w:rFonts w:hint="eastAsia"/>
          <w:lang w:val="zh-CN"/>
        </w:rPr>
      </w:pPr>
      <w:r>
        <w:rPr>
          <w:rFonts w:hint="eastAsia"/>
          <w:lang w:val="zh-CN"/>
        </w:rPr>
        <w:t>2008年8月，经上级有关部门批准，南雄市水土保持委员会办公室（简称：南雄市水保办）为参公管理的正科级事业单位。2012年5月，南雄市机构编制委员会核定水保办行政事业编制15名、后勤服务人员1名，现有在编人员11人；内设机构有人保财务股、生产技术股、执法监督股、水土保持方案审批股、水土保持设施验收股。下属事业单位有市水土保持执法监督站（副科级公益一类）、南雄市水土保持监测站（正股级公益一类）、南雄市水土保持站（正股级公益二类）。</w:t>
      </w:r>
    </w:p>
    <w:p w14:paraId="5152D63B">
      <w:pPr>
        <w:pStyle w:val="4"/>
        <w:bidi w:val="0"/>
        <w:rPr>
          <w:rFonts w:hint="eastAsia"/>
          <w:lang w:val="zh-CN"/>
        </w:rPr>
      </w:pPr>
      <w:r>
        <w:rPr>
          <w:rFonts w:hint="eastAsia"/>
          <w:lang w:val="zh-CN"/>
        </w:rPr>
        <w:t>【水保监测】</w:t>
      </w:r>
    </w:p>
    <w:p w14:paraId="3ECBC1CB">
      <w:pPr>
        <w:bidi w:val="0"/>
        <w:rPr>
          <w:rFonts w:hint="eastAsia"/>
          <w:lang w:val="zh-CN"/>
        </w:rPr>
      </w:pPr>
      <w:r>
        <w:rPr>
          <w:rFonts w:hint="eastAsia"/>
          <w:lang w:val="zh-CN"/>
        </w:rPr>
        <w:t>南雄坡面径流观测场争取到自动化设备升级改造项目，建立完善基础配套设施，通过整合资金，对径流观测场大门、实验室进行改造，优化人员配置。南雄坡面径流观测场自动化升级改造成为广东省首个自动化监测点，提升全市水土保持监测能力和水平，为南雄生态文明建设发挥更大的作用。</w:t>
      </w:r>
    </w:p>
    <w:p w14:paraId="2607BE0C">
      <w:pPr>
        <w:pStyle w:val="4"/>
        <w:bidi w:val="0"/>
        <w:rPr>
          <w:rFonts w:hint="eastAsia"/>
          <w:lang w:val="zh-CN"/>
        </w:rPr>
      </w:pPr>
      <w:r>
        <w:rPr>
          <w:rFonts w:hint="eastAsia"/>
          <w:lang w:val="zh-CN"/>
        </w:rPr>
        <w:t>【法律宣传】</w:t>
      </w:r>
    </w:p>
    <w:p w14:paraId="1AF77B12">
      <w:pPr>
        <w:bidi w:val="0"/>
        <w:rPr>
          <w:rFonts w:hint="eastAsia"/>
          <w:lang w:val="zh-CN"/>
        </w:rPr>
      </w:pPr>
      <w:r>
        <w:rPr>
          <w:rFonts w:hint="eastAsia"/>
          <w:lang w:val="zh-CN"/>
        </w:rPr>
        <w:t>2018年开展宣传活动25次，张贴《广东省水土保持条例》图解，印制发放《关于全市水利系统扫黑除恶专项斗争举报事项的通知》和水土保持法画册5700多份，出动人员125人次，出动宣传车25车次。</w:t>
      </w:r>
    </w:p>
    <w:p w14:paraId="4272295D">
      <w:pPr>
        <w:pStyle w:val="4"/>
        <w:bidi w:val="0"/>
        <w:rPr>
          <w:rFonts w:hint="eastAsia"/>
          <w:lang w:val="zh-CN"/>
        </w:rPr>
      </w:pPr>
      <w:r>
        <w:rPr>
          <w:rFonts w:hint="eastAsia"/>
          <w:lang w:val="zh-CN"/>
        </w:rPr>
        <w:t>【执法监督】</w:t>
      </w:r>
    </w:p>
    <w:p w14:paraId="580C8B7D">
      <w:pPr>
        <w:bidi w:val="0"/>
        <w:rPr>
          <w:rFonts w:hint="eastAsia"/>
          <w:lang w:val="zh-CN"/>
        </w:rPr>
      </w:pPr>
      <w:r>
        <w:rPr>
          <w:rFonts w:hint="eastAsia"/>
          <w:lang w:val="zh-CN"/>
        </w:rPr>
        <w:t>2018年开展执法检查110余次，检查生产建设项目40个，征收水土保持补偿费2.3万元。</w:t>
      </w:r>
    </w:p>
    <w:p w14:paraId="52D3635B">
      <w:pPr>
        <w:pStyle w:val="4"/>
        <w:bidi w:val="0"/>
        <w:rPr>
          <w:rFonts w:hint="eastAsia"/>
          <w:lang w:val="zh-CN"/>
        </w:rPr>
      </w:pPr>
      <w:r>
        <w:rPr>
          <w:rFonts w:hint="eastAsia"/>
          <w:lang w:val="zh-CN"/>
        </w:rPr>
        <w:t>【方案审批】</w:t>
      </w:r>
    </w:p>
    <w:p w14:paraId="30FAAC00">
      <w:pPr>
        <w:bidi w:val="0"/>
        <w:rPr>
          <w:rFonts w:hint="eastAsia"/>
          <w:lang w:val="zh-CN"/>
        </w:rPr>
      </w:pPr>
      <w:r>
        <w:rPr>
          <w:rFonts w:hint="eastAsia"/>
          <w:lang w:val="zh-CN"/>
        </w:rPr>
        <w:t>2018年审批水土保持方案报告书16宗，所审批的方案水土保持总投资2759.25万元，减少水土流失量3610.24吨，出具水土保持初审意见29份。</w:t>
      </w:r>
    </w:p>
    <w:p w14:paraId="6098BEB3">
      <w:pPr>
        <w:pStyle w:val="4"/>
        <w:bidi w:val="0"/>
        <w:rPr>
          <w:rFonts w:hint="eastAsia"/>
          <w:lang w:val="zh-CN"/>
        </w:rPr>
      </w:pPr>
      <w:r>
        <w:rPr>
          <w:rFonts w:hint="eastAsia"/>
          <w:lang w:val="zh-CN"/>
        </w:rPr>
        <w:t>【自主验收】</w:t>
      </w:r>
    </w:p>
    <w:p w14:paraId="4CEBE8CB">
      <w:pPr>
        <w:bidi w:val="0"/>
        <w:rPr>
          <w:rFonts w:hint="eastAsia"/>
          <w:b/>
          <w:bCs/>
          <w:lang w:val="zh-CN"/>
        </w:rPr>
      </w:pPr>
      <w:r>
        <w:rPr>
          <w:rFonts w:hint="eastAsia"/>
          <w:lang w:val="zh-CN"/>
        </w:rPr>
        <w:t>强化生产建设项目单位水土保持设施自主验收，落实行政审批改革的深入推进。2018年接收生产建设项目水土保持设施自主验收报备7宗。</w:t>
      </w:r>
      <w:r>
        <w:rPr>
          <w:rFonts w:hint="eastAsia"/>
          <w:b/>
          <w:bCs/>
          <w:lang w:val="zh-CN"/>
        </w:rPr>
        <w:t>（郑洁莹）</w:t>
      </w:r>
    </w:p>
    <w:p w14:paraId="1021037C">
      <w:pPr>
        <w:pStyle w:val="11"/>
        <w:bidi w:val="0"/>
        <w:rPr>
          <w:rFonts w:hint="eastAsia"/>
          <w:b/>
          <w:bCs/>
          <w:lang w:val="zh-CN"/>
        </w:rPr>
      </w:pPr>
      <w:r>
        <w:rPr>
          <w:rFonts w:hint="eastAsia"/>
          <w:b/>
          <w:bCs/>
          <w:lang w:val="zh-CN"/>
        </w:rPr>
        <w:t>附：2018年市水保办领导班子成员名单</w:t>
      </w:r>
    </w:p>
    <w:p w14:paraId="14E5D7EA">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刘水英</w:t>
      </w:r>
    </w:p>
    <w:p w14:paraId="3344ADF0">
      <w:pPr>
        <w:pStyle w:val="11"/>
        <w:bidi w:val="0"/>
        <w:rPr>
          <w:rFonts w:hint="eastAsia"/>
          <w:lang w:val="zh-CN"/>
        </w:rPr>
      </w:pPr>
      <w:r>
        <w:rPr>
          <w:rFonts w:hint="eastAsia"/>
          <w:b/>
          <w:bCs/>
          <w:lang w:val="zh-CN"/>
        </w:rPr>
        <w:t>副主任：</w:t>
      </w:r>
      <w:r>
        <w:rPr>
          <w:rFonts w:hint="eastAsia"/>
          <w:lang w:val="zh-CN"/>
        </w:rPr>
        <w:t>肖东海</w:t>
      </w:r>
      <w:r>
        <w:rPr>
          <w:rFonts w:hint="eastAsia"/>
          <w:lang w:val="en-US" w:eastAsia="zh-CN"/>
        </w:rPr>
        <w:t xml:space="preserve">   </w:t>
      </w:r>
      <w:r>
        <w:rPr>
          <w:rFonts w:hint="eastAsia"/>
          <w:lang w:val="zh-CN"/>
        </w:rPr>
        <w:t>吴秋兰</w:t>
      </w:r>
    </w:p>
    <w:p w14:paraId="1D27A96B">
      <w:pPr>
        <w:pStyle w:val="11"/>
        <w:bidi w:val="0"/>
        <w:rPr>
          <w:rFonts w:hint="eastAsia"/>
          <w:lang w:val="zh-CN"/>
        </w:rPr>
      </w:pPr>
      <w:r>
        <w:rPr>
          <w:rFonts w:hint="eastAsia"/>
          <w:b/>
          <w:bCs/>
          <w:lang w:val="zh-CN"/>
        </w:rPr>
        <w:t>副科级干部：</w:t>
      </w:r>
      <w:r>
        <w:rPr>
          <w:rFonts w:hint="eastAsia"/>
          <w:lang w:val="zh-CN"/>
        </w:rPr>
        <w:t>林运明</w:t>
      </w:r>
    </w:p>
    <w:p w14:paraId="1D4FB353">
      <w:pPr>
        <w:pStyle w:val="11"/>
        <w:bidi w:val="0"/>
        <w:rPr>
          <w:rFonts w:hint="eastAsia"/>
          <w:lang w:val="zh-CN"/>
        </w:rPr>
      </w:pPr>
      <w:r>
        <w:rPr>
          <w:rFonts w:hint="eastAsia"/>
          <w:b/>
          <w:bCs/>
          <w:lang w:val="zh-CN"/>
        </w:rPr>
        <w:t>水保执法监督站站长：</w:t>
      </w:r>
      <w:r>
        <w:rPr>
          <w:rFonts w:hint="eastAsia"/>
          <w:lang w:val="zh-CN"/>
        </w:rPr>
        <w:t>王启发</w:t>
      </w:r>
    </w:p>
    <w:p w14:paraId="2D5B01EE">
      <w:pPr>
        <w:pStyle w:val="11"/>
        <w:bidi w:val="0"/>
        <w:rPr>
          <w:rFonts w:hint="eastAsia"/>
          <w:lang w:val="zh-CN"/>
        </w:rPr>
      </w:pPr>
      <w:r>
        <w:rPr>
          <w:rFonts w:hint="eastAsia"/>
          <w:b/>
          <w:bCs/>
          <w:lang w:val="zh-CN"/>
        </w:rPr>
        <w:t>水保监测站站长：</w:t>
      </w:r>
      <w:r>
        <w:rPr>
          <w:rFonts w:hint="eastAsia"/>
          <w:lang w:val="zh-CN"/>
        </w:rPr>
        <w:t>冯彬</w:t>
      </w:r>
    </w:p>
    <w:p w14:paraId="71822ED2">
      <w:pPr>
        <w:pStyle w:val="3"/>
        <w:bidi w:val="0"/>
        <w:rPr>
          <w:rFonts w:hint="eastAsia"/>
          <w:lang w:val="zh-CN"/>
        </w:rPr>
      </w:pPr>
      <w:r>
        <w:rPr>
          <w:rFonts w:hint="eastAsia"/>
          <w:lang w:val="zh-CN"/>
        </w:rPr>
        <w:t>气象</w:t>
      </w:r>
    </w:p>
    <w:p w14:paraId="75BD8FF6">
      <w:pPr>
        <w:pStyle w:val="4"/>
        <w:bidi w:val="0"/>
        <w:rPr>
          <w:rFonts w:hint="eastAsia"/>
          <w:lang w:val="zh-CN"/>
        </w:rPr>
      </w:pPr>
      <w:r>
        <w:rPr>
          <w:rFonts w:hint="eastAsia"/>
          <w:lang w:val="zh-CN"/>
        </w:rPr>
        <w:t>【概况】</w:t>
      </w:r>
    </w:p>
    <w:p w14:paraId="00A63573">
      <w:pPr>
        <w:bidi w:val="0"/>
        <w:rPr>
          <w:rFonts w:hint="eastAsia"/>
          <w:lang w:val="zh-CN"/>
        </w:rPr>
      </w:pPr>
      <w:r>
        <w:rPr>
          <w:rFonts w:hint="eastAsia"/>
          <w:lang w:val="zh-CN"/>
        </w:rPr>
        <w:t>南雄市气象局是韶关市气象局的下属事业单位，也是南雄市政府的工作职能部门，实行上级气象主管机构与本级人民政府双重领导，现有职工24人，其中大学本科以上人员16人，占67%。南雄市气象局设有内设机构气象灾害防御管理办公室、办公室（人力资源股）、站网管理股、预报股、发展改革与财务管理股5个部门，直属事业单位有南雄市气象公共服务中心、南雄市气象局机关服务中心、南雄市公共安全技术支持中心3个部门，地方气象机构有南雄市突发事件预警信息发布中心、南雄市防雷减灾管理中心、南雄市人工影响天气管理中心3个部门。</w:t>
      </w:r>
    </w:p>
    <w:p w14:paraId="60779BAC">
      <w:pPr>
        <w:bidi w:val="0"/>
        <w:rPr>
          <w:rFonts w:hint="eastAsia"/>
          <w:lang w:val="zh-CN"/>
        </w:rPr>
      </w:pPr>
      <w:r>
        <w:rPr>
          <w:rFonts w:hint="eastAsia"/>
          <w:lang w:val="zh-CN"/>
        </w:rPr>
        <w:t>2018年年平均气温为20.5℃，与常年平均气温相比偏高0.6℃。年极端最低气温-3.1℃，出现在2月6日，年极端最高气温37.6℃，出现在7月21日。年总降水量为1454.0毫米，与常年相比偏多44.1毫米，年最大日降雨量76.7毫米，出现在1月8日。年总日照时数为1671.3小时，较常年偏多48.8小时。1月7日，全市普降暴雨，平均降雨量73.9毫米，最大雨量出现在江头113.0毫米，这次强降水没有造成灾情。6月7日到9日，南雄市连续两天出现大范围大到暴雨、局部大暴雨降水过程。各站平均降雨量129.3毫米，最大雨量出现在江头217.7毫米。局地大暴雨强降水导致少数房屋倒塌、河堤冲毁、烟株受浸等，无人员伤亡。2018年气象灾情跟往年相比偏轻。</w:t>
      </w:r>
    </w:p>
    <w:p w14:paraId="682E221B">
      <w:pPr>
        <w:pStyle w:val="4"/>
        <w:bidi w:val="0"/>
        <w:rPr>
          <w:rFonts w:hint="eastAsia"/>
          <w:lang w:val="zh-CN"/>
        </w:rPr>
      </w:pPr>
      <w:r>
        <w:rPr>
          <w:rFonts w:hint="eastAsia"/>
          <w:lang w:val="zh-CN"/>
        </w:rPr>
        <w:t>【气象服务】</w:t>
      </w:r>
    </w:p>
    <w:p w14:paraId="4D1EBC42">
      <w:pPr>
        <w:bidi w:val="0"/>
        <w:rPr>
          <w:rFonts w:hint="eastAsia"/>
          <w:lang w:val="zh-CN"/>
        </w:rPr>
      </w:pPr>
      <w:r>
        <w:rPr>
          <w:rFonts w:hint="eastAsia"/>
          <w:lang w:val="zh-CN"/>
        </w:rPr>
        <w:t>强化监测预报预警服务，发布预警信号141次、重大气象信息专报10期、重大气象信息快报10期、重大活动专报22期、旅游专报8期、黄烟专题服务专报16期、春运专报41期和天气报告28期。与各级政府、部门应急联动，与市三防办共同建立和管理气象信息员微信群，与团委合作，联合开展气象志愿者服务队组建和队员招募；与市三防办携手，共同对防讯应急责任人、气象信息员进行减灾防灾专题培训；与环保部门签订环境空气质量预报预警工作合作协议，探索开展污染天气空气质量指数的联合预警；与烟草部门签订协议，合作开展常态化人工影响天气作业。</w:t>
      </w:r>
    </w:p>
    <w:p w14:paraId="03DE9136">
      <w:pPr>
        <w:pStyle w:val="4"/>
        <w:bidi w:val="0"/>
        <w:rPr>
          <w:rFonts w:hint="eastAsia"/>
          <w:lang w:val="zh-CN"/>
        </w:rPr>
      </w:pPr>
      <w:r>
        <w:rPr>
          <w:rFonts w:hint="eastAsia"/>
          <w:lang w:val="zh-CN"/>
        </w:rPr>
        <w:t>【气象现代化建设】</w:t>
      </w:r>
    </w:p>
    <w:p w14:paraId="5155B5C5">
      <w:pPr>
        <w:bidi w:val="0"/>
        <w:rPr>
          <w:rFonts w:hint="eastAsia"/>
          <w:lang w:val="zh-CN"/>
        </w:rPr>
      </w:pPr>
      <w:r>
        <w:rPr>
          <w:rFonts w:hint="eastAsia"/>
          <w:lang w:val="zh-CN"/>
        </w:rPr>
        <w:t>完成南雄市突发事件预警信息发布中心建设并投入使用。为构建南雄“大应急”格局，启动建设智慧南雄综合管控平台。提高广大市民气象防灾自救互救能力，启动建设南雄气象科普中心，广泛宣传气象科普知识。</w:t>
      </w:r>
    </w:p>
    <w:p w14:paraId="65517B0E">
      <w:pPr>
        <w:pStyle w:val="4"/>
        <w:bidi w:val="0"/>
        <w:rPr>
          <w:rFonts w:hint="eastAsia"/>
          <w:lang w:val="zh-CN"/>
        </w:rPr>
      </w:pPr>
      <w:r>
        <w:rPr>
          <w:rFonts w:hint="eastAsia"/>
          <w:lang w:val="zh-CN"/>
        </w:rPr>
        <w:t>【气象管理体制改革】</w:t>
      </w:r>
    </w:p>
    <w:p w14:paraId="5CF19DD4">
      <w:pPr>
        <w:bidi w:val="0"/>
        <w:rPr>
          <w:rFonts w:hint="eastAsia"/>
          <w:lang w:val="zh-CN"/>
        </w:rPr>
      </w:pPr>
      <w:r>
        <w:rPr>
          <w:rFonts w:hint="eastAsia"/>
          <w:lang w:val="zh-CN"/>
        </w:rPr>
        <w:t>2018年，进一步优化行政审批服务，气象行政审批全面进驻南雄市行政服务大厅，全面实现“一门式、一网式”办理。</w:t>
      </w:r>
    </w:p>
    <w:p w14:paraId="36276128">
      <w:pPr>
        <w:pStyle w:val="4"/>
        <w:bidi w:val="0"/>
        <w:rPr>
          <w:rFonts w:hint="eastAsia"/>
          <w:lang w:val="zh-CN"/>
        </w:rPr>
      </w:pPr>
      <w:r>
        <w:rPr>
          <w:rFonts w:hint="eastAsia"/>
          <w:lang w:val="zh-CN"/>
        </w:rPr>
        <w:t>【气象依法行政】</w:t>
      </w:r>
    </w:p>
    <w:p w14:paraId="4F95617E">
      <w:pPr>
        <w:bidi w:val="0"/>
        <w:rPr>
          <w:rFonts w:hint="eastAsia"/>
          <w:lang w:val="zh-CN"/>
        </w:rPr>
      </w:pPr>
      <w:r>
        <w:rPr>
          <w:rFonts w:hint="eastAsia"/>
          <w:lang w:val="zh-CN"/>
        </w:rPr>
        <w:t>公布南雄市第一批30家气象灾害防御重点单位；按照中小学校防雷设施整改方案要求，会同市教育局、市财政局完成62栋中小学校改造工程施工和验收。</w:t>
      </w:r>
    </w:p>
    <w:p w14:paraId="70DE62DC">
      <w:pPr>
        <w:pStyle w:val="4"/>
        <w:bidi w:val="0"/>
        <w:rPr>
          <w:rFonts w:hint="eastAsia"/>
          <w:lang w:val="zh-CN"/>
        </w:rPr>
      </w:pPr>
      <w:r>
        <w:rPr>
          <w:rFonts w:hint="eastAsia"/>
          <w:lang w:val="zh-CN"/>
        </w:rPr>
        <w:t>【精神文明建设】</w:t>
      </w:r>
    </w:p>
    <w:p w14:paraId="168DDB93">
      <w:pPr>
        <w:bidi w:val="0"/>
        <w:rPr>
          <w:rFonts w:hint="eastAsia"/>
          <w:lang w:val="zh-CN"/>
        </w:rPr>
      </w:pPr>
      <w:r>
        <w:rPr>
          <w:rFonts w:hint="eastAsia"/>
          <w:lang w:val="zh-CN"/>
        </w:rPr>
        <w:t>2018年，在广东省气象行业职业技能竞赛中，气象局邬琰元获个人全能优秀奖及观测数据综合处理三等奖；在全市人大代表评议中，气象局满意率列全市第二，被市委市政府评为“人大代表满意单位”；在韶关市气象部门2018年度绩效考评中被评为“特别优秀单位”。</w:t>
      </w:r>
    </w:p>
    <w:p w14:paraId="574B7492">
      <w:pPr>
        <w:bidi w:val="0"/>
        <w:jc w:val="right"/>
        <w:rPr>
          <w:rFonts w:hint="eastAsia"/>
          <w:b/>
          <w:bCs/>
          <w:lang w:val="zh-CN"/>
        </w:rPr>
      </w:pPr>
      <w:r>
        <w:rPr>
          <w:rFonts w:hint="eastAsia"/>
          <w:b/>
          <w:bCs/>
          <w:lang w:val="zh-CN"/>
        </w:rPr>
        <w:t>（陈建文）</w:t>
      </w:r>
    </w:p>
    <w:p w14:paraId="5BD7721D">
      <w:pPr>
        <w:pStyle w:val="11"/>
        <w:bidi w:val="0"/>
        <w:rPr>
          <w:rFonts w:hint="eastAsia"/>
          <w:b/>
          <w:bCs/>
          <w:lang w:val="zh-CN"/>
        </w:rPr>
      </w:pPr>
      <w:r>
        <w:rPr>
          <w:rFonts w:hint="eastAsia"/>
          <w:b/>
          <w:bCs/>
          <w:lang w:val="zh-CN"/>
        </w:rPr>
        <w:t>附：2018年市气象局领导班子成员名单</w:t>
      </w:r>
    </w:p>
    <w:p w14:paraId="0E5C999C">
      <w:pPr>
        <w:pStyle w:val="11"/>
        <w:bidi w:val="0"/>
        <w:rPr>
          <w:rFonts w:hint="eastAsia"/>
          <w:lang w:val="zh-CN"/>
        </w:rPr>
      </w:pPr>
      <w:r>
        <w:rPr>
          <w:rFonts w:hint="eastAsia"/>
          <w:b/>
          <w:bCs/>
          <w:lang w:val="zh-CN"/>
        </w:rPr>
        <w:t>党组书记、局长：</w:t>
      </w:r>
      <w:r>
        <w:rPr>
          <w:rFonts w:hint="eastAsia"/>
          <w:lang w:val="zh-CN"/>
        </w:rPr>
        <w:t>徐小红</w:t>
      </w:r>
    </w:p>
    <w:p w14:paraId="68888C20">
      <w:pPr>
        <w:pStyle w:val="11"/>
        <w:bidi w:val="0"/>
        <w:rPr>
          <w:rFonts w:hint="eastAsia"/>
          <w:lang w:val="zh-CN"/>
        </w:rPr>
      </w:pPr>
      <w:r>
        <w:rPr>
          <w:rFonts w:hint="eastAsia"/>
          <w:b/>
          <w:bCs/>
          <w:lang w:val="zh-CN"/>
        </w:rPr>
        <w:t>党组成员、副局长：</w:t>
      </w:r>
      <w:r>
        <w:rPr>
          <w:rFonts w:hint="eastAsia"/>
          <w:lang w:val="zh-CN"/>
        </w:rPr>
        <w:t>吴在全</w:t>
      </w:r>
    </w:p>
    <w:p w14:paraId="2226BAB8">
      <w:pPr>
        <w:pStyle w:val="11"/>
        <w:bidi w:val="0"/>
        <w:rPr>
          <w:rFonts w:hint="eastAsia"/>
          <w:lang w:val="zh-CN"/>
        </w:rPr>
      </w:pPr>
      <w:r>
        <w:rPr>
          <w:rFonts w:hint="eastAsia"/>
          <w:b/>
          <w:bCs/>
          <w:lang w:val="zh-CN"/>
        </w:rPr>
        <w:t>党组成员、纪检组长：</w:t>
      </w:r>
      <w:r>
        <w:rPr>
          <w:rFonts w:hint="eastAsia"/>
          <w:lang w:val="zh-CN"/>
        </w:rPr>
        <w:t>吴达鸿</w:t>
      </w:r>
    </w:p>
    <w:p w14:paraId="65C6553C">
      <w:pPr>
        <w:pStyle w:val="2"/>
        <w:bidi w:val="0"/>
        <w:rPr>
          <w:rFonts w:hint="eastAsia"/>
        </w:rPr>
      </w:pPr>
      <w:r>
        <w:rPr>
          <w:rFonts w:hint="eastAsia"/>
        </w:rPr>
        <w:t>商贸服务</w:t>
      </w:r>
    </w:p>
    <w:p w14:paraId="66F8C949">
      <w:pPr>
        <w:pStyle w:val="3"/>
        <w:bidi w:val="0"/>
        <w:rPr>
          <w:rFonts w:hint="eastAsia"/>
          <w:lang w:val="zh-CN"/>
        </w:rPr>
      </w:pPr>
      <w:r>
        <w:rPr>
          <w:rFonts w:hint="eastAsia"/>
          <w:lang w:val="zh-CN"/>
        </w:rPr>
        <w:t>商务</w:t>
      </w:r>
    </w:p>
    <w:p w14:paraId="70C287DA">
      <w:pPr>
        <w:pStyle w:val="4"/>
        <w:bidi w:val="0"/>
        <w:rPr>
          <w:rFonts w:hint="eastAsia"/>
          <w:lang w:val="zh-CN"/>
        </w:rPr>
      </w:pPr>
      <w:r>
        <w:rPr>
          <w:rFonts w:hint="eastAsia"/>
          <w:lang w:val="zh-CN"/>
        </w:rPr>
        <w:t>【概况】</w:t>
      </w:r>
    </w:p>
    <w:p w14:paraId="2D78C707">
      <w:pPr>
        <w:bidi w:val="0"/>
        <w:rPr>
          <w:rFonts w:hint="eastAsia"/>
          <w:lang w:val="zh-CN"/>
        </w:rPr>
      </w:pPr>
      <w:r>
        <w:rPr>
          <w:rFonts w:hint="eastAsia"/>
          <w:lang w:val="zh-CN"/>
        </w:rPr>
        <w:t>南雄市外经局成立于1982年，其前身是南雄县外经委，是市政府工作部门之一。根据《南雄市商务局主要职责内设机构和人员编制规定》（雄府办〔2015〕32号）文件精神，2015年8月31日上午，南雄市商务局正式挂牌。行政编制8名，内设办公室、外资股、贸易发展股、口岸办4个股室。负责外资外贸、商贸流通、招商引资及进出口贸易工作。2018年获韶关市招商引资工作先进单位二等奖。</w:t>
      </w:r>
    </w:p>
    <w:p w14:paraId="69209FE1">
      <w:pPr>
        <w:pStyle w:val="4"/>
        <w:bidi w:val="0"/>
        <w:rPr>
          <w:rFonts w:hint="eastAsia"/>
          <w:lang w:val="zh-CN"/>
        </w:rPr>
      </w:pPr>
      <w:r>
        <w:rPr>
          <w:rFonts w:hint="eastAsia"/>
          <w:lang w:val="zh-CN"/>
        </w:rPr>
        <w:t>【重点工作】</w:t>
      </w:r>
    </w:p>
    <w:p w14:paraId="6F32A8E4">
      <w:pPr>
        <w:bidi w:val="0"/>
        <w:rPr>
          <w:rFonts w:hint="eastAsia"/>
          <w:lang w:val="zh-CN"/>
        </w:rPr>
      </w:pPr>
      <w:r>
        <w:rPr>
          <w:rFonts w:hint="eastAsia"/>
          <w:lang w:val="zh-CN"/>
        </w:rPr>
        <w:t>新增限上商贸企业4家。南雄市外贸进出口8241.3万美元，同比增长25.4%。其中，出口6745万美元，增长18.4%；进口1496.3万美元，增长71.4%。实际利用外资85万美元，完成17.71%。完成批发零售业增加值9.9%。紫杉坳风电项目由中国能源建设集团韶关电力有限公司投资开发，为犁牛坪风电场二期工程，总投资4.3亿元，总装机容量50兆瓦。完成投资2.7亿元，于7月23日完工并联网发电。2018年，成功签约15个项目，对比韶关下达招商任务完成150%；总投资额47.28亿元，对比韶关下达招商任务完成157%。分别是投资9亿元的犁牛坪三期风力发电项目、投资10亿元的南雄朱安村风力发电项目、投资3000万元的海伦罗曼钢琴项目、投资6000万元的南雄产业转移工业园成乾物流园项目、投资8.8亿元的天润南雄优质稻现代农业产业园项目、投资10亿元的指挥官现代农业田园综合体产业园项目、投资1.2亿元的年产60万方轻质隔墙板（加气块）生产线及配套附属设施项目、投资3000万元的南雄市匠香缘食品加工项目、投资5000万元的广东江南理工技工学校（南雄）公共实训基地项目、投资1亿元的南雄康宁医院项目和投资6800万元的三七国际有限公司投资项目、投资1.3亿元的东升地坪材料有限公司项目、投资1.5亿元的广东南雄三佳农业公园项目、投资6000万元的工业园区环保科技循环经济项目、投资1.5亿元的广东国立新能源100兆瓦（一期30兆瓦）农光互补项目。</w:t>
      </w:r>
    </w:p>
    <w:p w14:paraId="405F7740">
      <w:pPr>
        <w:pStyle w:val="4"/>
        <w:bidi w:val="0"/>
        <w:rPr>
          <w:rFonts w:hint="eastAsia"/>
          <w:lang w:val="zh-CN"/>
        </w:rPr>
      </w:pPr>
      <w:r>
        <w:rPr>
          <w:rFonts w:hint="eastAsia"/>
          <w:lang w:val="zh-CN"/>
        </w:rPr>
        <w:t>【重要招商引资活动】</w:t>
      </w:r>
    </w:p>
    <w:p w14:paraId="3EBC0637">
      <w:pPr>
        <w:bidi w:val="0"/>
        <w:jc w:val="right"/>
        <w:rPr>
          <w:rFonts w:hint="eastAsia"/>
          <w:lang w:val="zh-CN"/>
        </w:rPr>
      </w:pPr>
      <w:r>
        <w:rPr>
          <w:rFonts w:hint="eastAsia"/>
          <w:lang w:val="zh-CN"/>
        </w:rPr>
        <w:t>2月2日，南雄市与中国能源建设集团韶关电力有限公司举行犁牛坪三期9亿元风力发电项目签约仪式，三期项目位于油山镇、乌迳镇周边山地，总投资约9亿元，总规划容量约100兆瓦，分两期建设。3月30日召开2018年外出乡贤经贸座谈会，100多名外出乡贤先后参观珠玑镇灵潭村、角湾村，邓坊镇马战新村，湖口镇太和村等5个乡村振兴发展示范点，实地了解乡村振兴发展情况。4月11日，南雄市与广东省风力发电有限公司举行南雄朱安村风电场项目签约仪式，项目总投资约10亿元，装机总容量99.4兆瓦。项目建成投产后年发电量约2.1亿千瓦时，年产值约1.26亿元，年税收约2100万元。4月23日，举行海伦罗曼钢琴增资扩产项目签约仪式，南雄市海伦罗曼钢琴项目，是海伦钢琴股份有限公司和南雄市联手重点打造的一个文化产业项目。项目计划投资3000万元，集钢琴外壳生产、钢琴乐器教学、音乐艺术文化旅游为一体。现第一期总投资1000万元的钢琴配件基地已开工；第二期投资2000万元的钢琴音乐教学大楼及音乐艺术文化旅游基地将于2020年投入使用。该项目建成后，计划生产钢琴配件2万台、水晶钢琴1100台、黑色钢琴2000台，新增产值8000多万元，提供就业岗位180个，实现利税上千万元。5月31日，南雄市与广州至信药业举行开工奠基仪式，产业园明确以银杏、牛大力、铁冬青、莪术、射干、金钱草、桑葚、田七、紫苏等优质中草药品种为重点，突出规模种植、加工转化、品牌营销和技术创新的内涵，打造多种功能为一体的现代化综合性特色现代农业发展先行区。2018年在南雄市种植中草药银杏、牛大力、铁冬青、凉粉草等30多种，种植面积近9000亩。7月6日，南雄市与广东新供销天润粮油集团有限公司签订创建现代生态农业产业园战略合作框架协议，计划打造一个集生产、加工、物流、研发、电商及休闲旅游相互融合的综合性现代农业生态产业园。7月12日召开南雄市推动工业高质量发展动员大会暨安全生产环保工作会议，拿出900万元对韶关市联邦新材料股份有限公司等25家2017年度高质量发展示范企业和突出贡献企业进行奖励。8月29日举行招商引资项目集体签约仪式，当日签约7个招商引资项目，总投资达13.6亿元。7个项目分别是年产60万方轻质隔墙板（加气块）生产线及配套附属设施项目、指挥官现代农业田园综合体产业园项目、南雄市匠香缘食品有限公司食品加工项目、广东江南理工技工学校（南雄）公共实训基地项目、南雄康宁医院项目、粤港工业科技园项目和三七国际有限公司投资项目。9月30日举行南雄市丝苗米现代农业产业园项目签约及奠基仪式。这个项目是市2018年引进的重点项目，计划总投资额8.8亿元。丝苗米现代农业产业园是广东省供销合作联社与南雄市人民政府共建项目，由广东新供销天润粮油集团牵头实施。将在珠玑等5个镇通过规模化流转和土地合作社加盟等方式，建设规模约666.67公顷的丝苗米现代农业产业园主园，重点建设丝苗米育种和种植示范基地，辐射带动全县1.07万公顷优质水稻种植。通过大力创建优质米公用品牌，力争实现年加工优质米8万吨以上、年产值达到7.8亿元以上。仪式当天，南雄还与天润公司、农业银行、省农业信贷担保公司、广东新供销农业小贷公司签订共建产业园“政企银担贷”协议；天润公司与天禾农资股份公司、天业冷链集团公司、粤友粮农业发展公司签订助农服务体系共建协议。10月7日，总投资达10亿元的指挥官现代农业田园综合体产业园-南雄示范基地奠基开工。这个项目将分三期完成，预计综合总占地面积约达1333.33公顷，第一期投入约2亿元，5年内预计年产值达5亿元左右。将建成集观光旅游、休闲度假、电子商务、农业互联网和农业种植为一体的田园综合体产业园。</w:t>
      </w:r>
      <w:r>
        <w:rPr>
          <w:rFonts w:hint="eastAsia"/>
          <w:b/>
          <w:bCs/>
          <w:lang w:val="zh-CN"/>
        </w:rPr>
        <w:t>（陈如亮）</w:t>
      </w:r>
    </w:p>
    <w:p w14:paraId="1CBBAF43">
      <w:pPr>
        <w:pStyle w:val="11"/>
        <w:bidi w:val="0"/>
        <w:rPr>
          <w:rFonts w:hint="eastAsia"/>
          <w:b/>
          <w:bCs/>
          <w:lang w:val="zh-CN"/>
        </w:rPr>
      </w:pPr>
      <w:r>
        <w:rPr>
          <w:rFonts w:hint="eastAsia"/>
          <w:b/>
          <w:bCs/>
          <w:lang w:val="zh-CN"/>
        </w:rPr>
        <w:t>附：2018年市商务局领导班子成员名单</w:t>
      </w:r>
    </w:p>
    <w:p w14:paraId="425E7F6D">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孔建国</w:t>
      </w:r>
    </w:p>
    <w:p w14:paraId="684DA4C9">
      <w:pPr>
        <w:pStyle w:val="11"/>
        <w:bidi w:val="0"/>
        <w:rPr>
          <w:rFonts w:hint="eastAsia"/>
          <w:lang w:val="zh-CN"/>
        </w:rPr>
      </w:pPr>
      <w:r>
        <w:rPr>
          <w:rFonts w:hint="eastAsia"/>
          <w:b/>
          <w:bCs/>
          <w:lang w:val="zh-CN"/>
        </w:rPr>
        <w:t>副局长：</w:t>
      </w:r>
      <w:r>
        <w:rPr>
          <w:rFonts w:hint="eastAsia"/>
          <w:lang w:val="zh-CN"/>
        </w:rPr>
        <w:t>罗庆星</w:t>
      </w:r>
      <w:r>
        <w:rPr>
          <w:rFonts w:hint="eastAsia"/>
          <w:lang w:val="en-US" w:eastAsia="zh-CN"/>
        </w:rPr>
        <w:t xml:space="preserve">   </w:t>
      </w:r>
      <w:r>
        <w:rPr>
          <w:rFonts w:hint="eastAsia"/>
          <w:lang w:val="zh-CN"/>
        </w:rPr>
        <w:t>曾文彬</w:t>
      </w:r>
    </w:p>
    <w:p w14:paraId="70EECF53">
      <w:pPr>
        <w:pStyle w:val="3"/>
        <w:bidi w:val="0"/>
        <w:rPr>
          <w:rFonts w:hint="eastAsia"/>
          <w:lang w:val="zh-CN"/>
        </w:rPr>
      </w:pPr>
      <w:r>
        <w:rPr>
          <w:rFonts w:hint="eastAsia"/>
          <w:lang w:val="zh-CN"/>
        </w:rPr>
        <w:t>粮食</w:t>
      </w:r>
    </w:p>
    <w:p w14:paraId="00358A09">
      <w:pPr>
        <w:pStyle w:val="4"/>
        <w:bidi w:val="0"/>
        <w:rPr>
          <w:rFonts w:hint="eastAsia"/>
          <w:lang w:val="zh-CN"/>
        </w:rPr>
      </w:pPr>
      <w:r>
        <w:rPr>
          <w:rFonts w:hint="eastAsia"/>
          <w:lang w:val="zh-CN"/>
        </w:rPr>
        <w:t>【概况】</w:t>
      </w:r>
    </w:p>
    <w:p w14:paraId="771D777E">
      <w:pPr>
        <w:bidi w:val="0"/>
        <w:rPr>
          <w:rFonts w:hint="eastAsia"/>
          <w:lang w:val="zh-CN"/>
        </w:rPr>
      </w:pPr>
      <w:r>
        <w:rPr>
          <w:rFonts w:hint="eastAsia"/>
          <w:lang w:val="zh-CN"/>
        </w:rPr>
        <w:t>南雄市粮食局（下简称“粮食局”）是市政府赋予粮食行政管理职能的机构。内设粮油调控股、粮食财会股、粮油储备管理股3个股室，2018年干部职工41人，其中离退休人员32人，在职人员9人。南雄市粮食购销有限公司（下简称“购销公司”）为国有粮食企业，由粮食局主管，购销公司下辖油山、湖口、古市3个中心粮所及南雄市储备库，购销公司实行独立核算，有员工43人，购销公司主要承担各级粮油储备、轮换及仓储安全管理职责。</w:t>
      </w:r>
    </w:p>
    <w:p w14:paraId="2CB263A5">
      <w:pPr>
        <w:pStyle w:val="4"/>
        <w:bidi w:val="0"/>
        <w:rPr>
          <w:rFonts w:hint="eastAsia"/>
          <w:lang w:val="zh-CN"/>
        </w:rPr>
      </w:pPr>
      <w:r>
        <w:rPr>
          <w:rFonts w:hint="eastAsia"/>
          <w:lang w:val="zh-CN"/>
        </w:rPr>
        <w:t>【粮食安全责任制】</w:t>
      </w:r>
    </w:p>
    <w:p w14:paraId="2E9C8EBE">
      <w:pPr>
        <w:bidi w:val="0"/>
        <w:rPr>
          <w:rFonts w:hint="eastAsia"/>
          <w:lang w:val="zh-CN"/>
        </w:rPr>
      </w:pPr>
      <w:r>
        <w:rPr>
          <w:rFonts w:hint="eastAsia"/>
          <w:lang w:val="zh-CN"/>
        </w:rPr>
        <w:t>完成南雄市2017年度粮食安全考核报告和资料整理上报工作。通过韶关市粮食安全责任考核领导小组到南雄市实地检查和综合评审，2017年度粮食安全考核成绩位于韶关市优秀等级。</w:t>
      </w:r>
    </w:p>
    <w:p w14:paraId="4D017657">
      <w:pPr>
        <w:pStyle w:val="4"/>
        <w:bidi w:val="0"/>
        <w:rPr>
          <w:rFonts w:hint="eastAsia"/>
          <w:lang w:val="zh-CN"/>
        </w:rPr>
      </w:pPr>
      <w:r>
        <w:rPr>
          <w:rFonts w:hint="eastAsia"/>
          <w:lang w:val="zh-CN"/>
        </w:rPr>
        <w:t>【粮油储备】</w:t>
      </w:r>
    </w:p>
    <w:p w14:paraId="475E88CA">
      <w:pPr>
        <w:bidi w:val="0"/>
        <w:rPr>
          <w:rFonts w:hint="eastAsia"/>
          <w:lang w:val="zh-CN"/>
        </w:rPr>
      </w:pPr>
      <w:r>
        <w:rPr>
          <w:rFonts w:hint="eastAsia"/>
          <w:lang w:val="zh-CN"/>
        </w:rPr>
        <w:t>抓好本级储备粮油1.3万吨及韶关市级、省级、中央储备粮1.9万吨的仓储安全管理工作，开展春、秋季粮油库存检查，经各级储备粮检查组到南雄市进行储备粮油仓储管理检查，南雄市各级储备粮油管理规范，数量真实，质量良好。按照储备粮油轮换计划安排，完成轮出任务9660吨，完成率100%；9月底完成夏粮收购任务9700多吨，按时完成储备粮轮入任务；12月，协助南雄市粮食购销有限公司争取到省级动态储备粮指标6000吨，韶关市级储备1800吨。</w:t>
      </w:r>
    </w:p>
    <w:p w14:paraId="6422714C">
      <w:pPr>
        <w:pStyle w:val="4"/>
        <w:bidi w:val="0"/>
        <w:rPr>
          <w:rFonts w:hint="eastAsia"/>
          <w:lang w:val="zh-CN"/>
        </w:rPr>
      </w:pPr>
      <w:r>
        <w:rPr>
          <w:rFonts w:hint="eastAsia"/>
          <w:lang w:val="zh-CN"/>
        </w:rPr>
        <w:t>【优质粮工程】</w:t>
      </w:r>
    </w:p>
    <w:p w14:paraId="216017D4">
      <w:pPr>
        <w:bidi w:val="0"/>
        <w:rPr>
          <w:rFonts w:hint="eastAsia"/>
          <w:lang w:val="zh-CN"/>
        </w:rPr>
      </w:pPr>
      <w:r>
        <w:rPr>
          <w:rFonts w:hint="eastAsia"/>
          <w:lang w:val="zh-CN"/>
        </w:rPr>
        <w:t>按照2018年国家、省关于实施“优质粮工程”工作要求，争取中央财政补助资金184.5万元到广东金友米业股份有限公司实施粮食产后服务中心建设项目，争取中央、省级财政补助资金18.9万元实施南雄市粮食质量安全检验检测体系建设项目。</w:t>
      </w:r>
    </w:p>
    <w:p w14:paraId="3ECAD368">
      <w:pPr>
        <w:pStyle w:val="4"/>
        <w:bidi w:val="0"/>
        <w:rPr>
          <w:rFonts w:hint="eastAsia"/>
          <w:lang w:val="zh-CN"/>
        </w:rPr>
      </w:pPr>
      <w:r>
        <w:rPr>
          <w:rFonts w:hint="eastAsia"/>
          <w:lang w:val="zh-CN"/>
        </w:rPr>
        <w:t>【粮油加工】</w:t>
      </w:r>
    </w:p>
    <w:p w14:paraId="720773F3">
      <w:pPr>
        <w:bidi w:val="0"/>
        <w:rPr>
          <w:rFonts w:hint="eastAsia"/>
          <w:lang w:val="zh-CN"/>
        </w:rPr>
      </w:pPr>
      <w:r>
        <w:rPr>
          <w:rFonts w:hint="eastAsia"/>
          <w:lang w:val="zh-CN"/>
        </w:rPr>
        <w:t>广东金友米业股份有限公司是南雄市从事粮食生产、加工和经营规模较大的民营粮食企业，是广东省、韶关市农业龙头企业，是南雄市粮油应急加工和应急供应网点之一，2018年公司生产的贡米、有机米露先后获得“广东省名牌产品”“广东十大名牌产品”荣誉称号，金友公司2018年收购县区内粮食1.6万吨、县外4920吨，原粮销售量达6074吨、稻米加工量1.1万吨，确保全市粮食供应。</w:t>
      </w:r>
    </w:p>
    <w:p w14:paraId="22F40E69">
      <w:pPr>
        <w:bidi w:val="0"/>
        <w:jc w:val="right"/>
        <w:rPr>
          <w:rFonts w:hint="eastAsia"/>
          <w:b/>
          <w:bCs/>
          <w:lang w:val="zh-CN"/>
        </w:rPr>
      </w:pPr>
      <w:r>
        <w:rPr>
          <w:rFonts w:hint="eastAsia"/>
          <w:b/>
          <w:bCs/>
          <w:lang w:val="zh-CN"/>
        </w:rPr>
        <w:t>（张升金）</w:t>
      </w:r>
    </w:p>
    <w:p w14:paraId="0BB3BB09">
      <w:pPr>
        <w:pStyle w:val="11"/>
        <w:bidi w:val="0"/>
        <w:rPr>
          <w:rFonts w:hint="eastAsia"/>
          <w:b/>
          <w:bCs/>
          <w:lang w:val="zh-CN"/>
        </w:rPr>
      </w:pPr>
      <w:r>
        <w:rPr>
          <w:rFonts w:hint="eastAsia"/>
          <w:b/>
          <w:bCs/>
          <w:lang w:val="zh-CN"/>
        </w:rPr>
        <w:t>附：2018年市粮食局领导班子成员名单</w:t>
      </w:r>
    </w:p>
    <w:p w14:paraId="0F03726F">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叶祖全</w:t>
      </w:r>
    </w:p>
    <w:p w14:paraId="3618A30F">
      <w:pPr>
        <w:pStyle w:val="11"/>
        <w:bidi w:val="0"/>
        <w:rPr>
          <w:rFonts w:hint="eastAsia"/>
          <w:lang w:val="zh-CN"/>
        </w:rPr>
      </w:pPr>
      <w:r>
        <w:rPr>
          <w:rFonts w:hint="eastAsia"/>
          <w:b/>
          <w:bCs/>
          <w:lang w:val="zh-CN"/>
        </w:rPr>
        <w:t>副局长：</w:t>
      </w:r>
      <w:r>
        <w:rPr>
          <w:rFonts w:hint="eastAsia"/>
          <w:lang w:val="zh-CN"/>
        </w:rPr>
        <w:t>周才斌</w:t>
      </w:r>
    </w:p>
    <w:p w14:paraId="667ABCBF">
      <w:pPr>
        <w:pStyle w:val="3"/>
        <w:bidi w:val="0"/>
        <w:rPr>
          <w:rFonts w:hint="eastAsia"/>
          <w:lang w:val="zh-CN"/>
        </w:rPr>
      </w:pPr>
      <w:r>
        <w:rPr>
          <w:rFonts w:hint="eastAsia"/>
          <w:lang w:val="zh-CN"/>
        </w:rPr>
        <w:t>供销</w:t>
      </w:r>
    </w:p>
    <w:p w14:paraId="5ABBDE17">
      <w:pPr>
        <w:pStyle w:val="4"/>
        <w:bidi w:val="0"/>
        <w:rPr>
          <w:rFonts w:hint="eastAsia"/>
          <w:lang w:val="zh-CN"/>
        </w:rPr>
      </w:pPr>
      <w:r>
        <w:rPr>
          <w:rFonts w:hint="eastAsia"/>
          <w:lang w:val="zh-CN"/>
        </w:rPr>
        <w:t>【概况】</w:t>
      </w:r>
    </w:p>
    <w:p w14:paraId="18BAC919">
      <w:pPr>
        <w:bidi w:val="0"/>
        <w:rPr>
          <w:rFonts w:hint="eastAsia"/>
          <w:lang w:val="zh-CN"/>
        </w:rPr>
      </w:pPr>
      <w:r>
        <w:rPr>
          <w:rFonts w:hint="eastAsia"/>
          <w:lang w:val="zh-CN"/>
        </w:rPr>
        <w:t>供销合作联合社内设三股一室：办公室、财会统计股、人事监察股、业务基层股，编制20人，现有在岗在编人员17人。2018年，供销社系统在职员工438人，离退休人员716人。全市系统实现总购进4.59亿元，对比增长3.98%；商品总销售4.62亿元，对比增幅6.14%；实现经营利润233.79万元，对比增幅3.07%；资产总额4445万元，所有者权益3806万元，社会贡献587万元。</w:t>
      </w:r>
    </w:p>
    <w:p w14:paraId="7C8421FA">
      <w:pPr>
        <w:pStyle w:val="4"/>
        <w:bidi w:val="0"/>
        <w:rPr>
          <w:rFonts w:hint="eastAsia"/>
          <w:lang w:val="zh-CN"/>
        </w:rPr>
      </w:pPr>
      <w:r>
        <w:rPr>
          <w:rFonts w:hint="eastAsia"/>
          <w:lang w:val="zh-CN"/>
        </w:rPr>
        <w:t>【荣誉】</w:t>
      </w:r>
    </w:p>
    <w:p w14:paraId="29756B99">
      <w:pPr>
        <w:bidi w:val="0"/>
        <w:rPr>
          <w:rFonts w:hint="eastAsia"/>
          <w:lang w:val="zh-CN"/>
        </w:rPr>
      </w:pPr>
      <w:r>
        <w:rPr>
          <w:rFonts w:hint="eastAsia"/>
          <w:lang w:val="zh-CN"/>
        </w:rPr>
        <w:t>供销合作社联合社被广东省供销合作社授予“2018年度全省供销合作社综合业绩县优秀”称号。</w:t>
      </w:r>
    </w:p>
    <w:p w14:paraId="2030D642">
      <w:pPr>
        <w:pStyle w:val="4"/>
        <w:bidi w:val="0"/>
        <w:rPr>
          <w:rFonts w:hint="eastAsia"/>
          <w:lang w:val="zh-CN"/>
        </w:rPr>
      </w:pPr>
      <w:r>
        <w:rPr>
          <w:rFonts w:hint="eastAsia"/>
          <w:lang w:val="zh-CN"/>
        </w:rPr>
        <w:t>【综合改革】</w:t>
      </w:r>
    </w:p>
    <w:p w14:paraId="390A2D71">
      <w:pPr>
        <w:bidi w:val="0"/>
        <w:rPr>
          <w:rFonts w:hint="eastAsia"/>
          <w:lang w:val="zh-CN"/>
        </w:rPr>
      </w:pPr>
      <w:r>
        <w:rPr>
          <w:rFonts w:hint="eastAsia"/>
          <w:lang w:val="zh-CN"/>
        </w:rPr>
        <w:t>筹集资金10万，为南雄新供销天润灵潭农业发展有限公司添置生产设施，投入生产；筹资完成乌迳老龙农资配送中心主体工程，完善配套设施建设。</w:t>
      </w:r>
    </w:p>
    <w:p w14:paraId="1C4695F4">
      <w:pPr>
        <w:pStyle w:val="4"/>
        <w:bidi w:val="0"/>
        <w:rPr>
          <w:rFonts w:hint="eastAsia"/>
          <w:lang w:val="zh-CN"/>
        </w:rPr>
      </w:pPr>
      <w:r>
        <w:rPr>
          <w:rFonts w:hint="eastAsia"/>
          <w:lang w:val="zh-CN"/>
        </w:rPr>
        <w:t>【农业生产资料购销】</w:t>
      </w:r>
    </w:p>
    <w:p w14:paraId="10BC8A4C">
      <w:pPr>
        <w:bidi w:val="0"/>
        <w:rPr>
          <w:rFonts w:hint="eastAsia"/>
          <w:lang w:val="zh-CN"/>
        </w:rPr>
      </w:pPr>
      <w:r>
        <w:rPr>
          <w:rFonts w:hint="eastAsia"/>
          <w:lang w:val="zh-CN"/>
        </w:rPr>
        <w:t>2018年售给农民肥料8.56万吨，农药364吨，农膜215吨，实现销售1.62亿元。</w:t>
      </w:r>
    </w:p>
    <w:p w14:paraId="0E167641">
      <w:pPr>
        <w:pStyle w:val="4"/>
        <w:bidi w:val="0"/>
        <w:rPr>
          <w:rFonts w:hint="eastAsia"/>
          <w:lang w:val="zh-CN"/>
        </w:rPr>
      </w:pPr>
      <w:r>
        <w:rPr>
          <w:rFonts w:hint="eastAsia"/>
          <w:lang w:val="zh-CN"/>
        </w:rPr>
        <w:t>【农产品购销】</w:t>
      </w:r>
    </w:p>
    <w:p w14:paraId="24C727DF">
      <w:pPr>
        <w:bidi w:val="0"/>
        <w:rPr>
          <w:rFonts w:hint="eastAsia"/>
          <w:lang w:val="zh-CN"/>
        </w:rPr>
      </w:pPr>
      <w:r>
        <w:rPr>
          <w:rFonts w:hint="eastAsia"/>
          <w:lang w:val="zh-CN"/>
        </w:rPr>
        <w:t>扩大甜玉米种植规模，甜玉米专业合作社与农户完成订单种植甜玉米176.67公顷。直接带动农户2010户参与甜玉米产业化经营，实现助农增收662万元。组织农民种植茶叶，为茶农提供技术指导。组织供销雄源茶叶有限公司、帽子峰龙峰茶叶专业专业合作社参加“茶香韶关”丹霞山韶关名茶展销品鉴活动，“珠玑古韵”“帽龙琛”等红茶系列产品被评为三等奖。</w:t>
      </w:r>
    </w:p>
    <w:p w14:paraId="77D77D1A">
      <w:pPr>
        <w:pStyle w:val="4"/>
        <w:bidi w:val="0"/>
        <w:rPr>
          <w:rFonts w:hint="eastAsia"/>
          <w:lang w:val="zh-CN"/>
        </w:rPr>
      </w:pPr>
      <w:r>
        <w:rPr>
          <w:rFonts w:hint="eastAsia"/>
          <w:lang w:val="zh-CN"/>
        </w:rPr>
        <w:t>【生活资料购销】</w:t>
      </w:r>
    </w:p>
    <w:p w14:paraId="353D26D9">
      <w:pPr>
        <w:bidi w:val="0"/>
        <w:rPr>
          <w:rFonts w:hint="eastAsia"/>
          <w:lang w:val="zh-CN"/>
        </w:rPr>
      </w:pPr>
      <w:r>
        <w:rPr>
          <w:rFonts w:hint="eastAsia"/>
          <w:lang w:val="zh-CN"/>
        </w:rPr>
        <w:t>2018年实现销售1537万元，同比增幅6.43%。</w:t>
      </w:r>
    </w:p>
    <w:p w14:paraId="12D93490">
      <w:pPr>
        <w:pStyle w:val="4"/>
        <w:bidi w:val="0"/>
        <w:rPr>
          <w:rFonts w:hint="eastAsia"/>
          <w:lang w:val="zh-CN"/>
        </w:rPr>
      </w:pPr>
      <w:r>
        <w:rPr>
          <w:rFonts w:hint="eastAsia"/>
          <w:lang w:val="zh-CN"/>
        </w:rPr>
        <w:t>【废品经营】</w:t>
      </w:r>
    </w:p>
    <w:p w14:paraId="2754F988">
      <w:pPr>
        <w:bidi w:val="0"/>
        <w:rPr>
          <w:rFonts w:hint="eastAsia"/>
          <w:lang w:val="zh-CN"/>
        </w:rPr>
      </w:pPr>
      <w:r>
        <w:rPr>
          <w:rFonts w:hint="eastAsia"/>
          <w:lang w:val="zh-CN"/>
        </w:rPr>
        <w:t>全年实现购进792万元。</w:t>
      </w:r>
    </w:p>
    <w:p w14:paraId="719082F0">
      <w:pPr>
        <w:pStyle w:val="4"/>
        <w:bidi w:val="0"/>
        <w:rPr>
          <w:rFonts w:hint="eastAsia"/>
          <w:lang w:val="zh-CN"/>
        </w:rPr>
      </w:pPr>
      <w:r>
        <w:rPr>
          <w:rFonts w:hint="eastAsia"/>
          <w:lang w:val="zh-CN"/>
        </w:rPr>
        <w:t>【生猪屠宰管理、经营】</w:t>
      </w:r>
    </w:p>
    <w:p w14:paraId="3B75A7B0">
      <w:pPr>
        <w:bidi w:val="0"/>
        <w:rPr>
          <w:rFonts w:hint="eastAsia"/>
          <w:lang w:val="zh-CN"/>
        </w:rPr>
      </w:pPr>
      <w:r>
        <w:rPr>
          <w:rFonts w:hint="eastAsia"/>
          <w:lang w:val="zh-CN"/>
        </w:rPr>
        <w:t>强化定点屠宰管理，严格肉品检验制度。加强猪肉市场管理，搞好市场调控；积极组织生猪货源，保证市场供应。全年屠宰生猪4.35万头，菜牛2200头，实现销售1.28亿元，同比增幅6.45%。（张涛）</w:t>
      </w:r>
    </w:p>
    <w:p w14:paraId="1A84B483">
      <w:pPr>
        <w:pStyle w:val="11"/>
        <w:bidi w:val="0"/>
        <w:rPr>
          <w:rFonts w:hint="eastAsia"/>
          <w:b/>
          <w:bCs/>
          <w:lang w:val="zh-CN"/>
        </w:rPr>
      </w:pPr>
      <w:r>
        <w:rPr>
          <w:rFonts w:hint="eastAsia"/>
          <w:b/>
          <w:bCs/>
          <w:lang w:val="zh-CN"/>
        </w:rPr>
        <w:t>附：2018年市供销社领导班子成员名单</w:t>
      </w:r>
    </w:p>
    <w:p w14:paraId="313E87B5">
      <w:pPr>
        <w:pStyle w:val="11"/>
        <w:bidi w:val="0"/>
        <w:rPr>
          <w:rFonts w:hint="eastAsia"/>
          <w:lang w:val="zh-CN"/>
        </w:rPr>
      </w:pPr>
      <w:r>
        <w:rPr>
          <w:rFonts w:hint="eastAsia"/>
          <w:b/>
          <w:bCs/>
          <w:lang w:val="zh-CN"/>
        </w:rPr>
        <w:t>理事会主任：</w:t>
      </w:r>
      <w:r>
        <w:rPr>
          <w:rFonts w:hint="eastAsia"/>
          <w:lang w:val="zh-CN"/>
        </w:rPr>
        <w:t>刘富平</w:t>
      </w:r>
    </w:p>
    <w:p w14:paraId="5D30812D">
      <w:pPr>
        <w:pStyle w:val="11"/>
        <w:bidi w:val="0"/>
        <w:ind w:leftChars="600"/>
        <w:rPr>
          <w:rFonts w:hint="eastAsia"/>
          <w:lang w:val="zh-CN"/>
        </w:rPr>
      </w:pPr>
      <w:r>
        <w:rPr>
          <w:rFonts w:hint="eastAsia"/>
          <w:lang w:val="zh-CN"/>
        </w:rPr>
        <w:t>何春京</w:t>
      </w:r>
    </w:p>
    <w:p w14:paraId="0FF2373E">
      <w:pPr>
        <w:pStyle w:val="11"/>
        <w:bidi w:val="0"/>
        <w:rPr>
          <w:rFonts w:hint="eastAsia"/>
          <w:lang w:val="zh-CN"/>
        </w:rPr>
      </w:pPr>
      <w:r>
        <w:rPr>
          <w:rFonts w:hint="eastAsia"/>
          <w:b/>
          <w:bCs/>
          <w:lang w:val="zh-CN"/>
        </w:rPr>
        <w:t>理事会副主任：</w:t>
      </w:r>
      <w:r>
        <w:rPr>
          <w:rFonts w:hint="eastAsia"/>
          <w:lang w:val="zh-CN"/>
        </w:rPr>
        <w:t>刘光明</w:t>
      </w:r>
    </w:p>
    <w:p w14:paraId="4ABE0A5E">
      <w:pPr>
        <w:pStyle w:val="11"/>
        <w:bidi w:val="0"/>
        <w:ind w:leftChars="700"/>
        <w:rPr>
          <w:rFonts w:hint="eastAsia"/>
          <w:lang w:val="zh-CN"/>
        </w:rPr>
      </w:pPr>
      <w:r>
        <w:rPr>
          <w:rFonts w:hint="eastAsia"/>
          <w:lang w:val="zh-CN"/>
        </w:rPr>
        <w:t>卢德文</w:t>
      </w:r>
    </w:p>
    <w:p w14:paraId="3588C465">
      <w:pPr>
        <w:pStyle w:val="11"/>
        <w:bidi w:val="0"/>
        <w:ind w:leftChars="700"/>
        <w:rPr>
          <w:rFonts w:hint="eastAsia"/>
          <w:lang w:val="zh-CN"/>
        </w:rPr>
      </w:pPr>
      <w:r>
        <w:rPr>
          <w:rFonts w:hint="eastAsia"/>
          <w:lang w:val="zh-CN"/>
        </w:rPr>
        <w:t>刘</w:t>
      </w:r>
      <w:r>
        <w:rPr>
          <w:rFonts w:hint="eastAsia"/>
          <w:lang w:val="en-US" w:eastAsia="zh-CN"/>
        </w:rPr>
        <w:t xml:space="preserve">  </w:t>
      </w:r>
      <w:r>
        <w:rPr>
          <w:rFonts w:hint="eastAsia"/>
          <w:lang w:val="zh-CN"/>
        </w:rPr>
        <w:t>军</w:t>
      </w:r>
    </w:p>
    <w:p w14:paraId="470E93DD">
      <w:pPr>
        <w:pStyle w:val="11"/>
        <w:bidi w:val="0"/>
        <w:rPr>
          <w:rFonts w:hint="eastAsia"/>
          <w:lang w:val="zh-CN"/>
        </w:rPr>
      </w:pPr>
      <w:r>
        <w:rPr>
          <w:rFonts w:hint="eastAsia"/>
          <w:b/>
          <w:bCs/>
          <w:lang w:val="zh-CN"/>
        </w:rPr>
        <w:t>工会主席：</w:t>
      </w:r>
      <w:r>
        <w:rPr>
          <w:rFonts w:hint="eastAsia"/>
          <w:lang w:val="zh-CN"/>
        </w:rPr>
        <w:t>陈亿红</w:t>
      </w:r>
    </w:p>
    <w:p w14:paraId="08A7A8A6">
      <w:pPr>
        <w:pStyle w:val="3"/>
        <w:bidi w:val="0"/>
        <w:rPr>
          <w:rFonts w:hint="eastAsia"/>
          <w:lang w:val="zh-CN"/>
        </w:rPr>
      </w:pPr>
      <w:r>
        <w:rPr>
          <w:rFonts w:hint="eastAsia"/>
          <w:lang w:val="zh-CN"/>
        </w:rPr>
        <w:t>烟草</w:t>
      </w:r>
    </w:p>
    <w:p w14:paraId="05C35924">
      <w:pPr>
        <w:pStyle w:val="4"/>
        <w:bidi w:val="0"/>
        <w:rPr>
          <w:rFonts w:hint="eastAsia"/>
          <w:lang w:val="zh-CN"/>
        </w:rPr>
      </w:pPr>
      <w:r>
        <w:rPr>
          <w:rFonts w:hint="eastAsia"/>
          <w:lang w:val="zh-CN"/>
        </w:rPr>
        <w:t>【概况】</w:t>
      </w:r>
    </w:p>
    <w:p w14:paraId="11B56E8D">
      <w:pPr>
        <w:bidi w:val="0"/>
        <w:rPr>
          <w:rFonts w:hint="eastAsia"/>
          <w:lang w:val="zh-CN"/>
        </w:rPr>
      </w:pPr>
      <w:r>
        <w:rPr>
          <w:rFonts w:hint="eastAsia"/>
          <w:lang w:val="zh-CN"/>
        </w:rPr>
        <w:t>南雄市烟草专卖局（分公司）内设综合管理部、专卖监督管理办公室（内管派驻组、专卖稽查大队）、营销部、烟叶管理部、财务管理部、安全保卫部、烟叶物流部、党建监察部8个部门和古市、雄州、湖口、黄坑、水口、乌迳6个烟叶工作站，以及主田、丹布、里东、邓坊、大塘、新龙、里和、河坪8个烟叶工作点。2018年在岗人员404人、退养人员9人、退休人员221人。</w:t>
      </w:r>
    </w:p>
    <w:p w14:paraId="632AD402">
      <w:pPr>
        <w:bidi w:val="0"/>
        <w:rPr>
          <w:rFonts w:hint="eastAsia"/>
          <w:lang w:val="zh-CN"/>
        </w:rPr>
      </w:pPr>
      <w:r>
        <w:rPr>
          <w:rFonts w:hint="eastAsia"/>
          <w:lang w:val="zh-CN"/>
        </w:rPr>
        <w:t>2018年，南雄市种植烟叶4258公顷，收购烟叶7842.14吨，收购资金1.93亿元；销售卷烟1.44万箱，销售金额（含税）4.7亿元；查获涉烟案件107件，总案值329.56万元。</w:t>
      </w:r>
    </w:p>
    <w:p w14:paraId="3CA54AE9">
      <w:pPr>
        <w:pStyle w:val="4"/>
        <w:bidi w:val="0"/>
        <w:rPr>
          <w:rFonts w:hint="eastAsia"/>
          <w:lang w:val="zh-CN"/>
        </w:rPr>
      </w:pPr>
      <w:r>
        <w:rPr>
          <w:rFonts w:hint="eastAsia"/>
          <w:lang w:val="zh-CN"/>
        </w:rPr>
        <w:t>【黄烟生产收购】</w:t>
      </w:r>
    </w:p>
    <w:p w14:paraId="2B2DAD5C">
      <w:pPr>
        <w:bidi w:val="0"/>
        <w:rPr>
          <w:rFonts w:hint="eastAsia"/>
          <w:lang w:val="zh-CN"/>
        </w:rPr>
      </w:pPr>
      <w:r>
        <w:rPr>
          <w:rFonts w:hint="eastAsia"/>
          <w:lang w:val="zh-CN"/>
        </w:rPr>
        <w:t>全市种植烟叶4258公顷，签订烟叶种植收购合同4045份，户均种植面积1.05公顷。对比2017年，烟叶种植面积递减914.67公顷。7月12日—10月6日为全市烟叶收购时间，收购烟叶7842.14吨，完成收购计划的85.24%，其中上等烟占比53.99%，中等烟占比44.25%，收购均价12.3元/市斤。对比2017年，收购均价提升1.32元/市斤，上等烟比例提升25.78%。因遭遇5月份高温干旱天气，烟叶受灾，经广东省烟草专卖局（公司）批准，核减南雄烟叶收购计划量1300吨，核减后收购计划量7900吨，即完成核减后计划收购量的99.24%。</w:t>
      </w:r>
    </w:p>
    <w:p w14:paraId="0D93CF9D">
      <w:pPr>
        <w:bidi w:val="0"/>
        <w:rPr>
          <w:rFonts w:hint="eastAsia"/>
          <w:lang w:val="zh-CN"/>
        </w:rPr>
      </w:pPr>
      <w:r>
        <w:rPr>
          <w:rFonts w:hint="eastAsia"/>
          <w:lang w:val="zh-CN"/>
        </w:rPr>
        <w:t>2018年烟草行业投入烟叶生产基础设施建设资金153.94万元，购置生物质颗粒燃烧设备12套、农用机械12台、可移动育苗棚250个，全年烟叶生产基础设施新增受益面积1333.33公顷。</w:t>
      </w:r>
    </w:p>
    <w:p w14:paraId="019151BB">
      <w:pPr>
        <w:pStyle w:val="4"/>
        <w:bidi w:val="0"/>
        <w:rPr>
          <w:rFonts w:hint="eastAsia"/>
          <w:lang w:val="zh-CN"/>
        </w:rPr>
      </w:pPr>
      <w:r>
        <w:rPr>
          <w:rFonts w:hint="eastAsia"/>
          <w:lang w:val="zh-CN"/>
        </w:rPr>
        <w:t>【烟农大会召开】</w:t>
      </w:r>
    </w:p>
    <w:p w14:paraId="7D96E56E">
      <w:pPr>
        <w:bidi w:val="0"/>
        <w:rPr>
          <w:rFonts w:hint="eastAsia"/>
          <w:lang w:val="zh-CN"/>
        </w:rPr>
      </w:pPr>
      <w:r>
        <w:rPr>
          <w:rFonts w:hint="eastAsia"/>
          <w:lang w:val="zh-CN"/>
        </w:rPr>
        <w:t>11月22日，南雄市2018年烟叶工作总结暨2019年烟叶工作动员会召开。会上表彰和奖励在2018年烟叶工作中有突出贡献的5个先进村委会、5名先进种烟大户、5名先进质量烟农和5名烘烤能手。</w:t>
      </w:r>
    </w:p>
    <w:p w14:paraId="21C95B80">
      <w:pPr>
        <w:pStyle w:val="4"/>
        <w:bidi w:val="0"/>
        <w:rPr>
          <w:rFonts w:hint="eastAsia"/>
          <w:lang w:val="zh-CN"/>
        </w:rPr>
      </w:pPr>
      <w:r>
        <w:rPr>
          <w:rFonts w:hint="eastAsia"/>
          <w:lang w:val="zh-CN"/>
        </w:rPr>
        <w:t>【专卖管理】</w:t>
      </w:r>
    </w:p>
    <w:p w14:paraId="31972940">
      <w:pPr>
        <w:bidi w:val="0"/>
        <w:rPr>
          <w:rFonts w:hint="eastAsia"/>
          <w:lang w:val="zh-CN"/>
        </w:rPr>
      </w:pPr>
      <w:r>
        <w:rPr>
          <w:rFonts w:hint="eastAsia"/>
          <w:lang w:val="zh-CN"/>
        </w:rPr>
        <w:t>全年查处涉烟案件107件，案值329.56万元。其中，假烟、私烟案件36件，查获假烟126.41万支，案值101.94万元，私烟12.78万支，案值7.26万元；查处非烟案件70件，查获非烟487.95万支，案值140.98万元。捣毁卷烟制假窝点1个，查获烟叶9.9吨，案值46.26万元；烟丝4.65吨，案值32.57万元；水松纸0.08吨，案值0.55万元；卷烟纸7.65千米，案值0.02万元；逮捕2人，判刑2人。2018年新办理烟草专卖零售许可证258份，办理停业0户、歇业136户、注销71户、延续238户，全市有效持证户1496户。</w:t>
      </w:r>
    </w:p>
    <w:p w14:paraId="77EC0828">
      <w:pPr>
        <w:pStyle w:val="4"/>
        <w:bidi w:val="0"/>
        <w:rPr>
          <w:rFonts w:hint="eastAsia"/>
          <w:lang w:val="zh-CN"/>
        </w:rPr>
      </w:pPr>
      <w:r>
        <w:rPr>
          <w:rFonts w:hint="eastAsia"/>
          <w:lang w:val="zh-CN"/>
        </w:rPr>
        <w:t>【卷烟经营】</w:t>
      </w:r>
    </w:p>
    <w:p w14:paraId="651EE04E">
      <w:pPr>
        <w:bidi w:val="0"/>
        <w:rPr>
          <w:rFonts w:hint="eastAsia"/>
          <w:lang w:val="zh-CN"/>
        </w:rPr>
      </w:pPr>
      <w:r>
        <w:rPr>
          <w:rFonts w:hint="eastAsia"/>
          <w:lang w:val="zh-CN"/>
        </w:rPr>
        <w:t>全年销售卷烟1.44万箱，完成年度计划的99.69%；销售金额（含税）4.7亿元；卷烟含税单箱销售收入3.27万元/箱，同比上年增加983.48元/箱。一二类烟销量6745.37箱，占比46.95%，增幅6.14%。销售省产双喜卷烟9136.03箱，同比增加40.60箱，省产双喜卷烟占销量比重为63.60%，同比增长0.56%。实现毛利1.39亿元，同比增加536.69万元。</w:t>
      </w:r>
    </w:p>
    <w:p w14:paraId="2A7B0006">
      <w:pPr>
        <w:bidi w:val="0"/>
        <w:rPr>
          <w:rFonts w:hint="eastAsia"/>
          <w:lang w:val="zh-CN"/>
        </w:rPr>
      </w:pPr>
      <w:r>
        <w:rPr>
          <w:rFonts w:hint="eastAsia"/>
          <w:lang w:val="zh-CN"/>
        </w:rPr>
        <w:t>全年成立零售客户自律互助小组45个，807名零售客户加入，覆盖率为56%，高于覆盖率50%的年度目标。此外，推进直营店、终端体验区、室外吸烟点建设。按照“政府支持、烟草合力、社会共建、公益为主”总体思路，南雄市建成室外吸烟点50个。</w:t>
      </w:r>
    </w:p>
    <w:p w14:paraId="638E6727">
      <w:pPr>
        <w:pStyle w:val="4"/>
        <w:bidi w:val="0"/>
        <w:rPr>
          <w:rFonts w:hint="eastAsia"/>
          <w:lang w:val="zh-CN"/>
        </w:rPr>
      </w:pPr>
      <w:r>
        <w:rPr>
          <w:rFonts w:hint="eastAsia"/>
          <w:lang w:val="zh-CN"/>
        </w:rPr>
        <w:t>【各烟站收购情况】</w:t>
      </w:r>
    </w:p>
    <w:p w14:paraId="222CA7D4">
      <w:pPr>
        <w:bidi w:val="0"/>
        <w:rPr>
          <w:rFonts w:hint="eastAsia"/>
          <w:lang w:val="zh-CN"/>
        </w:rPr>
      </w:pPr>
      <w:r>
        <w:rPr>
          <w:rFonts w:hint="eastAsia"/>
          <w:lang w:val="zh-CN"/>
        </w:rPr>
        <w:t>古市烟站下设主田、丹布2个烟叶工作点，签订烟叶种植收购合同面积616.67公顷，收购烟叶1249.10吨。</w:t>
      </w:r>
    </w:p>
    <w:p w14:paraId="330B2283">
      <w:pPr>
        <w:bidi w:val="0"/>
        <w:rPr>
          <w:rFonts w:hint="eastAsia"/>
          <w:lang w:val="zh-CN"/>
        </w:rPr>
      </w:pPr>
      <w:r>
        <w:rPr>
          <w:rFonts w:hint="eastAsia"/>
          <w:lang w:val="zh-CN"/>
        </w:rPr>
        <w:t>雄州烟站下设里东烟叶工作点，负责雄州街道、全安镇、珠玑镇烟叶生产和收购，签订烟叶种植收购合同面积706.67公顷，收购烟叶1300.80吨。</w:t>
      </w:r>
    </w:p>
    <w:p w14:paraId="63EBB37D">
      <w:pPr>
        <w:bidi w:val="0"/>
        <w:rPr>
          <w:rFonts w:hint="eastAsia"/>
          <w:lang w:val="zh-CN"/>
        </w:rPr>
      </w:pPr>
      <w:r>
        <w:rPr>
          <w:rFonts w:hint="eastAsia"/>
          <w:lang w:val="zh-CN"/>
        </w:rPr>
        <w:t>黄坑烟站下设邓坊烟叶工作点，负责黄坑镇、邓坊镇烟叶生产和收购，签订烟叶种植收购合同面积1024.00公顷，收购烟叶1834.32吨。</w:t>
      </w:r>
    </w:p>
    <w:p w14:paraId="7BD3728F">
      <w:pPr>
        <w:bidi w:val="0"/>
        <w:rPr>
          <w:rFonts w:hint="eastAsia"/>
          <w:lang w:val="zh-CN"/>
        </w:rPr>
      </w:pPr>
      <w:r>
        <w:rPr>
          <w:rFonts w:hint="eastAsia"/>
          <w:lang w:val="zh-CN"/>
        </w:rPr>
        <w:t>乌迳烟站下设大塘、新龙2个烟叶工作点，负责乌迳镇、油山镇、坪田镇烟叶生产和收购，签订烟叶种植收购合同面积984.00公顷，收购烟叶1777.54吨。</w:t>
      </w:r>
    </w:p>
    <w:p w14:paraId="7800E674">
      <w:pPr>
        <w:bidi w:val="0"/>
        <w:rPr>
          <w:rFonts w:hint="eastAsia"/>
          <w:lang w:val="zh-CN"/>
        </w:rPr>
      </w:pPr>
      <w:r>
        <w:rPr>
          <w:rFonts w:hint="eastAsia"/>
          <w:lang w:val="zh-CN"/>
        </w:rPr>
        <w:t>湖口烟站下设里和烟叶工作点，负责湖口镇烟叶生产和收购，签订烟叶种植收购合同面积533.33公顷，收购烟叶968.48吨。</w:t>
      </w:r>
    </w:p>
    <w:p w14:paraId="33D29AFD">
      <w:pPr>
        <w:bidi w:val="0"/>
        <w:rPr>
          <w:rFonts w:hint="eastAsia"/>
          <w:lang w:val="zh-CN"/>
        </w:rPr>
      </w:pPr>
      <w:r>
        <w:rPr>
          <w:rFonts w:hint="eastAsia"/>
          <w:lang w:val="zh-CN"/>
        </w:rPr>
        <w:t>水口烟站下设河坪烟叶工作点，负责水口镇、南亩镇、江头镇烟叶生产和收购，签订烟叶种植收购合同面积393.33公顷，收购烟叶711.91吨。</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C831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8FD83BD">
            <w:pPr>
              <w:bidi w:val="0"/>
              <w:ind w:left="0" w:leftChars="0" w:firstLine="0" w:firstLineChars="0"/>
              <w:rPr>
                <w:rFonts w:hint="eastAsia"/>
                <w:vertAlign w:val="baseline"/>
                <w:lang w:val="zh-CN"/>
              </w:rPr>
            </w:pPr>
            <w:r>
              <w:rPr>
                <w:rFonts w:hint="eastAsia"/>
                <w:vertAlign w:val="baseline"/>
                <w:lang w:val="zh-CN"/>
              </w:rPr>
              <w:drawing>
                <wp:inline distT="0" distB="0" distL="114300" distR="114300">
                  <wp:extent cx="6181090" cy="4000500"/>
                  <wp:effectExtent l="0" t="0" r="10160" b="0"/>
                  <wp:docPr id="127" name="图片 127" descr="南雄年鉴2019_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南雄年鉴2019_0102"/>
                          <pic:cNvPicPr>
                            <a:picLocks noChangeAspect="1"/>
                          </pic:cNvPicPr>
                        </pic:nvPicPr>
                        <pic:blipFill>
                          <a:blip r:embed="rId114"/>
                          <a:stretch>
                            <a:fillRect/>
                          </a:stretch>
                        </pic:blipFill>
                        <pic:spPr>
                          <a:xfrm>
                            <a:off x="0" y="0"/>
                            <a:ext cx="6181090" cy="4000500"/>
                          </a:xfrm>
                          <a:prstGeom prst="rect">
                            <a:avLst/>
                          </a:prstGeom>
                        </pic:spPr>
                      </pic:pic>
                    </a:graphicData>
                  </a:graphic>
                </wp:inline>
              </w:drawing>
            </w:r>
          </w:p>
        </w:tc>
      </w:tr>
      <w:tr w14:paraId="01C44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1084D58">
            <w:pPr>
              <w:bidi w:val="0"/>
              <w:rPr>
                <w:rFonts w:hint="eastAsia"/>
                <w:vertAlign w:val="baseline"/>
                <w:lang w:val="zh-CN"/>
              </w:rPr>
            </w:pPr>
            <w:r>
              <w:rPr>
                <w:rFonts w:hint="eastAsia" w:ascii="FZKTK--GBK1-0" w:hAnsi="FZKTK--GBK1-0" w:eastAsia="FZKTK--GBK1-0"/>
                <w:sz w:val="20"/>
              </w:rPr>
              <w:t>南雄名片：黄烟之乡（市委办</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069768D1">
      <w:pPr>
        <w:pStyle w:val="4"/>
        <w:bidi w:val="0"/>
        <w:rPr>
          <w:rFonts w:hint="eastAsia"/>
          <w:lang w:val="zh-CN"/>
        </w:rPr>
      </w:pPr>
      <w:r>
        <w:rPr>
          <w:rFonts w:hint="eastAsia"/>
          <w:lang w:val="zh-CN"/>
        </w:rPr>
        <w:t>【社会公益】</w:t>
      </w:r>
    </w:p>
    <w:p w14:paraId="7E47FB0F">
      <w:pPr>
        <w:bidi w:val="0"/>
        <w:rPr>
          <w:rFonts w:hint="eastAsia"/>
          <w:lang w:val="zh-CN"/>
        </w:rPr>
      </w:pPr>
      <w:r>
        <w:rPr>
          <w:rFonts w:hint="eastAsia"/>
          <w:lang w:val="zh-CN"/>
        </w:rPr>
        <w:t>单位和员工捐赠54.24万元用于各项社会公益活动，包括扶贫济困、支持乡村建设、支持科教文卫事业发展、爱心慈善等。</w:t>
      </w:r>
      <w:r>
        <w:rPr>
          <w:rFonts w:hint="eastAsia"/>
          <w:b/>
          <w:bCs/>
          <w:lang w:val="zh-CN"/>
        </w:rPr>
        <w:t>（胡</w:t>
      </w:r>
      <w:r>
        <w:rPr>
          <w:rFonts w:hint="eastAsia"/>
          <w:b/>
          <w:bCs/>
          <w:lang w:val="en-US" w:eastAsia="zh-CN"/>
        </w:rPr>
        <w:t xml:space="preserve">  </w:t>
      </w:r>
      <w:r>
        <w:rPr>
          <w:rFonts w:hint="eastAsia"/>
          <w:b/>
          <w:bCs/>
          <w:lang w:val="zh-CN"/>
        </w:rPr>
        <w:t>燕）</w:t>
      </w:r>
    </w:p>
    <w:p w14:paraId="44DCD914">
      <w:pPr>
        <w:pStyle w:val="11"/>
        <w:bidi w:val="0"/>
        <w:rPr>
          <w:rFonts w:hint="eastAsia"/>
          <w:b/>
          <w:bCs/>
          <w:lang w:val="zh-CN"/>
        </w:rPr>
      </w:pPr>
      <w:r>
        <w:rPr>
          <w:rFonts w:hint="eastAsia"/>
          <w:b/>
          <w:bCs/>
          <w:lang w:val="zh-CN"/>
        </w:rPr>
        <w:t>附：2018年市烟草专卖局（分公司）领导班子成员名单</w:t>
      </w:r>
    </w:p>
    <w:p w14:paraId="020DADB2">
      <w:pPr>
        <w:pStyle w:val="11"/>
        <w:bidi w:val="0"/>
        <w:rPr>
          <w:rFonts w:hint="eastAsia"/>
          <w:b/>
          <w:bCs/>
          <w:lang w:val="zh-CN"/>
        </w:rPr>
      </w:pPr>
      <w:r>
        <w:rPr>
          <w:rFonts w:hint="eastAsia"/>
          <w:b/>
          <w:bCs/>
          <w:lang w:val="zh-CN"/>
        </w:rPr>
        <w:t>党委书记、局长、经理：</w:t>
      </w:r>
    </w:p>
    <w:p w14:paraId="4E49FF85">
      <w:pPr>
        <w:pStyle w:val="11"/>
        <w:bidi w:val="0"/>
        <w:ind w:leftChars="400"/>
        <w:rPr>
          <w:rFonts w:hint="eastAsia"/>
          <w:lang w:val="zh-CN"/>
        </w:rPr>
      </w:pPr>
      <w:r>
        <w:rPr>
          <w:rFonts w:hint="eastAsia"/>
          <w:lang w:val="zh-CN"/>
        </w:rPr>
        <w:t>肖国军</w:t>
      </w:r>
    </w:p>
    <w:p w14:paraId="565A16B4">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章杰群（任至11月）</w:t>
      </w:r>
    </w:p>
    <w:p w14:paraId="5150796E">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经</w:t>
      </w:r>
      <w:r>
        <w:rPr>
          <w:rFonts w:hint="eastAsia"/>
          <w:b/>
          <w:bCs/>
          <w:lang w:val="en-US" w:eastAsia="zh-CN"/>
        </w:rPr>
        <w:t xml:space="preserve"> </w:t>
      </w:r>
      <w:r>
        <w:rPr>
          <w:rFonts w:hint="eastAsia"/>
          <w:b/>
          <w:bCs/>
          <w:lang w:val="zh-CN"/>
        </w:rPr>
        <w:t>理：</w:t>
      </w:r>
      <w:r>
        <w:rPr>
          <w:rFonts w:hint="eastAsia"/>
          <w:lang w:val="zh-CN"/>
        </w:rPr>
        <w:t>邓长虹</w:t>
      </w:r>
      <w:r>
        <w:rPr>
          <w:rFonts w:hint="eastAsia"/>
          <w:lang w:val="en-US" w:eastAsia="zh-CN"/>
        </w:rPr>
        <w:t xml:space="preserve">   </w:t>
      </w:r>
      <w:r>
        <w:rPr>
          <w:rFonts w:hint="eastAsia"/>
          <w:lang w:val="zh-CN"/>
        </w:rPr>
        <w:t>何晓鸿</w:t>
      </w:r>
    </w:p>
    <w:p w14:paraId="5751905C">
      <w:pPr>
        <w:pStyle w:val="11"/>
        <w:bidi w:val="0"/>
        <w:rPr>
          <w:rFonts w:hint="eastAsia"/>
          <w:lang w:val="zh-CN"/>
        </w:rPr>
      </w:pPr>
      <w:r>
        <w:rPr>
          <w:rFonts w:hint="eastAsia"/>
          <w:b/>
          <w:bCs/>
          <w:lang w:val="zh-CN"/>
        </w:rPr>
        <w:t>工会主席：</w:t>
      </w:r>
      <w:r>
        <w:rPr>
          <w:rFonts w:hint="eastAsia"/>
          <w:lang w:val="zh-CN"/>
        </w:rPr>
        <w:t>柯油松</w:t>
      </w:r>
    </w:p>
    <w:p w14:paraId="2D9AAB18">
      <w:pPr>
        <w:pStyle w:val="2"/>
        <w:bidi w:val="0"/>
        <w:rPr>
          <w:rFonts w:hint="eastAsia"/>
        </w:rPr>
      </w:pPr>
      <w:r>
        <w:rPr>
          <w:rFonts w:hint="eastAsia"/>
        </w:rPr>
        <w:t>交通·通信</w:t>
      </w:r>
    </w:p>
    <w:p w14:paraId="1FC1044C">
      <w:pPr>
        <w:pStyle w:val="3"/>
        <w:bidi w:val="0"/>
        <w:rPr>
          <w:rFonts w:hint="eastAsia"/>
          <w:lang w:val="zh-CN"/>
        </w:rPr>
      </w:pPr>
      <w:r>
        <w:rPr>
          <w:rFonts w:hint="eastAsia"/>
          <w:lang w:val="zh-CN"/>
        </w:rPr>
        <w:t>交通运输</w:t>
      </w:r>
    </w:p>
    <w:p w14:paraId="3B5F38CA">
      <w:pPr>
        <w:pStyle w:val="4"/>
        <w:bidi w:val="0"/>
        <w:rPr>
          <w:rFonts w:hint="eastAsia"/>
          <w:lang w:val="zh-CN"/>
        </w:rPr>
      </w:pPr>
      <w:r>
        <w:rPr>
          <w:rFonts w:hint="eastAsia"/>
          <w:lang w:val="zh-CN"/>
        </w:rPr>
        <w:t>【概况】</w:t>
      </w:r>
    </w:p>
    <w:p w14:paraId="631E30AC">
      <w:pPr>
        <w:bidi w:val="0"/>
        <w:rPr>
          <w:rFonts w:hint="eastAsia"/>
          <w:lang w:val="zh-CN"/>
        </w:rPr>
      </w:pPr>
      <w:r>
        <w:rPr>
          <w:rFonts w:hint="eastAsia"/>
          <w:lang w:val="zh-CN"/>
        </w:rPr>
        <w:t>南雄市交通运输局，前身为南雄市交通局。根据南雄市机构编制委员会《关于印发南雄市人民政府机构改革方案的通知》（雄编〔2010〕04号），于2010年9月设立南雄市交通运输局，将原市交通局职责划入市交通运输局，是市人民政府工作部门，主要职责是负责全市（南雄市）公路、水路和城市公共交通运输等交通运输行业工作。内设办公室（加挂交通战备办公室牌子、扫黑除恶工作领导小组办公室牌子）、人事监察股、计划财务股、业务安全股、市交通运输局综合行政执法局（副科级）5个部门。下属事业单位2家，分别是市地方公路管理站、市交通管理总站。</w:t>
      </w:r>
    </w:p>
    <w:p w14:paraId="054D5F21">
      <w:pPr>
        <w:pStyle w:val="4"/>
        <w:bidi w:val="0"/>
        <w:rPr>
          <w:rFonts w:hint="eastAsia"/>
          <w:lang w:val="zh-CN"/>
        </w:rPr>
      </w:pPr>
      <w:r>
        <w:rPr>
          <w:rFonts w:hint="eastAsia"/>
          <w:lang w:val="zh-CN"/>
        </w:rPr>
        <w:t>【高速公路筹建】</w:t>
      </w:r>
    </w:p>
    <w:p w14:paraId="49745D44">
      <w:pPr>
        <w:bidi w:val="0"/>
        <w:rPr>
          <w:rFonts w:hint="eastAsia"/>
          <w:lang w:val="zh-CN"/>
        </w:rPr>
      </w:pPr>
      <w:r>
        <w:rPr>
          <w:rFonts w:hint="eastAsia"/>
          <w:lang w:val="zh-CN"/>
        </w:rPr>
        <w:t>信丰（省界）至南雄高速公路作为雄乐高速公路东段，起于南雄市界址镇（省界），终点位于南雄市珠玑镇。2018年，市交通运输局组织开展信丰（省界）至南雄高速公路前期工作。这个项目文物调查、地质灾害评估、规划选址、压覆矿产查询、放射性评价5个专项已获得相关部门批复；环境影响评价专项通过专家复核会；社会稳定风险评估专项完成报告编制任务；节能评估、水保、防洪等3个专项均完成报告编制任务。</w:t>
      </w:r>
    </w:p>
    <w:p w14:paraId="7526F148">
      <w:pPr>
        <w:pStyle w:val="4"/>
        <w:bidi w:val="0"/>
        <w:rPr>
          <w:rFonts w:hint="eastAsia"/>
          <w:lang w:val="zh-CN"/>
        </w:rPr>
      </w:pPr>
      <w:r>
        <w:rPr>
          <w:rFonts w:hint="eastAsia"/>
          <w:lang w:val="zh-CN"/>
        </w:rPr>
        <w:t>【旅游公路建设】</w:t>
      </w:r>
    </w:p>
    <w:p w14:paraId="344988C8">
      <w:pPr>
        <w:bidi w:val="0"/>
        <w:rPr>
          <w:rFonts w:hint="eastAsia"/>
          <w:lang w:val="zh-CN"/>
        </w:rPr>
      </w:pPr>
      <w:r>
        <w:rPr>
          <w:rFonts w:hint="eastAsia"/>
          <w:lang w:val="zh-CN"/>
        </w:rPr>
        <w:t>2018年，全市规划建设旅游公路项目14个，总里程161.66千米，连接景区有坪田银杏、帽子峰银杏、邓坊泉水谷漂流、江头蓝莓基地等旅游景区，其中南雄市横岭至澜河公路改建工程，目前完成90%停车场工程、主线清除表土工作和部分挖土方工作；其余各项工作逐步开展。</w:t>
      </w:r>
    </w:p>
    <w:p w14:paraId="23CDC326">
      <w:pPr>
        <w:pStyle w:val="4"/>
        <w:bidi w:val="0"/>
        <w:rPr>
          <w:rFonts w:hint="eastAsia"/>
          <w:lang w:val="zh-CN"/>
        </w:rPr>
      </w:pPr>
      <w:r>
        <w:rPr>
          <w:rFonts w:hint="eastAsia"/>
          <w:lang w:val="zh-CN"/>
        </w:rPr>
        <w:t>【重点项目建设】</w:t>
      </w:r>
    </w:p>
    <w:p w14:paraId="0A828515">
      <w:pPr>
        <w:bidi w:val="0"/>
        <w:rPr>
          <w:rFonts w:hint="eastAsia"/>
          <w:lang w:val="zh-CN"/>
        </w:rPr>
      </w:pPr>
      <w:r>
        <w:rPr>
          <w:rFonts w:hint="eastAsia"/>
          <w:lang w:val="zh-CN"/>
        </w:rPr>
        <w:t>2018年，市交通运输局重点建设项目10个：完成县道X339线教育南路至大汾公路改建工程建设；完成县道X339线教育南路至大汾公路绿道工程水稳层铺筑，总体进度完成至90%，沥青路面及绿化部分将完成；完成市县道X340线（绿洲公司路段）公路改建工程，准备交工验收；完成市水西小岛沿江路新建工程路面浇筑；完成市X341线长埔桥至长龙公路改建工程的招投标工作，进入施工进场阶段；完成市X342线南亩至坳下段公路改建工程招投标工作，进入施工图设计阶段；完成市X343线孔江至乌迳段路面改建工程施工图设计修编工作和招投标工作，准备施工；完成市火车站货场道路改建工程施工图设计以及征地红线的测量放线工作，正进行设计调整工作；完成珠玑镇古田休闲农业观光道改建工程施工图设计，正进行招投标工作。危桥改建及新建桥梁工程：2018年有5座桥梁新（改）建工程：完成Y412线K7+234横江桥危桥重建工程主体工程；完成C599线K0+808石陂南桥危桥改建工程基础及下部工程；完成C123线K1+349彭坑桥、Y445线K2+759兴塘桥危桥改建工程招投标工作，正开工建设；珠玑镇灵潭桥已进场开工；完成坪塘桥维修加固项目，龙塘坑桥、里源桥正在施工建设，上坪桥已出设计图纸，下一步将进行施工。</w:t>
      </w:r>
    </w:p>
    <w:p w14:paraId="6798EB22">
      <w:pPr>
        <w:pStyle w:val="4"/>
        <w:bidi w:val="0"/>
        <w:rPr>
          <w:rFonts w:hint="eastAsia"/>
          <w:lang w:val="zh-CN"/>
        </w:rPr>
      </w:pPr>
      <w:r>
        <w:rPr>
          <w:rFonts w:hint="eastAsia"/>
          <w:lang w:val="zh-CN"/>
        </w:rPr>
        <w:t>【农村公路硬底化建设】</w:t>
      </w:r>
    </w:p>
    <w:p w14:paraId="7862CF8E">
      <w:pPr>
        <w:bidi w:val="0"/>
        <w:rPr>
          <w:rFonts w:hint="eastAsia"/>
          <w:lang w:val="zh-CN"/>
        </w:rPr>
      </w:pPr>
      <w:r>
        <w:rPr>
          <w:rFonts w:hint="eastAsia"/>
          <w:lang w:val="zh-CN"/>
        </w:rPr>
        <w:t>2018年，全市完成农村公路硬底化建设152千米，超出任务指标52千米，完成率为152%。珠玑农业休闲观光道以及灵潭村建设项目建设完工。</w:t>
      </w:r>
    </w:p>
    <w:p w14:paraId="46C8D016">
      <w:pPr>
        <w:pStyle w:val="4"/>
        <w:bidi w:val="0"/>
        <w:rPr>
          <w:rFonts w:hint="eastAsia"/>
          <w:lang w:val="zh-CN"/>
        </w:rPr>
      </w:pPr>
      <w:r>
        <w:rPr>
          <w:rFonts w:hint="eastAsia"/>
          <w:lang w:val="zh-CN"/>
        </w:rPr>
        <w:t>【桥梁建设】</w:t>
      </w:r>
    </w:p>
    <w:p w14:paraId="1869834D">
      <w:pPr>
        <w:bidi w:val="0"/>
        <w:rPr>
          <w:rFonts w:hint="eastAsia"/>
          <w:lang w:val="zh-CN"/>
        </w:rPr>
      </w:pPr>
      <w:r>
        <w:rPr>
          <w:rFonts w:hint="eastAsia"/>
          <w:lang w:val="zh-CN"/>
        </w:rPr>
        <w:t>2018年，加强对全市301座桥梁日常管理和养护工作，并及时做好水毁修复工作，确保管辖路段在出现水毁塌方等灾情能第一时间完成修复通行。</w:t>
      </w:r>
    </w:p>
    <w:p w14:paraId="2D0EEBF8">
      <w:pPr>
        <w:pStyle w:val="4"/>
        <w:bidi w:val="0"/>
        <w:rPr>
          <w:rFonts w:hint="eastAsia"/>
          <w:lang w:val="zh-CN"/>
        </w:rPr>
      </w:pPr>
      <w:r>
        <w:rPr>
          <w:rFonts w:hint="eastAsia"/>
          <w:lang w:val="zh-CN"/>
        </w:rPr>
        <w:t>【主要经济指标完成情况】</w:t>
      </w:r>
    </w:p>
    <w:p w14:paraId="60C5865A">
      <w:pPr>
        <w:bidi w:val="0"/>
        <w:rPr>
          <w:rFonts w:hint="eastAsia"/>
          <w:lang w:val="zh-CN"/>
        </w:rPr>
      </w:pPr>
      <w:r>
        <w:rPr>
          <w:rFonts w:hint="eastAsia"/>
          <w:lang w:val="zh-CN"/>
        </w:rPr>
        <w:t>交通运输、仓储和邮政业增加值9.3个百分点；净增规模以上交通运输服务企业1家。</w:t>
      </w:r>
    </w:p>
    <w:p w14:paraId="0630DF60">
      <w:pPr>
        <w:pStyle w:val="4"/>
        <w:bidi w:val="0"/>
        <w:rPr>
          <w:rFonts w:hint="eastAsia"/>
          <w:lang w:val="zh-CN"/>
        </w:rPr>
      </w:pPr>
      <w:r>
        <w:rPr>
          <w:rFonts w:hint="eastAsia"/>
          <w:lang w:val="zh-CN"/>
        </w:rPr>
        <w:t>【行政执法】</w:t>
      </w:r>
    </w:p>
    <w:p w14:paraId="4D9ACB52">
      <w:pPr>
        <w:bidi w:val="0"/>
        <w:rPr>
          <w:rFonts w:hint="eastAsia"/>
          <w:lang w:val="zh-CN"/>
        </w:rPr>
      </w:pPr>
      <w:r>
        <w:rPr>
          <w:rFonts w:hint="eastAsia"/>
          <w:lang w:val="zh-CN"/>
        </w:rPr>
        <w:t>2018年，出动执法车辆475辆次，出动执法人员2576人次，检查车辆3227辆次。查处违章案件数153宗，其中非法营运车辆6辆，超载超限车辆127辆，卸货转运3066.66吨，客运不按站点5辆，扬撒10辆、无证危险品运输4宗，维修行业无证经营及超越经营范围1宗，协调处理路政管理部门移交案件26宗。</w:t>
      </w:r>
    </w:p>
    <w:p w14:paraId="65C544BA">
      <w:pPr>
        <w:pStyle w:val="4"/>
        <w:bidi w:val="0"/>
        <w:rPr>
          <w:rFonts w:hint="eastAsia"/>
          <w:lang w:val="zh-CN"/>
        </w:rPr>
      </w:pPr>
      <w:r>
        <w:rPr>
          <w:rFonts w:hint="eastAsia"/>
          <w:lang w:val="zh-CN"/>
        </w:rPr>
        <w:t>【路政管理】</w:t>
      </w:r>
    </w:p>
    <w:p w14:paraId="3979EA7B">
      <w:pPr>
        <w:bidi w:val="0"/>
        <w:rPr>
          <w:rFonts w:hint="eastAsia"/>
          <w:lang w:val="zh-CN"/>
        </w:rPr>
      </w:pPr>
      <w:r>
        <w:rPr>
          <w:rFonts w:hint="eastAsia"/>
          <w:lang w:val="zh-CN"/>
        </w:rPr>
        <w:t>路政管理人员及路政协管员上路巡查9973.3千米，巡查人次708人，巡查天数184天，完成南雄市村镇建设工程小产权房登记14处；向韶关总站移交审批路政许可3宗，市地方公路管理站审批乡道路政许可1宗；抗冰灾出动人次20人，出动路政车5次，累计5天。</w:t>
      </w:r>
    </w:p>
    <w:p w14:paraId="4A4C90A7">
      <w:pPr>
        <w:pStyle w:val="4"/>
        <w:bidi w:val="0"/>
        <w:rPr>
          <w:rFonts w:hint="eastAsia"/>
          <w:lang w:val="zh-CN"/>
        </w:rPr>
      </w:pPr>
      <w:r>
        <w:rPr>
          <w:rFonts w:hint="eastAsia"/>
          <w:lang w:val="zh-CN"/>
        </w:rPr>
        <w:t>【城乡客运】</w:t>
      </w:r>
    </w:p>
    <w:p w14:paraId="6B8B3A0F">
      <w:pPr>
        <w:bidi w:val="0"/>
        <w:rPr>
          <w:rFonts w:hint="eastAsia"/>
          <w:lang w:val="zh-CN"/>
        </w:rPr>
      </w:pPr>
      <w:r>
        <w:rPr>
          <w:rFonts w:hint="eastAsia"/>
          <w:lang w:val="zh-CN"/>
        </w:rPr>
        <w:t>对全市208个建制村通客运班车问题，按照韶关下达95%指标任务推进并落实。通客运班车建制村198个，未开通客运班车建制村10个。对不满足通客车条件建制村路面实施扩宽改造，完善安全防护设施，确保2019年年底实现建制村100%通客运班车目标。</w:t>
      </w:r>
    </w:p>
    <w:p w14:paraId="32011D89">
      <w:pPr>
        <w:pStyle w:val="4"/>
        <w:bidi w:val="0"/>
        <w:rPr>
          <w:rFonts w:hint="eastAsia"/>
          <w:lang w:val="zh-CN"/>
        </w:rPr>
      </w:pPr>
      <w:r>
        <w:rPr>
          <w:rFonts w:hint="eastAsia"/>
          <w:lang w:val="zh-CN"/>
        </w:rPr>
        <w:t>【行政审批】</w:t>
      </w:r>
    </w:p>
    <w:p w14:paraId="679ECF34">
      <w:pPr>
        <w:bidi w:val="0"/>
        <w:rPr>
          <w:rFonts w:hint="eastAsia"/>
          <w:lang w:val="zh-CN"/>
        </w:rPr>
      </w:pPr>
      <w:r>
        <w:rPr>
          <w:rFonts w:hint="eastAsia"/>
          <w:lang w:val="zh-CN"/>
        </w:rPr>
        <w:t>2018年办理货运车辆新增32辆、年审108辆、换证19辆、过户22辆、注销11辆；客车年审50辆；出租车年审64辆。</w:t>
      </w:r>
    </w:p>
    <w:p w14:paraId="287158EF">
      <w:pPr>
        <w:pStyle w:val="4"/>
        <w:bidi w:val="0"/>
        <w:rPr>
          <w:rFonts w:hint="eastAsia"/>
          <w:lang w:val="zh-CN"/>
        </w:rPr>
      </w:pPr>
      <w:r>
        <w:rPr>
          <w:rFonts w:hint="eastAsia"/>
          <w:lang w:val="zh-CN"/>
        </w:rPr>
        <w:t>【驾驶员培训】</w:t>
      </w:r>
    </w:p>
    <w:p w14:paraId="0B8B4B85">
      <w:pPr>
        <w:bidi w:val="0"/>
        <w:rPr>
          <w:rFonts w:hint="eastAsia"/>
          <w:lang w:val="zh-CN"/>
        </w:rPr>
      </w:pPr>
      <w:r>
        <w:rPr>
          <w:rFonts w:hint="eastAsia"/>
          <w:lang w:val="zh-CN"/>
        </w:rPr>
        <w:t>2018年，市交通局整治驾培市场，集中清理驾培行业中使用社会车辆在教练场进行培训违规现象。珠玑驾校培训1876人，百顺驾校培训1380人，道路通驾校培训911人，雄腾驾校培训435人。</w:t>
      </w:r>
    </w:p>
    <w:p w14:paraId="71072CAE">
      <w:pPr>
        <w:pStyle w:val="4"/>
        <w:bidi w:val="0"/>
        <w:rPr>
          <w:rFonts w:hint="eastAsia"/>
          <w:lang w:val="zh-CN"/>
        </w:rPr>
      </w:pPr>
      <w:r>
        <w:rPr>
          <w:rFonts w:hint="eastAsia"/>
          <w:lang w:val="zh-CN"/>
        </w:rPr>
        <w:t>【公路养护】</w:t>
      </w:r>
    </w:p>
    <w:p w14:paraId="393AC6B5">
      <w:pPr>
        <w:bidi w:val="0"/>
        <w:rPr>
          <w:rFonts w:hint="eastAsia"/>
          <w:lang w:val="zh-CN"/>
        </w:rPr>
      </w:pPr>
      <w:r>
        <w:rPr>
          <w:rFonts w:hint="eastAsia"/>
          <w:lang w:val="zh-CN"/>
        </w:rPr>
        <w:t>全市18个乡镇，208个村委会，公路管养里程2063.35千米，其中：县道272.78千米，乡道1070.11千米，村道720.46千米，养护率达到100％；现有县道养护9个道班，管养全市省道118.385千米，县道154.395千米。县道平均优良路面率达95%以上。</w:t>
      </w:r>
    </w:p>
    <w:p w14:paraId="299DF8D2">
      <w:pPr>
        <w:pStyle w:val="4"/>
        <w:bidi w:val="0"/>
        <w:rPr>
          <w:rFonts w:hint="eastAsia"/>
          <w:lang w:val="zh-CN"/>
        </w:rPr>
      </w:pPr>
      <w:r>
        <w:rPr>
          <w:rFonts w:hint="eastAsia"/>
          <w:lang w:val="zh-CN"/>
        </w:rPr>
        <w:t>【公路安全防护】</w:t>
      </w:r>
    </w:p>
    <w:p w14:paraId="369B07E3">
      <w:pPr>
        <w:bidi w:val="0"/>
        <w:rPr>
          <w:rFonts w:hint="eastAsia"/>
          <w:lang w:val="zh-CN"/>
        </w:rPr>
      </w:pPr>
      <w:r>
        <w:rPr>
          <w:rFonts w:hint="eastAsia"/>
          <w:lang w:val="zh-CN"/>
        </w:rPr>
        <w:t>2018年公路安全生命防护工程目标任务里程230千米，市县道X340线整治完成里程34.7千米，完成投资850.37万元；市县道X360线整治完成里程3.13千米，完成投资84万元；乡道生命安全防护工程整治完成47条乡道，整治完成里程192.17千米，完成投资2856.424万元。</w:t>
      </w:r>
    </w:p>
    <w:p w14:paraId="1D7A8F69">
      <w:pPr>
        <w:pStyle w:val="4"/>
        <w:bidi w:val="0"/>
        <w:rPr>
          <w:rFonts w:hint="eastAsia"/>
          <w:lang w:val="zh-CN"/>
        </w:rPr>
      </w:pPr>
      <w:r>
        <w:rPr>
          <w:rFonts w:hint="eastAsia"/>
          <w:lang w:val="zh-CN"/>
        </w:rPr>
        <w:t>【路域整治】</w:t>
      </w:r>
    </w:p>
    <w:p w14:paraId="35A2E3A3">
      <w:pPr>
        <w:bidi w:val="0"/>
        <w:rPr>
          <w:rFonts w:hint="eastAsia"/>
          <w:lang w:val="zh-CN"/>
        </w:rPr>
      </w:pPr>
      <w:r>
        <w:rPr>
          <w:rFonts w:hint="eastAsia"/>
          <w:lang w:val="zh-CN"/>
        </w:rPr>
        <w:t>4月行动开展以来，全市出动人员2334人次，清理违法设置非公路标志或广告牌827块，拆除乱搭乱建棚屋（遮阳棚）234处约4462平方米，清理河砂碎石143处约6750立方米，清理占道堆放物315处，清理建筑余土224处约6234立方米，清理“僵尸”车或机具42处。涉路占道经营摆放、乱设广告牌和宣传横幅标语、违法搭建棚屋、任意弃置垃圾余土等现象得到有效治理，全市公路路域环境得到明显改观。</w:t>
      </w:r>
    </w:p>
    <w:p w14:paraId="42A205B5">
      <w:pPr>
        <w:pStyle w:val="4"/>
        <w:bidi w:val="0"/>
        <w:rPr>
          <w:rFonts w:hint="eastAsia"/>
          <w:lang w:val="zh-CN"/>
        </w:rPr>
      </w:pPr>
      <w:r>
        <w:rPr>
          <w:rFonts w:hint="eastAsia"/>
          <w:lang w:val="zh-CN"/>
        </w:rPr>
        <w:t>【扫黑除恶专项工作】</w:t>
      </w:r>
    </w:p>
    <w:p w14:paraId="3B366B32">
      <w:pPr>
        <w:bidi w:val="0"/>
        <w:rPr>
          <w:rFonts w:hint="eastAsia"/>
          <w:lang w:val="zh-CN"/>
        </w:rPr>
      </w:pPr>
      <w:r>
        <w:rPr>
          <w:rFonts w:hint="eastAsia"/>
          <w:lang w:val="zh-CN"/>
        </w:rPr>
        <w:t>2018年梳理分析并向市扫黑办提供交通运输行业黑恶势力线索5条，其中3条定性为有效线索，现已完成线索查办。</w:t>
      </w:r>
    </w:p>
    <w:p w14:paraId="591E079A">
      <w:pPr>
        <w:bidi w:val="0"/>
        <w:jc w:val="right"/>
        <w:rPr>
          <w:rFonts w:hint="eastAsia"/>
          <w:b/>
          <w:bCs/>
          <w:lang w:val="zh-CN"/>
        </w:rPr>
      </w:pPr>
      <w:r>
        <w:rPr>
          <w:rFonts w:hint="eastAsia"/>
          <w:b/>
          <w:bCs/>
          <w:lang w:val="zh-CN"/>
        </w:rPr>
        <w:t>（邓俊聪）</w:t>
      </w:r>
    </w:p>
    <w:p w14:paraId="0B0818E6">
      <w:pPr>
        <w:pStyle w:val="11"/>
        <w:bidi w:val="0"/>
        <w:rPr>
          <w:rFonts w:hint="eastAsia"/>
          <w:b/>
          <w:bCs/>
          <w:lang w:val="zh-CN"/>
        </w:rPr>
      </w:pPr>
      <w:r>
        <w:rPr>
          <w:rFonts w:hint="eastAsia"/>
          <w:b/>
          <w:bCs/>
          <w:lang w:val="zh-CN"/>
        </w:rPr>
        <w:t>附：2018年市交通局领导班子成员名单</w:t>
      </w:r>
    </w:p>
    <w:p w14:paraId="0D29DA65">
      <w:pPr>
        <w:pStyle w:val="11"/>
        <w:bidi w:val="0"/>
        <w:rPr>
          <w:rFonts w:hint="eastAsia"/>
          <w:lang w:val="zh-CN"/>
        </w:rPr>
      </w:pPr>
      <w:r>
        <w:rPr>
          <w:rFonts w:hint="eastAsia"/>
          <w:b/>
          <w:bCs/>
          <w:lang w:val="zh-CN"/>
        </w:rPr>
        <w:t>党组书记、局长：</w:t>
      </w:r>
      <w:r>
        <w:rPr>
          <w:rFonts w:hint="eastAsia"/>
          <w:lang w:val="zh-CN"/>
        </w:rPr>
        <w:t>廖声华</w:t>
      </w:r>
    </w:p>
    <w:p w14:paraId="1D1A2637">
      <w:pPr>
        <w:pStyle w:val="11"/>
        <w:bidi w:val="0"/>
        <w:rPr>
          <w:rFonts w:hint="eastAsia"/>
          <w:lang w:val="zh-CN"/>
        </w:rPr>
      </w:pPr>
      <w:r>
        <w:rPr>
          <w:rFonts w:hint="eastAsia"/>
          <w:b/>
          <w:bCs/>
          <w:lang w:val="zh-CN"/>
        </w:rPr>
        <w:t>党组成员、副局长：</w:t>
      </w:r>
      <w:r>
        <w:rPr>
          <w:rFonts w:hint="eastAsia"/>
          <w:lang w:val="zh-CN"/>
        </w:rPr>
        <w:t>陈</w:t>
      </w:r>
      <w:r>
        <w:rPr>
          <w:rFonts w:hint="eastAsia"/>
          <w:lang w:val="en-US" w:eastAsia="zh-CN"/>
        </w:rPr>
        <w:t xml:space="preserve">  </w:t>
      </w:r>
      <w:r>
        <w:rPr>
          <w:rFonts w:hint="eastAsia"/>
          <w:lang w:val="zh-CN"/>
        </w:rPr>
        <w:t>洁</w:t>
      </w:r>
    </w:p>
    <w:p w14:paraId="124C9BEF">
      <w:pPr>
        <w:pStyle w:val="11"/>
        <w:bidi w:val="0"/>
        <w:ind w:leftChars="900"/>
        <w:rPr>
          <w:rFonts w:hint="eastAsia"/>
          <w:lang w:val="zh-CN"/>
        </w:rPr>
      </w:pPr>
      <w:r>
        <w:rPr>
          <w:rFonts w:hint="eastAsia"/>
          <w:lang w:val="zh-CN"/>
        </w:rPr>
        <w:t>张阳春</w:t>
      </w:r>
    </w:p>
    <w:p w14:paraId="7019C99A">
      <w:pPr>
        <w:pStyle w:val="11"/>
        <w:bidi w:val="0"/>
        <w:rPr>
          <w:rFonts w:hint="eastAsia"/>
          <w:b/>
          <w:bCs/>
          <w:lang w:val="zh-CN"/>
        </w:rPr>
      </w:pPr>
      <w:r>
        <w:rPr>
          <w:rFonts w:hint="eastAsia"/>
          <w:b/>
          <w:bCs/>
          <w:lang w:val="zh-CN"/>
        </w:rPr>
        <w:t>党组成员、执法局局长：</w:t>
      </w:r>
    </w:p>
    <w:p w14:paraId="22D97F31">
      <w:pPr>
        <w:pStyle w:val="11"/>
        <w:bidi w:val="0"/>
        <w:ind w:leftChars="900"/>
        <w:rPr>
          <w:rFonts w:hint="eastAsia"/>
          <w:lang w:val="zh-CN"/>
        </w:rPr>
      </w:pPr>
      <w:r>
        <w:rPr>
          <w:rFonts w:hint="eastAsia"/>
          <w:lang w:val="zh-CN"/>
        </w:rPr>
        <w:t>钟行军</w:t>
      </w:r>
    </w:p>
    <w:p w14:paraId="61D3A5C7">
      <w:pPr>
        <w:pStyle w:val="11"/>
        <w:bidi w:val="0"/>
        <w:rPr>
          <w:rFonts w:hint="eastAsia"/>
          <w:lang w:val="zh-CN"/>
        </w:rPr>
      </w:pPr>
      <w:r>
        <w:rPr>
          <w:rFonts w:hint="eastAsia"/>
          <w:b/>
          <w:bCs/>
          <w:lang w:val="zh-CN"/>
        </w:rPr>
        <w:t>工会主席：</w:t>
      </w:r>
      <w:r>
        <w:rPr>
          <w:rFonts w:hint="eastAsia"/>
          <w:lang w:val="zh-CN"/>
        </w:rPr>
        <w:t>赖应光</w:t>
      </w:r>
    </w:p>
    <w:p w14:paraId="4098A2AC">
      <w:pPr>
        <w:pStyle w:val="3"/>
        <w:bidi w:val="0"/>
        <w:rPr>
          <w:rFonts w:hint="eastAsia"/>
          <w:lang w:val="zh-CN"/>
        </w:rPr>
      </w:pPr>
      <w:r>
        <w:rPr>
          <w:rFonts w:hint="eastAsia"/>
          <w:lang w:val="zh-CN"/>
        </w:rPr>
        <w:t>国省道路建设与管理</w:t>
      </w:r>
    </w:p>
    <w:p w14:paraId="19D18987">
      <w:pPr>
        <w:pStyle w:val="4"/>
        <w:bidi w:val="0"/>
        <w:rPr>
          <w:rFonts w:hint="eastAsia"/>
          <w:lang w:val="zh-CN"/>
        </w:rPr>
      </w:pPr>
      <w:r>
        <w:rPr>
          <w:rFonts w:hint="eastAsia"/>
          <w:lang w:val="zh-CN"/>
        </w:rPr>
        <w:t>【概况】</w:t>
      </w:r>
    </w:p>
    <w:p w14:paraId="3EA5E101">
      <w:pPr>
        <w:bidi w:val="0"/>
        <w:rPr>
          <w:rFonts w:hint="eastAsia"/>
          <w:lang w:val="zh-CN"/>
        </w:rPr>
      </w:pPr>
      <w:r>
        <w:rPr>
          <w:rFonts w:hint="eastAsia"/>
          <w:lang w:val="zh-CN"/>
        </w:rPr>
        <w:t>韶关市南雄公路局为韶关市公路局垂直管理正科级事业单位，内设6个正股级机构，分别为办公室、生产技术股、人事监察股、路政管理所、财务股、安全生产股，12月撤销收费管理所。根据韶机编办发〔2016〕15号文件精神，成立南雄公路养护中心，是韶关市南雄公路局下辖机构。韶关市南雄公路局依据《中华人民共和国公路法》《广东省公路条例》负责南雄市境内国省道170.51千米、35座桥梁管理养护。</w:t>
      </w:r>
    </w:p>
    <w:p w14:paraId="62394FB2">
      <w:pPr>
        <w:pStyle w:val="4"/>
        <w:bidi w:val="0"/>
        <w:rPr>
          <w:rFonts w:hint="eastAsia"/>
          <w:lang w:val="zh-CN"/>
        </w:rPr>
      </w:pPr>
      <w:r>
        <w:rPr>
          <w:rFonts w:hint="eastAsia"/>
          <w:lang w:val="zh-CN"/>
        </w:rPr>
        <w:t>【公路养护】</w:t>
      </w:r>
    </w:p>
    <w:p w14:paraId="30F6EB03">
      <w:pPr>
        <w:bidi w:val="0"/>
        <w:rPr>
          <w:rFonts w:hint="eastAsia"/>
          <w:lang w:val="zh-CN"/>
        </w:rPr>
      </w:pPr>
      <w:r>
        <w:rPr>
          <w:rFonts w:hint="eastAsia"/>
          <w:lang w:val="zh-CN"/>
        </w:rPr>
        <w:t>处治路面病害1000多平方米，设置示警桩及标牌58根，修补及更换中央分隔带花基侧石800多米。做好水毁预防及抢修复工作，清理塌方7963立方米，清理路树竹木620多条，清除冰灾路面9130多平方米。协助韶关市公路局完成省道S342线分水坳至雄州段路面改造工程，项目全长43.58千米，总投资为1.3亿元。协调上级公路主管部门解决当地群众提出的湖口圩路段降坡问题。完成省道S342线分水坳至雄州段扩建工程勘察设计、施工、监理招标、工程的基建流程审批工作。该项目总长10.62千米，扩建后路基宽19.1米，项目总投资4880万元，2019年完成主体工程施工任务。投资432.34万元完成省道S342线雄州至塘面段公路安全生命防护工程，路线长74.971千米，主要增设标线、标志、标牌、广角镜、轮廓标、示警桩、线形诱导标志和波形防护栏等公路安全设施，改善山区公路行车环境。争取资金90万元完成G323线珠玑红绿灯路口整治工程。</w:t>
      </w:r>
    </w:p>
    <w:p w14:paraId="2A4C6BB1">
      <w:pPr>
        <w:bidi w:val="0"/>
        <w:rPr>
          <w:rFonts w:hint="eastAsia"/>
          <w:lang w:val="zh-CN"/>
        </w:rPr>
      </w:pPr>
      <w:r>
        <w:rPr>
          <w:rFonts w:hint="eastAsia"/>
          <w:lang w:val="zh-CN"/>
        </w:rPr>
        <w:t>做好广东省省定贫困村党建工作南雄现场会国道G323线整治工作，投资41.5万元实施路域整治、绿化提升、路容清洁、路面修补等，获得南雄市颁发的先进单位和先进个人称号。</w:t>
      </w:r>
    </w:p>
    <w:p w14:paraId="05AEC79A">
      <w:pPr>
        <w:pStyle w:val="4"/>
        <w:bidi w:val="0"/>
        <w:rPr>
          <w:rFonts w:hint="eastAsia"/>
          <w:lang w:val="zh-CN"/>
        </w:rPr>
      </w:pPr>
      <w:r>
        <w:rPr>
          <w:rFonts w:hint="eastAsia"/>
          <w:lang w:val="zh-CN"/>
        </w:rPr>
        <w:t>【依法治路】</w:t>
      </w:r>
    </w:p>
    <w:p w14:paraId="1FD04948">
      <w:pPr>
        <w:bidi w:val="0"/>
        <w:rPr>
          <w:rFonts w:hint="eastAsia"/>
          <w:lang w:val="zh-CN"/>
        </w:rPr>
      </w:pPr>
      <w:r>
        <w:rPr>
          <w:rFonts w:hint="eastAsia"/>
          <w:lang w:val="zh-CN"/>
        </w:rPr>
        <w:t>加强路政管理，保持每周国道不少于3天、省道不少于2天的巡查频率，做好违法源头管理和违法当场劝止及违法案件及时报送工作。发现公路违法案件26宗，均及时报送至南雄市交通局综合行政执法局；路政交通肇事接报受理案件12宗，已处理结案，收取路产赔偿费3.85万元；路政许可业务受理7宗，按时办结7宗。开展路政宣传月活动。悬挂宣传条幅7条；发放路政宣传单300余份；发送路政宣传公益短信4万余条。联同市相关部门出动人员逾100人次，清理违法设置非公路标志或广告牌51块，拆除乱搭乱建棚屋3处约70平方米，清理河砂碎石约500立方米，清理建筑余土、垃圾约223立方米。</w:t>
      </w:r>
    </w:p>
    <w:p w14:paraId="317757F2">
      <w:pPr>
        <w:pStyle w:val="4"/>
        <w:bidi w:val="0"/>
        <w:rPr>
          <w:rFonts w:hint="eastAsia"/>
          <w:lang w:val="zh-CN"/>
        </w:rPr>
      </w:pPr>
      <w:r>
        <w:rPr>
          <w:rFonts w:hint="eastAsia"/>
          <w:lang w:val="zh-CN"/>
        </w:rPr>
        <w:t>【安全生产】</w:t>
      </w:r>
    </w:p>
    <w:p w14:paraId="1CBEC97A">
      <w:pPr>
        <w:bidi w:val="0"/>
        <w:rPr>
          <w:rFonts w:hint="eastAsia"/>
          <w:lang w:val="zh-CN"/>
        </w:rPr>
      </w:pPr>
      <w:r>
        <w:rPr>
          <w:rFonts w:hint="eastAsia"/>
          <w:lang w:val="zh-CN"/>
        </w:rPr>
        <w:t>抓好“安全生产月”和“安全生产万里行”活动，组织全局干部职工观看《生命至上、安全发展》等交通安全宣传教育片。承办1次模拟油类品污染公路应急演练活动。争取资金近13万元，通过补充完善标志标线、示警桩、太阳能警示灯、消防设施设备等一系列措施，解决群众来访来信提出的交通安全问题。对G323线K271+556平交路口圆盘车辆损坏进行修复；对G323线K279+700南雄市第三小学新增设标牌6块，爆闪警示灯2盏，封闭多余路口1处；G323线K280+100增设爆闪警示灯2盏；G323线K239+000至K265+500修补路面坑槽1260平方米。</w:t>
      </w:r>
      <w:r>
        <w:rPr>
          <w:rFonts w:hint="eastAsia"/>
          <w:b/>
          <w:bCs/>
          <w:lang w:val="zh-CN"/>
        </w:rPr>
        <w:t>（叶志强）</w:t>
      </w:r>
    </w:p>
    <w:p w14:paraId="27274238">
      <w:pPr>
        <w:pStyle w:val="11"/>
        <w:bidi w:val="0"/>
        <w:rPr>
          <w:rFonts w:hint="eastAsia"/>
          <w:b/>
          <w:bCs/>
          <w:lang w:val="zh-CN"/>
        </w:rPr>
      </w:pPr>
      <w:r>
        <w:rPr>
          <w:rFonts w:hint="eastAsia"/>
          <w:b/>
          <w:bCs/>
          <w:lang w:val="zh-CN"/>
        </w:rPr>
        <w:t>附：2018年韶关市南雄公路局领导班子成员名单</w:t>
      </w:r>
    </w:p>
    <w:p w14:paraId="2E19A8BC">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张福明</w:t>
      </w:r>
    </w:p>
    <w:p w14:paraId="326974B2">
      <w:pPr>
        <w:pStyle w:val="11"/>
        <w:bidi w:val="0"/>
        <w:rPr>
          <w:rFonts w:hint="eastAsia"/>
          <w:lang w:val="zh-CN"/>
        </w:rPr>
      </w:pPr>
      <w:r>
        <w:rPr>
          <w:rFonts w:hint="eastAsia"/>
          <w:b/>
          <w:bCs/>
          <w:lang w:val="zh-CN"/>
        </w:rPr>
        <w:t>副局长：</w:t>
      </w:r>
      <w:r>
        <w:rPr>
          <w:rFonts w:hint="eastAsia"/>
          <w:lang w:val="zh-CN"/>
        </w:rPr>
        <w:t>邹国山</w:t>
      </w:r>
      <w:r>
        <w:rPr>
          <w:rFonts w:hint="eastAsia"/>
          <w:lang w:val="en-US" w:eastAsia="zh-CN"/>
        </w:rPr>
        <w:t xml:space="preserve">   </w:t>
      </w:r>
      <w:r>
        <w:rPr>
          <w:rFonts w:hint="eastAsia"/>
          <w:lang w:val="zh-CN"/>
        </w:rPr>
        <w:t>徐先昌</w:t>
      </w:r>
    </w:p>
    <w:p w14:paraId="7C733B7A">
      <w:pPr>
        <w:pStyle w:val="11"/>
        <w:bidi w:val="0"/>
        <w:ind w:leftChars="400"/>
        <w:rPr>
          <w:rFonts w:hint="eastAsia"/>
          <w:lang w:val="zh-CN"/>
        </w:rPr>
      </w:pPr>
      <w:r>
        <w:rPr>
          <w:rFonts w:hint="eastAsia"/>
          <w:lang w:val="zh-CN"/>
        </w:rPr>
        <w:t>梁乃祥</w:t>
      </w:r>
    </w:p>
    <w:p w14:paraId="0E671A24">
      <w:pPr>
        <w:pStyle w:val="3"/>
        <w:bidi w:val="0"/>
        <w:rPr>
          <w:rFonts w:hint="eastAsia"/>
          <w:lang w:val="zh-CN"/>
        </w:rPr>
      </w:pPr>
      <w:r>
        <w:rPr>
          <w:rFonts w:hint="eastAsia"/>
          <w:lang w:val="zh-CN"/>
        </w:rPr>
        <w:t>南雄汽车站</w:t>
      </w:r>
    </w:p>
    <w:p w14:paraId="7D3D5D9C">
      <w:pPr>
        <w:pStyle w:val="4"/>
        <w:bidi w:val="0"/>
        <w:rPr>
          <w:rFonts w:hint="eastAsia"/>
          <w:lang w:val="zh-CN"/>
        </w:rPr>
      </w:pPr>
      <w:r>
        <w:rPr>
          <w:rFonts w:hint="eastAsia"/>
          <w:lang w:val="zh-CN"/>
        </w:rPr>
        <w:t>【概况】</w:t>
      </w:r>
    </w:p>
    <w:p w14:paraId="00A4B2E8">
      <w:pPr>
        <w:bidi w:val="0"/>
        <w:rPr>
          <w:rFonts w:hint="eastAsia"/>
          <w:lang w:val="zh-CN"/>
        </w:rPr>
      </w:pPr>
      <w:r>
        <w:rPr>
          <w:rFonts w:hint="eastAsia"/>
          <w:lang w:val="zh-CN"/>
        </w:rPr>
        <w:t>韶关市粤运汽车运输有限公司南雄汽车站（以下简称“南雄汽车站”）隶属于韶关市粤运汽车运输有限公司，代管4个分公司：韶关市粤运汽车运输有限公司南雄公共汽车分公司、韶关市粤运汽车运输有限公司南雄出租小汽车分公司、韶关市粤运汽车运输有限公司南雄汽车站修理厂、韶关市粤运汽车运输有限公司南雄校车分公司，现有员工228人，主要经营县际、市际、省际班线、包车客运运输，公交客运运输及一类机动车维修业务。领导编制设一正二副，内设党群综合办、财务管理办、经营办、安全技术办、保修车间等5大部门。</w:t>
      </w:r>
    </w:p>
    <w:p w14:paraId="6E9E9F49">
      <w:pPr>
        <w:pStyle w:val="4"/>
        <w:bidi w:val="0"/>
        <w:rPr>
          <w:rFonts w:hint="eastAsia"/>
          <w:lang w:val="zh-CN"/>
        </w:rPr>
      </w:pPr>
      <w:r>
        <w:rPr>
          <w:rFonts w:hint="eastAsia"/>
          <w:lang w:val="zh-CN"/>
        </w:rPr>
        <w:t>【完成业绩】</w:t>
      </w:r>
    </w:p>
    <w:p w14:paraId="088AEAD9">
      <w:pPr>
        <w:bidi w:val="0"/>
        <w:rPr>
          <w:rFonts w:hint="eastAsia"/>
          <w:lang w:val="zh-CN"/>
        </w:rPr>
      </w:pPr>
      <w:r>
        <w:rPr>
          <w:rFonts w:hint="eastAsia"/>
          <w:lang w:val="zh-CN"/>
        </w:rPr>
        <w:t>2018年，南雄汽车站完成客运量423.58万人次、客运周转量9511.72万人千米；实现营业收入2396.81万元，年度利润总额293.15万元。</w:t>
      </w:r>
    </w:p>
    <w:p w14:paraId="01C52C2A">
      <w:pPr>
        <w:pStyle w:val="4"/>
        <w:bidi w:val="0"/>
        <w:rPr>
          <w:rFonts w:hint="eastAsia"/>
          <w:lang w:val="zh-CN"/>
        </w:rPr>
      </w:pPr>
      <w:r>
        <w:rPr>
          <w:rFonts w:hint="eastAsia"/>
          <w:lang w:val="zh-CN"/>
        </w:rPr>
        <w:t>【旅游服务工作】</w:t>
      </w:r>
    </w:p>
    <w:p w14:paraId="4C402811">
      <w:pPr>
        <w:bidi w:val="0"/>
        <w:rPr>
          <w:rFonts w:hint="eastAsia"/>
          <w:lang w:val="zh-CN"/>
        </w:rPr>
      </w:pPr>
      <w:r>
        <w:rPr>
          <w:rFonts w:hint="eastAsia"/>
          <w:lang w:val="zh-CN"/>
        </w:rPr>
        <w:t>9月至12月是帽子峰旅游景点开放期间，为完成景区专线车任务，汽车站利用现有资源，保障班次正常运行的前提下，按照丹霞巴士公司要求抽调1488台车辆进入帽子峰支援，比上年增加681台车辆，采取设立专管经理长驻景区、成立景区车辆输送小组、管理人员取消周末休息轮流进入景区维持秩序等措施，输送旅客14.24万人次，完成本年度帽子峰旅游运输任务。</w:t>
      </w:r>
    </w:p>
    <w:p w14:paraId="686C70C3">
      <w:pPr>
        <w:pStyle w:val="4"/>
        <w:bidi w:val="0"/>
        <w:rPr>
          <w:rFonts w:hint="eastAsia"/>
          <w:lang w:val="zh-CN"/>
        </w:rPr>
      </w:pPr>
      <w:r>
        <w:rPr>
          <w:rFonts w:hint="eastAsia"/>
          <w:lang w:val="zh-CN"/>
        </w:rPr>
        <w:t>【新汽车客运站奠基】</w:t>
      </w:r>
    </w:p>
    <w:p w14:paraId="2CEB3A00">
      <w:pPr>
        <w:bidi w:val="0"/>
        <w:rPr>
          <w:rFonts w:hint="eastAsia"/>
          <w:lang w:val="zh-CN"/>
        </w:rPr>
      </w:pPr>
      <w:r>
        <w:rPr>
          <w:rFonts w:hint="eastAsia"/>
          <w:lang w:val="zh-CN"/>
        </w:rPr>
        <w:t>12月12日，南雄汽车站在南雄火车站广场对面举行新站建设奠基仪式。南雄汽车站新站位于南雄火车站广场对面，占地面积4.51万平方米，工程建设总投资约1亿元，建设工程分两期，第一期为新客运站及修理厂房等建设，第二期为司机宿舍和其他附属建设。2018年汽车站完成初步规划设计方案，目正开展土地招挂牌工作。新站建成后，将成为集客运、物流、旅游集散于一体的综合客运枢纽，促进全市交通基础建设水平提高。</w:t>
      </w:r>
    </w:p>
    <w:p w14:paraId="6EF02CF1">
      <w:pPr>
        <w:pStyle w:val="4"/>
        <w:bidi w:val="0"/>
        <w:rPr>
          <w:rFonts w:hint="eastAsia"/>
          <w:lang w:val="zh-CN"/>
        </w:rPr>
      </w:pPr>
      <w:r>
        <w:rPr>
          <w:rFonts w:hint="eastAsia"/>
          <w:lang w:val="zh-CN"/>
        </w:rPr>
        <w:t>【班次、线路】</w:t>
      </w:r>
    </w:p>
    <w:p w14:paraId="07A7E70B">
      <w:pPr>
        <w:bidi w:val="0"/>
        <w:rPr>
          <w:rFonts w:hint="eastAsia"/>
          <w:lang w:val="zh-CN"/>
        </w:rPr>
      </w:pPr>
      <w:r>
        <w:rPr>
          <w:rFonts w:hint="eastAsia"/>
          <w:lang w:val="zh-CN"/>
        </w:rPr>
        <w:t>主要运输线路：深圳每天4班，广州每天5班，东莞每天2班，番禺每天2班，佛山每天3班，珠海每天2班，花都每天1班，惠州每天1班，清远每天1班。</w:t>
      </w:r>
    </w:p>
    <w:p w14:paraId="7EA4A782">
      <w:pPr>
        <w:bidi w:val="0"/>
        <w:rPr>
          <w:rFonts w:hint="eastAsia"/>
          <w:lang w:val="zh-CN"/>
        </w:rPr>
      </w:pPr>
      <w:r>
        <w:rPr>
          <w:rFonts w:hint="eastAsia"/>
          <w:lang w:val="zh-CN"/>
        </w:rPr>
        <w:t>南雄至韶关线：早上6∶20时至晚上18∶40时（每隔20分钟一趟），有18个普通班次、15个高速班次；南雄至韶关高铁站早上6∶20时至下午15∶40时，有11个班次；节假日临时增加班次。</w:t>
      </w:r>
    </w:p>
    <w:p w14:paraId="053466C2">
      <w:pPr>
        <w:bidi w:val="0"/>
        <w:rPr>
          <w:rFonts w:hint="eastAsia"/>
          <w:lang w:val="zh-CN"/>
        </w:rPr>
      </w:pPr>
      <w:r>
        <w:rPr>
          <w:rFonts w:hint="eastAsia"/>
          <w:lang w:val="zh-CN"/>
        </w:rPr>
        <w:t>公交线：湖口线上午6∶40——下午16∶40，约每40分钟一班，大福名城线上午7∶40——下午16∶40，约每20分钟一班，全安线上午6∶20——下午17∶45约每20分钟一班，古市线上午6∶30——下午18∶10，约每20分钟一班，主田线上午6∶30——下午17∶35，约每30分钟一班，珠玑线上午6∶20——下午17∶40，约每20分钟一班，江头线上午6∶20——下午19∶10，约每20分钟一班。</w:t>
      </w:r>
    </w:p>
    <w:p w14:paraId="4BFFF672">
      <w:pPr>
        <w:bidi w:val="0"/>
        <w:rPr>
          <w:rFonts w:hint="eastAsia"/>
          <w:lang w:val="zh-CN"/>
        </w:rPr>
      </w:pPr>
      <w:r>
        <w:rPr>
          <w:rFonts w:hint="eastAsia"/>
          <w:lang w:val="zh-CN"/>
        </w:rPr>
        <w:t>乡镇线：乌迳、黄坑、南亩、水口、邓坊、大塘均隔20-40分钟一班；赤石上午6∶10至下午17∶50，约每40分钟一趟。界址每天7班；分水坳每天4班；坪田坳每天2班；百顺每天4班；大坪每天3班。</w:t>
      </w:r>
    </w:p>
    <w:p w14:paraId="03C8154B">
      <w:pPr>
        <w:bidi w:val="0"/>
        <w:rPr>
          <w:rFonts w:hint="eastAsia"/>
          <w:lang w:val="zh-CN"/>
        </w:rPr>
      </w:pPr>
      <w:r>
        <w:rPr>
          <w:rFonts w:hint="eastAsia"/>
          <w:lang w:val="zh-CN"/>
        </w:rPr>
        <w:t>跨省班次：韶关至信丰每天2班（过路车）；南雄至大余每隔30分钟一班；南雄至陂头每天2班。（黄慧燕）</w:t>
      </w:r>
    </w:p>
    <w:p w14:paraId="7A2E4804">
      <w:pPr>
        <w:pStyle w:val="11"/>
        <w:bidi w:val="0"/>
        <w:rPr>
          <w:rFonts w:hint="eastAsia"/>
          <w:b/>
          <w:bCs/>
          <w:lang w:val="zh-CN"/>
        </w:rPr>
      </w:pPr>
      <w:r>
        <w:rPr>
          <w:rFonts w:hint="eastAsia"/>
          <w:b/>
          <w:bCs/>
          <w:lang w:val="zh-CN"/>
        </w:rPr>
        <w:t>附：2018年韶关市粤运汽车运输有限公司南雄汽车站领导班子成员名单</w:t>
      </w:r>
    </w:p>
    <w:p w14:paraId="647C665F">
      <w:pPr>
        <w:pStyle w:val="11"/>
        <w:bidi w:val="0"/>
        <w:rPr>
          <w:rFonts w:hint="eastAsia"/>
          <w:lang w:val="zh-CN"/>
        </w:rPr>
      </w:pPr>
      <w:r>
        <w:rPr>
          <w:rFonts w:hint="eastAsia"/>
          <w:b/>
          <w:bCs/>
          <w:lang w:val="zh-CN"/>
        </w:rPr>
        <w:t>站</w:t>
      </w:r>
      <w:r>
        <w:rPr>
          <w:rFonts w:hint="eastAsia"/>
          <w:b/>
          <w:bCs/>
          <w:lang w:val="en-US" w:eastAsia="zh-CN"/>
        </w:rPr>
        <w:t xml:space="preserve">  </w:t>
      </w:r>
      <w:r>
        <w:rPr>
          <w:rFonts w:hint="eastAsia"/>
          <w:b/>
          <w:bCs/>
          <w:lang w:val="zh-CN"/>
        </w:rPr>
        <w:t>长：</w:t>
      </w:r>
      <w:r>
        <w:rPr>
          <w:rFonts w:hint="eastAsia"/>
          <w:lang w:val="zh-CN"/>
        </w:rPr>
        <w:t>李应海</w:t>
      </w:r>
    </w:p>
    <w:p w14:paraId="1974653E">
      <w:pPr>
        <w:pStyle w:val="11"/>
        <w:bidi w:val="0"/>
        <w:rPr>
          <w:rFonts w:hint="eastAsia"/>
          <w:lang w:val="zh-CN"/>
        </w:rPr>
      </w:pPr>
      <w:r>
        <w:rPr>
          <w:rFonts w:hint="eastAsia"/>
          <w:b/>
          <w:bCs/>
          <w:lang w:val="zh-CN"/>
        </w:rPr>
        <w:t>副站长：</w:t>
      </w:r>
      <w:r>
        <w:rPr>
          <w:rFonts w:hint="eastAsia"/>
          <w:lang w:val="zh-CN"/>
        </w:rPr>
        <w:t>叶</w:t>
      </w:r>
      <w:r>
        <w:rPr>
          <w:rFonts w:hint="eastAsia"/>
          <w:lang w:val="en-US" w:eastAsia="zh-CN"/>
        </w:rPr>
        <w:t xml:space="preserve">  </w:t>
      </w:r>
      <w:r>
        <w:rPr>
          <w:rFonts w:hint="eastAsia"/>
          <w:lang w:val="zh-CN"/>
        </w:rPr>
        <w:t>平</w:t>
      </w:r>
      <w:r>
        <w:rPr>
          <w:rFonts w:hint="eastAsia"/>
          <w:lang w:val="en-US" w:eastAsia="zh-CN"/>
        </w:rPr>
        <w:t xml:space="preserve">   </w:t>
      </w:r>
      <w:r>
        <w:rPr>
          <w:rFonts w:hint="eastAsia"/>
          <w:lang w:val="zh-CN"/>
        </w:rPr>
        <w:t>钟卫强</w:t>
      </w:r>
    </w:p>
    <w:p w14:paraId="2FDAFB74">
      <w:pPr>
        <w:pStyle w:val="3"/>
        <w:bidi w:val="0"/>
        <w:rPr>
          <w:rFonts w:hint="eastAsia"/>
          <w:lang w:val="zh-CN"/>
        </w:rPr>
      </w:pPr>
      <w:r>
        <w:rPr>
          <w:rFonts w:hint="eastAsia"/>
          <w:lang w:val="zh-CN"/>
        </w:rPr>
        <w:t>邮政</w:t>
      </w:r>
    </w:p>
    <w:p w14:paraId="09D580AF">
      <w:pPr>
        <w:pStyle w:val="4"/>
        <w:bidi w:val="0"/>
        <w:rPr>
          <w:rFonts w:hint="eastAsia"/>
          <w:lang w:val="zh-CN"/>
        </w:rPr>
      </w:pPr>
      <w:r>
        <w:rPr>
          <w:rFonts w:hint="eastAsia"/>
          <w:lang w:val="zh-CN"/>
        </w:rPr>
        <w:t>【概况】</w:t>
      </w:r>
    </w:p>
    <w:p w14:paraId="2E966DED">
      <w:pPr>
        <w:bidi w:val="0"/>
        <w:rPr>
          <w:rFonts w:hint="eastAsia"/>
          <w:lang w:val="zh-CN"/>
        </w:rPr>
      </w:pPr>
      <w:r>
        <w:rPr>
          <w:rFonts w:hint="eastAsia"/>
          <w:lang w:val="zh-CN"/>
        </w:rPr>
        <w:t>中国邮政集团公广东省南雄市分公司内设综合办公室、市场部、金融部；下辖21个网点，其中12个纯邮政网点、10个综合网点；125个电子商务服务站（中心）、68个助农取款点、17台金融服务自助设备；开设雄坪线、雄界线、雄百线等3条市趟邮路；42位投递员承担着48条段道投递工作，邮路总长度（单程）1376千米，其中42条摩托车邮路，平均每条段道长39.8千米；208处村邮站捎转点，490个信箱和信筒，网点平均服务面积80平方米，平均服务人口3万人。开办业务种类有：函件、包裹、报刊发行、储蓄汇兑、分销物流、代理保险、集邮等。</w:t>
      </w:r>
    </w:p>
    <w:p w14:paraId="31220BAD">
      <w:pPr>
        <w:pStyle w:val="4"/>
        <w:bidi w:val="0"/>
        <w:rPr>
          <w:rFonts w:hint="eastAsia"/>
          <w:lang w:val="zh-CN"/>
        </w:rPr>
      </w:pPr>
      <w:r>
        <w:rPr>
          <w:rFonts w:hint="eastAsia"/>
          <w:lang w:val="zh-CN"/>
        </w:rPr>
        <w:t>【党建工作】</w:t>
      </w:r>
    </w:p>
    <w:p w14:paraId="284179B8">
      <w:pPr>
        <w:bidi w:val="0"/>
        <w:rPr>
          <w:rFonts w:hint="eastAsia"/>
          <w:lang w:val="zh-CN"/>
        </w:rPr>
      </w:pPr>
      <w:r>
        <w:rPr>
          <w:rFonts w:hint="eastAsia"/>
          <w:lang w:val="zh-CN"/>
        </w:rPr>
        <w:t>利用南雄大塘邮政所自有物业修缮场地，投入约20万元，打造韶关地区首个红色主题邮局，创建红色革命教育基地及红色文化旅游产品基地。充分发挥党小组作用，将党建工作与网点中心工作深度融合，确保网点“稳健经营、稳步发展”。</w:t>
      </w:r>
    </w:p>
    <w:p w14:paraId="1C278B01">
      <w:pPr>
        <w:pStyle w:val="4"/>
        <w:bidi w:val="0"/>
        <w:rPr>
          <w:rFonts w:hint="eastAsia"/>
          <w:lang w:val="zh-CN"/>
        </w:rPr>
      </w:pPr>
      <w:r>
        <w:rPr>
          <w:rFonts w:hint="eastAsia"/>
          <w:lang w:val="zh-CN"/>
        </w:rPr>
        <w:t>【经营管理】</w:t>
      </w:r>
    </w:p>
    <w:p w14:paraId="3E086904">
      <w:pPr>
        <w:bidi w:val="0"/>
        <w:rPr>
          <w:rFonts w:hint="eastAsia"/>
          <w:lang w:val="zh-CN"/>
        </w:rPr>
      </w:pPr>
      <w:r>
        <w:rPr>
          <w:rFonts w:hint="eastAsia"/>
          <w:lang w:val="zh-CN"/>
        </w:rPr>
        <w:t>拓展“农村电商+寄递+金融”一体式服务：电商寄递持续放量，全年累计收寄快递包裹18.81万件，同比增幅170%；累计收寄EMS特快邮件6.33万件，同比增幅117%。在电商服务站和偏远乡村开设助农取款服务点，全年助农取款交易累计4.27万笔，交易金额3032.94万元。开展金融知识普及宣传服务，累计举办金融知识宣传活动510场，到场人数6459人次。2018年末邮政企业余额规模达到25.48亿元。加强普遍服务保障能力，打好“三大歼灭战”，开展“一封信一颗心”主题教育，提高全体投递人员思想觉悟和责任意识，并将普遍服务情况纳入月度经营分析内容。组织召开2期普遍服务标准暨质量管理培训，围绕普邮投递质量提升、寄递渠道安全、扫黄打非、全民禁毒等重点工作加强验视，签订“扫黄打非”责任书，对各邮政局所检查覆盖率达到100%。加大投递深度、投递频次检查，对《人民日报》《求是》等党报党刊，确保城区及乡镇党政机关当日见报率100%。</w:t>
      </w:r>
    </w:p>
    <w:p w14:paraId="30D4CBBB">
      <w:pPr>
        <w:pStyle w:val="4"/>
        <w:bidi w:val="0"/>
        <w:rPr>
          <w:rFonts w:hint="eastAsia"/>
          <w:lang w:val="zh-CN"/>
        </w:rPr>
      </w:pPr>
      <w:r>
        <w:rPr>
          <w:rFonts w:hint="eastAsia"/>
          <w:lang w:val="zh-CN"/>
        </w:rPr>
        <w:t>【企业建设】</w:t>
      </w:r>
    </w:p>
    <w:p w14:paraId="23272D8D">
      <w:pPr>
        <w:bidi w:val="0"/>
        <w:rPr>
          <w:rFonts w:hint="eastAsia"/>
          <w:lang w:val="zh-CN"/>
        </w:rPr>
      </w:pPr>
      <w:r>
        <w:rPr>
          <w:rFonts w:hint="eastAsia"/>
          <w:lang w:val="zh-CN"/>
        </w:rPr>
        <w:t>开展家文化创建活动，设置家文化宣传阵地，投入6.9万元对职工之家活动室和阅览室进行整治。珠玑支局荣获2014-2018年度“广东省邮政模范职工小家标兵”称号；2018年雄州支局被南雄市妇联授予“巾帼文明岗”称号。</w:t>
      </w:r>
    </w:p>
    <w:p w14:paraId="2C2A47F9">
      <w:pPr>
        <w:bidi w:val="0"/>
        <w:jc w:val="right"/>
        <w:rPr>
          <w:rFonts w:hint="eastAsia"/>
          <w:b/>
          <w:bCs/>
          <w:lang w:val="zh-CN"/>
        </w:rPr>
      </w:pPr>
      <w:r>
        <w:rPr>
          <w:rFonts w:hint="eastAsia"/>
          <w:b/>
          <w:bCs/>
          <w:lang w:val="zh-CN"/>
        </w:rPr>
        <w:t>（梁</w:t>
      </w:r>
      <w:r>
        <w:rPr>
          <w:rFonts w:hint="eastAsia"/>
          <w:b/>
          <w:bCs/>
          <w:lang w:val="en-US" w:eastAsia="zh-CN"/>
        </w:rPr>
        <w:t xml:space="preserve">  </w:t>
      </w:r>
      <w:r>
        <w:rPr>
          <w:rFonts w:hint="eastAsia"/>
          <w:b/>
          <w:bCs/>
          <w:lang w:val="zh-CN"/>
        </w:rPr>
        <w:t>艳）</w:t>
      </w:r>
    </w:p>
    <w:p w14:paraId="3D1DFB2A">
      <w:pPr>
        <w:pStyle w:val="11"/>
        <w:bidi w:val="0"/>
        <w:rPr>
          <w:rFonts w:hint="eastAsia"/>
          <w:b/>
          <w:bCs/>
          <w:lang w:val="zh-CN"/>
        </w:rPr>
      </w:pPr>
      <w:r>
        <w:rPr>
          <w:rFonts w:hint="eastAsia"/>
          <w:b/>
          <w:bCs/>
          <w:lang w:val="zh-CN"/>
        </w:rPr>
        <w:t>附：2018年市邮政分公司领导班子成员名单</w:t>
      </w:r>
    </w:p>
    <w:p w14:paraId="2A44C066">
      <w:pPr>
        <w:pStyle w:val="11"/>
        <w:bidi w:val="0"/>
        <w:rPr>
          <w:rFonts w:hint="eastAsia"/>
          <w:lang w:val="zh-CN"/>
        </w:rPr>
      </w:pPr>
      <w:r>
        <w:rPr>
          <w:rFonts w:hint="eastAsia"/>
          <w:b/>
          <w:bCs/>
          <w:lang w:val="zh-CN"/>
        </w:rPr>
        <w:t>党支部书记、总经理：</w:t>
      </w:r>
      <w:r>
        <w:rPr>
          <w:rFonts w:hint="eastAsia"/>
          <w:lang w:val="zh-CN"/>
        </w:rPr>
        <w:t>邓建明</w:t>
      </w:r>
    </w:p>
    <w:p w14:paraId="6F5DF92C">
      <w:pPr>
        <w:pStyle w:val="11"/>
        <w:bidi w:val="0"/>
        <w:rPr>
          <w:rFonts w:hint="eastAsia"/>
          <w:lang w:val="zh-CN"/>
        </w:rPr>
      </w:pPr>
      <w:r>
        <w:rPr>
          <w:rFonts w:hint="eastAsia"/>
          <w:b/>
          <w:bCs/>
          <w:lang w:val="zh-CN"/>
        </w:rPr>
        <w:t>副总经理：</w:t>
      </w:r>
      <w:r>
        <w:rPr>
          <w:rFonts w:hint="eastAsia"/>
          <w:lang w:val="zh-CN"/>
        </w:rPr>
        <w:t>何著光</w:t>
      </w:r>
      <w:r>
        <w:rPr>
          <w:rFonts w:hint="eastAsia"/>
          <w:lang w:val="en-US" w:eastAsia="zh-CN"/>
        </w:rPr>
        <w:t xml:space="preserve">  </w:t>
      </w:r>
      <w:r>
        <w:rPr>
          <w:rFonts w:hint="eastAsia"/>
          <w:lang w:val="zh-CN"/>
        </w:rPr>
        <w:t>赵妙娟</w:t>
      </w:r>
    </w:p>
    <w:p w14:paraId="567109C5">
      <w:pPr>
        <w:pStyle w:val="11"/>
        <w:bidi w:val="0"/>
        <w:ind w:leftChars="500"/>
        <w:rPr>
          <w:rFonts w:hint="eastAsia"/>
          <w:lang w:val="zh-CN"/>
        </w:rPr>
      </w:pPr>
      <w:r>
        <w:rPr>
          <w:rFonts w:hint="eastAsia"/>
          <w:lang w:val="zh-CN"/>
        </w:rPr>
        <w:t>曾凡兰</w:t>
      </w:r>
    </w:p>
    <w:p w14:paraId="1FED02C7">
      <w:pPr>
        <w:pStyle w:val="3"/>
        <w:bidi w:val="0"/>
        <w:rPr>
          <w:rFonts w:hint="eastAsia"/>
          <w:lang w:val="zh-CN"/>
        </w:rPr>
      </w:pPr>
      <w:r>
        <w:rPr>
          <w:rFonts w:hint="eastAsia"/>
          <w:lang w:val="zh-CN"/>
        </w:rPr>
        <w:t>电信</w:t>
      </w:r>
    </w:p>
    <w:p w14:paraId="760CD7C9">
      <w:pPr>
        <w:pStyle w:val="4"/>
        <w:bidi w:val="0"/>
        <w:rPr>
          <w:rFonts w:hint="eastAsia"/>
          <w:lang w:val="zh-CN"/>
        </w:rPr>
      </w:pPr>
      <w:r>
        <w:rPr>
          <w:rFonts w:hint="eastAsia"/>
          <w:lang w:val="zh-CN"/>
        </w:rPr>
        <w:t>【概况】</w:t>
      </w:r>
    </w:p>
    <w:p w14:paraId="21404FAE">
      <w:pPr>
        <w:bidi w:val="0"/>
        <w:rPr>
          <w:rFonts w:hint="eastAsia"/>
          <w:lang w:val="zh-CN"/>
        </w:rPr>
      </w:pPr>
      <w:r>
        <w:rPr>
          <w:rFonts w:hint="eastAsia"/>
          <w:lang w:val="zh-CN"/>
        </w:rPr>
        <w:t>中国电信股份有限公司南雄分公司（以下简称南雄电信）设有综合部、销售部、客响部三个部门，一个政企客户服务中心以及城区、珠玑、黄坑、乌迳、全安5个营销服务中心。2018年南雄电信员工119人。</w:t>
      </w:r>
    </w:p>
    <w:p w14:paraId="3326DBCB">
      <w:pPr>
        <w:pStyle w:val="4"/>
        <w:bidi w:val="0"/>
        <w:rPr>
          <w:rFonts w:hint="eastAsia"/>
          <w:lang w:val="zh-CN"/>
        </w:rPr>
      </w:pPr>
      <w:r>
        <w:rPr>
          <w:rFonts w:hint="eastAsia"/>
          <w:lang w:val="zh-CN"/>
        </w:rPr>
        <w:t>【经营情况】</w:t>
      </w:r>
    </w:p>
    <w:p w14:paraId="38BD4C91">
      <w:pPr>
        <w:bidi w:val="0"/>
        <w:rPr>
          <w:rFonts w:hint="eastAsia"/>
          <w:lang w:val="zh-CN"/>
        </w:rPr>
      </w:pPr>
      <w:r>
        <w:rPr>
          <w:rFonts w:hint="eastAsia"/>
          <w:lang w:val="zh-CN"/>
        </w:rPr>
        <w:t>2018年，南雄电信完成生产经营指标，完成率达101.36%。</w:t>
      </w:r>
    </w:p>
    <w:p w14:paraId="3F4D54A9">
      <w:pPr>
        <w:pStyle w:val="4"/>
        <w:bidi w:val="0"/>
        <w:rPr>
          <w:rFonts w:hint="eastAsia"/>
          <w:lang w:val="zh-CN"/>
        </w:rPr>
      </w:pPr>
      <w:r>
        <w:rPr>
          <w:rFonts w:hint="eastAsia"/>
          <w:lang w:val="zh-CN"/>
        </w:rPr>
        <w:t>【服务能力】</w:t>
      </w:r>
    </w:p>
    <w:p w14:paraId="7AFF3741">
      <w:pPr>
        <w:bidi w:val="0"/>
        <w:rPr>
          <w:rFonts w:hint="eastAsia"/>
          <w:lang w:val="zh-CN"/>
        </w:rPr>
      </w:pPr>
      <w:r>
        <w:rPr>
          <w:rFonts w:hint="eastAsia"/>
          <w:lang w:val="zh-CN"/>
        </w:rPr>
        <w:t>开展总经理接待日，在各主要营业网点设立投诉意见簿及投诉信箱，公开透明投诉建议流程，让广大人民群众共同参与及监督分公司服务水平提升。助力“智慧南雄”工作开展，完成全市250个村党教点高清机顶盒更换；完成全市68个贫困村专用机顶盒更换，并赠送55寸4K高清电视；协助教育局开展“教育云”项目，合作的“同步课堂”及中考视频监控平台项目，符合教育主管部门教育公平教育均衡工作目标；协助卫计局开展“医疗云”项目，在南雄人民医院应用广泛；推出电视端定制个性化开机首页，为客户提供企业LOGO加载、跑马灯消息、客户视频加载、视频会议、定时开关机等功能服务。</w:t>
      </w:r>
    </w:p>
    <w:p w14:paraId="651A5694">
      <w:pPr>
        <w:pStyle w:val="4"/>
        <w:bidi w:val="0"/>
        <w:rPr>
          <w:rFonts w:hint="eastAsia"/>
          <w:lang w:val="zh-CN"/>
        </w:rPr>
      </w:pPr>
      <w:r>
        <w:rPr>
          <w:rFonts w:hint="eastAsia"/>
          <w:lang w:val="zh-CN"/>
        </w:rPr>
        <w:t>【网络保障】</w:t>
      </w:r>
    </w:p>
    <w:p w14:paraId="6AA056F3">
      <w:pPr>
        <w:bidi w:val="0"/>
        <w:rPr>
          <w:rFonts w:hint="eastAsia"/>
          <w:lang w:val="zh-CN"/>
        </w:rPr>
      </w:pPr>
      <w:r>
        <w:rPr>
          <w:rFonts w:hint="eastAsia"/>
          <w:lang w:val="zh-CN"/>
        </w:rPr>
        <w:t>助力市政府重点工程项目建设，完成光网建设投资353万元，对458个自然村或地点安装光分箱，其中农村投资125万元建设265个点，光覆盖率达到城市98%，行政村100%，自然村82%，为当地老百姓提供电信高速快捷的网络体验范围；完成4G建设投资500万元，覆盖率达到城市98%，行政村92%，自然村80%，解决部分地区电信4G信号薄弱覆盖，为广大市民信息联络提供支撑；协助政府完成崇贤大道扩建改造杆路搬迁、中医院新建综合大楼杆路搬迁、北城大道莲塘路口架空改管道搬迁、帽子峰林场路口至澜河4千米临时搬迁光缆线路。</w:t>
      </w:r>
    </w:p>
    <w:p w14:paraId="7EF9A836">
      <w:pPr>
        <w:pStyle w:val="4"/>
        <w:bidi w:val="0"/>
        <w:rPr>
          <w:rFonts w:hint="eastAsia"/>
          <w:lang w:val="zh-CN"/>
        </w:rPr>
      </w:pPr>
      <w:r>
        <w:rPr>
          <w:rFonts w:hint="eastAsia"/>
          <w:lang w:val="zh-CN"/>
        </w:rPr>
        <w:t>【行业扶贫】</w:t>
      </w:r>
    </w:p>
    <w:p w14:paraId="6714FE42">
      <w:pPr>
        <w:bidi w:val="0"/>
        <w:rPr>
          <w:rFonts w:hint="eastAsia"/>
          <w:lang w:val="zh-CN"/>
        </w:rPr>
      </w:pPr>
      <w:r>
        <w:rPr>
          <w:rFonts w:hint="eastAsia"/>
          <w:lang w:val="zh-CN"/>
        </w:rPr>
        <w:t>投资125万元，对油山平林，澜河葛坪，南亩中寺、官田，古市三角岭、小坑，邓坊洋西，百顺湖地、界址百罗等区域进行光网建设，为当地村民提供高速稳定的信息化网络。农村区域投资340万元建设4G基站，解决部分地区4G信号弱覆盖问题，为广大村民信息通讯提供支撑。电信、移动、联通三家运营商通力合作，在2018年年底解决贫困户网络信号问题。对贫困户开展免费送手机等活动，让贫困户享受到信息化带来的便利。</w:t>
      </w:r>
    </w:p>
    <w:p w14:paraId="48CB98CE">
      <w:pPr>
        <w:pStyle w:val="4"/>
        <w:bidi w:val="0"/>
        <w:rPr>
          <w:rFonts w:hint="eastAsia"/>
          <w:lang w:val="zh-CN"/>
        </w:rPr>
      </w:pPr>
      <w:r>
        <w:rPr>
          <w:rFonts w:hint="eastAsia"/>
          <w:lang w:val="zh-CN"/>
        </w:rPr>
        <w:t>【获得荣誉】</w:t>
      </w:r>
    </w:p>
    <w:p w14:paraId="07776729">
      <w:pPr>
        <w:bidi w:val="0"/>
        <w:rPr>
          <w:rFonts w:hint="eastAsia"/>
          <w:lang w:val="zh-CN"/>
        </w:rPr>
      </w:pPr>
      <w:r>
        <w:rPr>
          <w:rFonts w:hint="eastAsia"/>
          <w:lang w:val="zh-CN"/>
        </w:rPr>
        <w:t>乌迳营服中心、客响部综合维护中心分别获中国电信广东公司群众性竞赛之创新竞赛“市场运营创新先锋号”和“网络运营创新先锋号”称号。张红丹、欧文显、李家红分别获中国电信广东公司群众性竞赛之创新竞赛“优秀小CEO”“市场运营创新标兵”“服务管控创新标兵”称号。曾德平、刘海群均获2018年度中国电信广东公司群众性竞赛之创新竞赛“网络运营创新标兵”称号。</w:t>
      </w:r>
    </w:p>
    <w:p w14:paraId="54230732">
      <w:pPr>
        <w:bidi w:val="0"/>
        <w:jc w:val="right"/>
        <w:rPr>
          <w:rFonts w:hint="eastAsia"/>
          <w:b/>
          <w:bCs/>
          <w:lang w:val="zh-CN"/>
        </w:rPr>
      </w:pPr>
      <w:r>
        <w:rPr>
          <w:rFonts w:hint="eastAsia"/>
          <w:b/>
          <w:bCs/>
          <w:lang w:val="zh-CN"/>
        </w:rPr>
        <w:t>（李家红）</w:t>
      </w:r>
    </w:p>
    <w:p w14:paraId="375757BE">
      <w:pPr>
        <w:pStyle w:val="11"/>
        <w:bidi w:val="0"/>
        <w:rPr>
          <w:rFonts w:hint="eastAsia"/>
          <w:b/>
          <w:bCs/>
          <w:lang w:val="zh-CN"/>
        </w:rPr>
      </w:pPr>
      <w:r>
        <w:rPr>
          <w:rFonts w:hint="eastAsia"/>
          <w:b/>
          <w:bCs/>
          <w:lang w:val="zh-CN"/>
        </w:rPr>
        <w:t>附：2018年中国电信南雄分公司领导班子成员名单</w:t>
      </w:r>
    </w:p>
    <w:p w14:paraId="1A48A362">
      <w:pPr>
        <w:pStyle w:val="11"/>
        <w:bidi w:val="0"/>
        <w:rPr>
          <w:rFonts w:hint="eastAsia"/>
          <w:lang w:val="zh-CN"/>
        </w:rPr>
      </w:pPr>
      <w:r>
        <w:rPr>
          <w:rFonts w:hint="eastAsia"/>
          <w:b/>
          <w:bCs/>
          <w:lang w:val="zh-CN"/>
        </w:rPr>
        <w:t>总</w:t>
      </w:r>
      <w:r>
        <w:rPr>
          <w:rFonts w:hint="eastAsia"/>
          <w:b/>
          <w:bCs/>
          <w:lang w:val="en-US" w:eastAsia="zh-CN"/>
        </w:rPr>
        <w:t xml:space="preserve"> </w:t>
      </w:r>
      <w:r>
        <w:rPr>
          <w:rFonts w:hint="eastAsia"/>
          <w:b/>
          <w:bCs/>
          <w:lang w:val="zh-CN"/>
        </w:rPr>
        <w:t>经</w:t>
      </w:r>
      <w:r>
        <w:rPr>
          <w:rFonts w:hint="eastAsia"/>
          <w:b/>
          <w:bCs/>
          <w:lang w:val="en-US" w:eastAsia="zh-CN"/>
        </w:rPr>
        <w:t xml:space="preserve"> </w:t>
      </w:r>
      <w:r>
        <w:rPr>
          <w:rFonts w:hint="eastAsia"/>
          <w:b/>
          <w:bCs/>
          <w:lang w:val="zh-CN"/>
        </w:rPr>
        <w:t>理：</w:t>
      </w:r>
      <w:r>
        <w:rPr>
          <w:rFonts w:hint="eastAsia"/>
          <w:lang w:val="zh-CN"/>
        </w:rPr>
        <w:t>黄春海</w:t>
      </w:r>
    </w:p>
    <w:p w14:paraId="0732CAA9">
      <w:pPr>
        <w:pStyle w:val="11"/>
        <w:bidi w:val="0"/>
        <w:rPr>
          <w:rFonts w:hint="eastAsia"/>
          <w:lang w:val="zh-CN"/>
        </w:rPr>
      </w:pPr>
      <w:r>
        <w:rPr>
          <w:rFonts w:hint="eastAsia"/>
          <w:b/>
          <w:bCs/>
          <w:lang w:val="zh-CN"/>
        </w:rPr>
        <w:t>副总经理：</w:t>
      </w:r>
      <w:r>
        <w:rPr>
          <w:rFonts w:hint="eastAsia"/>
          <w:lang w:val="zh-CN"/>
        </w:rPr>
        <w:t>尹宏生</w:t>
      </w:r>
      <w:r>
        <w:rPr>
          <w:rFonts w:hint="eastAsia"/>
          <w:lang w:val="en-US" w:eastAsia="zh-CN"/>
        </w:rPr>
        <w:t xml:space="preserve">   </w:t>
      </w:r>
      <w:r>
        <w:rPr>
          <w:rFonts w:hint="eastAsia"/>
          <w:lang w:val="zh-CN"/>
        </w:rPr>
        <w:t>程伟韬</w:t>
      </w:r>
    </w:p>
    <w:p w14:paraId="743720D7">
      <w:pPr>
        <w:pStyle w:val="3"/>
        <w:bidi w:val="0"/>
        <w:rPr>
          <w:rFonts w:hint="eastAsia"/>
          <w:lang w:val="zh-CN"/>
        </w:rPr>
      </w:pPr>
      <w:r>
        <w:rPr>
          <w:rFonts w:hint="eastAsia"/>
          <w:lang w:val="zh-CN"/>
        </w:rPr>
        <w:t>联通通信</w:t>
      </w:r>
    </w:p>
    <w:p w14:paraId="059D06C4">
      <w:pPr>
        <w:pStyle w:val="4"/>
        <w:bidi w:val="0"/>
        <w:rPr>
          <w:rFonts w:hint="eastAsia"/>
          <w:lang w:val="zh-CN"/>
        </w:rPr>
      </w:pPr>
      <w:r>
        <w:rPr>
          <w:rFonts w:hint="eastAsia"/>
          <w:lang w:val="zh-CN"/>
        </w:rPr>
        <w:t>【概况】</w:t>
      </w:r>
    </w:p>
    <w:p w14:paraId="11BADA5F">
      <w:pPr>
        <w:bidi w:val="0"/>
        <w:rPr>
          <w:rFonts w:hint="eastAsia"/>
          <w:lang w:val="zh-CN"/>
        </w:rPr>
      </w:pPr>
      <w:r>
        <w:rPr>
          <w:rFonts w:hint="eastAsia"/>
          <w:lang w:val="zh-CN"/>
        </w:rPr>
        <w:t>中国联通南雄分公司隶属中国联合网络通信有限公司韶关市分公司，是南雄市全业务经营通信企业。设有公众营服中心、政要营服中心、营业中心、综合支撑4个职能模块，下设青云路营业厅、建设路营业厅两个对外服务窗口，代理服务网点遍布南雄市各乡镇。南雄分公司现有在职员工20人，其中本科学历以上人员占70%，2018年度获得韶关市公司“最佳公众营服团队、业绩进步奖”荣誉称号。</w:t>
      </w:r>
    </w:p>
    <w:p w14:paraId="12D6D077">
      <w:pPr>
        <w:pStyle w:val="4"/>
        <w:bidi w:val="0"/>
        <w:rPr>
          <w:rFonts w:hint="eastAsia"/>
          <w:lang w:val="zh-CN"/>
        </w:rPr>
      </w:pPr>
      <w:r>
        <w:rPr>
          <w:rFonts w:hint="eastAsia"/>
          <w:lang w:val="zh-CN"/>
        </w:rPr>
        <w:t>【打造优越服务】</w:t>
      </w:r>
    </w:p>
    <w:p w14:paraId="45E18399">
      <w:pPr>
        <w:bidi w:val="0"/>
        <w:rPr>
          <w:rFonts w:hint="eastAsia"/>
          <w:lang w:val="zh-CN"/>
        </w:rPr>
      </w:pPr>
      <w:r>
        <w:rPr>
          <w:rFonts w:hint="eastAsia"/>
          <w:lang w:val="zh-CN"/>
        </w:rPr>
        <w:t>基站建设方面，新建4G基站28个，新增4G站点59个，宽带总端口8300个，全年站点投资2000万元，基本完成城区和乡镇4G信号全覆盖，督办解决重点感知问题，解决率90%；业务服务方面，做到百分百微笑、以诚相待，业务办理零差错，秉承“百倍用心，10分满意”的全心服务理念，服务满意率达到100%；员工学习方面，参加省公司《关于开展实体渠道大培训、大会战、大交流活动》全渠道O2O训练营自有人员培训，相互交流、相互学习，使一线员工服务和销售技能得到提升。</w:t>
      </w:r>
    </w:p>
    <w:p w14:paraId="0B3474E5">
      <w:pPr>
        <w:pStyle w:val="4"/>
        <w:bidi w:val="0"/>
        <w:rPr>
          <w:rFonts w:hint="eastAsia"/>
          <w:lang w:val="zh-CN"/>
        </w:rPr>
      </w:pPr>
      <w:r>
        <w:rPr>
          <w:rFonts w:hint="eastAsia"/>
          <w:lang w:val="zh-CN"/>
        </w:rPr>
        <w:t>【信息化建设】</w:t>
      </w:r>
    </w:p>
    <w:p w14:paraId="0F70369D">
      <w:pPr>
        <w:bidi w:val="0"/>
        <w:rPr>
          <w:rFonts w:hint="eastAsia"/>
          <w:lang w:val="zh-CN"/>
        </w:rPr>
      </w:pPr>
      <w:r>
        <w:rPr>
          <w:rFonts w:hint="eastAsia"/>
          <w:lang w:val="zh-CN"/>
        </w:rPr>
        <w:t>联通率先开通第一个5G基站，在韶关高铁站开放首个5G体验区，峰值下载速率可达到10G。在助力南雄智慧新警务方面，通过新一代移动终端融合现代科技、应用实战功能、信息数据安全等特点，实现数据从云端到实战终端的双向互动运用；在助力南雄智慧旅游方面，通过围绕“吃、住、行、游、购、娱”开展网上预订、在线销售业务，为人们出行、住宿、旅游提供完善而实惠的一站式服务；在助力工业互联网方面，通过机器互联和数据收集整理，使装备云、仓储云、能耗云等为企业降低成本、提高运营效率，实现商业模式创新；在助力南雄智慧党建云方面，依托联通沃云、大数据、人工智能等基础支撑，构建党建综合服务平台，创造线上线下相互融合促进的工作新格局。</w:t>
      </w:r>
    </w:p>
    <w:p w14:paraId="7AF63476">
      <w:pPr>
        <w:pStyle w:val="4"/>
        <w:bidi w:val="0"/>
        <w:rPr>
          <w:rFonts w:hint="eastAsia"/>
          <w:lang w:val="zh-CN"/>
        </w:rPr>
      </w:pPr>
      <w:r>
        <w:rPr>
          <w:rFonts w:hint="eastAsia"/>
          <w:lang w:val="zh-CN"/>
        </w:rPr>
        <w:t>【规范营销服务】</w:t>
      </w:r>
    </w:p>
    <w:p w14:paraId="40231D6F">
      <w:pPr>
        <w:bidi w:val="0"/>
        <w:rPr>
          <w:rFonts w:hint="eastAsia"/>
          <w:lang w:val="zh-CN"/>
        </w:rPr>
      </w:pPr>
      <w:r>
        <w:rPr>
          <w:rFonts w:hint="eastAsia"/>
          <w:lang w:val="zh-CN"/>
        </w:rPr>
        <w:t>严格贯彻落实国家电话用户实名登记制度，加大管控制度，规范社会渠道管理，杜绝未实名拿卡、售卖已激活卡，对诈骗、骚扰电话、垃圾短信宣传此类做关停处理；根据工信部、集团公司相关工作要求，配合公安机关严厉打击违法犯罪行为，设立举报电话、邮箱等接受社会各界对用户实名制违法行为举报，发现未实名出售卡，及时上报。</w:t>
      </w:r>
    </w:p>
    <w:p w14:paraId="53405AA1">
      <w:pPr>
        <w:bidi w:val="0"/>
        <w:jc w:val="right"/>
        <w:rPr>
          <w:rFonts w:hint="eastAsia"/>
          <w:b/>
          <w:bCs/>
          <w:lang w:val="zh-CN"/>
        </w:rPr>
      </w:pPr>
      <w:r>
        <w:rPr>
          <w:rFonts w:hint="eastAsia"/>
          <w:b/>
          <w:bCs/>
          <w:lang w:val="zh-CN"/>
        </w:rPr>
        <w:t>（卓香莲）</w:t>
      </w:r>
    </w:p>
    <w:p w14:paraId="5B49A2A2">
      <w:pPr>
        <w:pStyle w:val="11"/>
        <w:bidi w:val="0"/>
        <w:rPr>
          <w:rFonts w:hint="eastAsia"/>
          <w:b/>
          <w:bCs/>
          <w:lang w:val="zh-CN"/>
        </w:rPr>
      </w:pPr>
      <w:r>
        <w:rPr>
          <w:rFonts w:hint="eastAsia"/>
          <w:b/>
          <w:bCs/>
          <w:lang w:val="zh-CN"/>
        </w:rPr>
        <w:t>附：2018年中国联通南雄分公司领导班子成员名单</w:t>
      </w:r>
    </w:p>
    <w:p w14:paraId="4EC878A9">
      <w:pPr>
        <w:pStyle w:val="11"/>
        <w:bidi w:val="0"/>
        <w:rPr>
          <w:rFonts w:hint="eastAsia"/>
          <w:lang w:val="zh-CN"/>
        </w:rPr>
      </w:pPr>
      <w:r>
        <w:rPr>
          <w:rFonts w:hint="eastAsia"/>
          <w:b/>
          <w:bCs/>
          <w:lang w:val="zh-CN"/>
        </w:rPr>
        <w:t>总</w:t>
      </w:r>
      <w:r>
        <w:rPr>
          <w:rFonts w:hint="eastAsia"/>
          <w:b/>
          <w:bCs/>
          <w:lang w:val="en-US" w:eastAsia="zh-CN"/>
        </w:rPr>
        <w:t xml:space="preserve"> </w:t>
      </w:r>
      <w:r>
        <w:rPr>
          <w:rFonts w:hint="eastAsia"/>
          <w:b/>
          <w:bCs/>
          <w:lang w:val="zh-CN"/>
        </w:rPr>
        <w:t>经</w:t>
      </w:r>
      <w:r>
        <w:rPr>
          <w:rFonts w:hint="eastAsia"/>
          <w:b/>
          <w:bCs/>
          <w:lang w:val="en-US" w:eastAsia="zh-CN"/>
        </w:rPr>
        <w:t xml:space="preserve"> </w:t>
      </w:r>
      <w:r>
        <w:rPr>
          <w:rFonts w:hint="eastAsia"/>
          <w:b/>
          <w:bCs/>
          <w:lang w:val="zh-CN"/>
        </w:rPr>
        <w:t>理：</w:t>
      </w:r>
      <w:r>
        <w:rPr>
          <w:rFonts w:hint="eastAsia"/>
          <w:lang w:val="zh-CN"/>
        </w:rPr>
        <w:t>陈育武</w:t>
      </w:r>
    </w:p>
    <w:p w14:paraId="73EC3832">
      <w:pPr>
        <w:pStyle w:val="11"/>
        <w:bidi w:val="0"/>
        <w:rPr>
          <w:rFonts w:hint="eastAsia"/>
          <w:lang w:val="zh-CN"/>
        </w:rPr>
      </w:pPr>
      <w:r>
        <w:rPr>
          <w:rFonts w:hint="eastAsia"/>
          <w:b/>
          <w:bCs/>
          <w:lang w:val="zh-CN"/>
        </w:rPr>
        <w:t>副总经理：</w:t>
      </w:r>
      <w:r>
        <w:rPr>
          <w:rFonts w:hint="eastAsia"/>
          <w:lang w:val="zh-CN"/>
        </w:rPr>
        <w:t>吴子津</w:t>
      </w:r>
    </w:p>
    <w:p w14:paraId="38E7A5B8">
      <w:pPr>
        <w:pStyle w:val="3"/>
        <w:bidi w:val="0"/>
        <w:rPr>
          <w:rFonts w:hint="eastAsia"/>
          <w:lang w:val="zh-CN"/>
        </w:rPr>
      </w:pPr>
      <w:r>
        <w:rPr>
          <w:rFonts w:hint="eastAsia"/>
          <w:lang w:val="zh-CN"/>
        </w:rPr>
        <w:t>移动通信</w:t>
      </w:r>
    </w:p>
    <w:p w14:paraId="02E7E7C8">
      <w:pPr>
        <w:pStyle w:val="4"/>
        <w:bidi w:val="0"/>
        <w:rPr>
          <w:rFonts w:hint="eastAsia"/>
          <w:lang w:val="zh-CN"/>
        </w:rPr>
      </w:pPr>
      <w:r>
        <w:rPr>
          <w:rFonts w:hint="eastAsia"/>
          <w:lang w:val="zh-CN"/>
        </w:rPr>
        <w:t>【概况】</w:t>
      </w:r>
    </w:p>
    <w:p w14:paraId="3EA6719E">
      <w:pPr>
        <w:bidi w:val="0"/>
        <w:rPr>
          <w:rFonts w:hint="eastAsia"/>
          <w:lang w:val="zh-CN"/>
        </w:rPr>
      </w:pPr>
      <w:r>
        <w:rPr>
          <w:rFonts w:hint="eastAsia"/>
          <w:lang w:val="zh-CN"/>
        </w:rPr>
        <w:t>中国移动通信集团广东有限公司南雄分公司（以下简称“南雄移动”）成立于1999年，下辖服务厅3个，部门3个，社会渠道81间，现有员工45名，本科以上学历占96%，在职党员比例达25%，平均年龄32岁。2018年，南雄移动获得广东省巾帼文明岗、韶关市诚信单位荣誉称号。</w:t>
      </w:r>
    </w:p>
    <w:p w14:paraId="7D0F0F56">
      <w:pPr>
        <w:pStyle w:val="4"/>
        <w:bidi w:val="0"/>
        <w:rPr>
          <w:rFonts w:hint="eastAsia"/>
          <w:lang w:val="zh-CN"/>
        </w:rPr>
      </w:pPr>
      <w:r>
        <w:rPr>
          <w:rFonts w:hint="eastAsia"/>
          <w:lang w:val="zh-CN"/>
        </w:rPr>
        <w:t>【市场经营】</w:t>
      </w:r>
    </w:p>
    <w:p w14:paraId="1E51639F">
      <w:pPr>
        <w:bidi w:val="0"/>
        <w:rPr>
          <w:rFonts w:hint="eastAsia"/>
          <w:lang w:val="zh-CN"/>
        </w:rPr>
      </w:pPr>
      <w:r>
        <w:rPr>
          <w:rFonts w:hint="eastAsia"/>
          <w:lang w:val="zh-CN"/>
        </w:rPr>
        <w:t>2018年投入资金6342万元，以4G为主体，做好4G拓展工作，发力家庭数字化产品，强化“装、维、拓”一体化运营，深耕细作，多举措并举巩固既有优势，有效结合本地实际情况，贯彻落实省、市公司战略经营策略，致力于个人、家庭、集团三大市场，深化信息化服务能力，较好实现全年工作目标。</w:t>
      </w:r>
    </w:p>
    <w:p w14:paraId="46CE860B">
      <w:pPr>
        <w:pStyle w:val="4"/>
        <w:bidi w:val="0"/>
        <w:rPr>
          <w:rFonts w:hint="eastAsia"/>
          <w:lang w:val="zh-CN"/>
        </w:rPr>
      </w:pPr>
      <w:r>
        <w:rPr>
          <w:rFonts w:hint="eastAsia"/>
          <w:lang w:val="zh-CN"/>
        </w:rPr>
        <w:t>【4G建设】</w:t>
      </w:r>
    </w:p>
    <w:p w14:paraId="70B63126">
      <w:pPr>
        <w:bidi w:val="0"/>
        <w:rPr>
          <w:rFonts w:hint="eastAsia"/>
          <w:lang w:val="zh-CN"/>
        </w:rPr>
      </w:pPr>
      <w:r>
        <w:rPr>
          <w:rFonts w:hint="eastAsia"/>
          <w:lang w:val="zh-CN"/>
        </w:rPr>
        <w:t>南雄移动2018年新建管道44.5管程千米、光缆540皮长千米，新建BNG1组配对设备、县域波分环1套、县域调度及汇聚环PTN各1个、OLT10台。配合招商引资项目：雄州廊桥项目无偿迁改管线9.2千米，涉及迁改费用63万元；配合城市提升工程：雄州公园项目、一江两岸改造项目、省道342线改造项目等无偿迁改管线36千米、涉及迁改费近1000万元；配合旅游旺季战略：近3年投入871万元，率先完成帽子峰、坪田迳洞、梅关古道、香草大世界等10个景区4G网络覆盖及扩容；投入近200万元完成帽子峰、坪田银杏景区WI-FI覆盖；配合重大活动开展：近3年累计开展79天次通信应急保障，有效支撑珠玑姓氏文化旅游节、大雄禅寺佛像开光大典、帽子峰生态景区银杏节、首届帽子峰山地自行车体验赛、莲开净寺舍利塔开光法会、南雄市运动会等重大活动顺利开展。</w:t>
      </w:r>
    </w:p>
    <w:p w14:paraId="3EBDD5F9">
      <w:pPr>
        <w:bidi w:val="0"/>
        <w:rPr>
          <w:rFonts w:hint="eastAsia"/>
          <w:lang w:val="zh-CN"/>
        </w:rPr>
      </w:pPr>
      <w:r>
        <w:rPr>
          <w:rFonts w:hint="eastAsia"/>
          <w:lang w:val="zh-CN"/>
        </w:rPr>
        <w:t>开展“4G下乡”专项活动并取得相应成果，持续推进4G建设。2018年，南雄有4G基站331个，2G基站256个，201个行政村4G网络覆盖，覆盖率98%；2018年新建基站101个、升级基站237个，有效满足流量热点的乡镇及行政村4G网络的建设覆盖，持续提升客户4G上网感知。抽调专项资金进行配套建设站点，不断解决改善偏远山区、景区通信需求，助力精准扶贫工作开展，后续将持续提升覆盖深度和质量。近3年宽带覆盖6.7万户，100%镇（街），140个行政村，2018年完成宽带覆盖3.2万户。</w:t>
      </w:r>
    </w:p>
    <w:p w14:paraId="5BD17D5C">
      <w:pPr>
        <w:pStyle w:val="4"/>
        <w:bidi w:val="0"/>
        <w:rPr>
          <w:rFonts w:hint="eastAsia"/>
          <w:lang w:val="zh-CN"/>
        </w:rPr>
      </w:pPr>
      <w:r>
        <w:rPr>
          <w:rFonts w:hint="eastAsia"/>
          <w:lang w:val="zh-CN"/>
        </w:rPr>
        <w:t>【窗口服务】</w:t>
      </w:r>
    </w:p>
    <w:p w14:paraId="157F3CE8">
      <w:pPr>
        <w:bidi w:val="0"/>
        <w:rPr>
          <w:rFonts w:hint="eastAsia"/>
          <w:lang w:val="zh-CN"/>
        </w:rPr>
      </w:pPr>
      <w:r>
        <w:rPr>
          <w:rFonts w:hint="eastAsia"/>
          <w:lang w:val="zh-CN"/>
        </w:rPr>
        <w:t>2018年努力提升客户服务水平。资费全面下调：全面取消漫游费，降低大流量产品资费与门槛，流量单价降幅超60%，惠及客户13.2万人次。网速全面提升：2018年低速宽带100%免费升至50M以上；为宽带客户提供4K高清电视、移动固话等增值服务。服务持续改善：秉承“客户为本、服务为根”理念，业务办理100%正向确认，严格落实总经理服务日，满意度提升至95%以上。</w:t>
      </w:r>
    </w:p>
    <w:p w14:paraId="1CBA23EB">
      <w:pPr>
        <w:pStyle w:val="4"/>
        <w:bidi w:val="0"/>
        <w:rPr>
          <w:rFonts w:hint="eastAsia"/>
          <w:lang w:val="zh-CN"/>
        </w:rPr>
      </w:pPr>
      <w:r>
        <w:rPr>
          <w:rFonts w:hint="eastAsia"/>
          <w:lang w:val="zh-CN"/>
        </w:rPr>
        <w:t>【公益活动】</w:t>
      </w:r>
    </w:p>
    <w:p w14:paraId="6DDF5453">
      <w:pPr>
        <w:bidi w:val="0"/>
        <w:rPr>
          <w:rFonts w:hint="eastAsia"/>
          <w:lang w:val="zh-CN"/>
        </w:rPr>
      </w:pPr>
      <w:r>
        <w:rPr>
          <w:rFonts w:hint="eastAsia"/>
          <w:lang w:val="zh-CN"/>
        </w:rPr>
        <w:t>加快贫困村网络扫盲，近3年投入资金3106万元，建设光缆102皮长千米，同步完成237个GSM站点的新建及老旧设备升级，68个省定贫困村中634个自然村网络问题已解决561个，总体网络覆盖率超80%。2018年重点解决江头渔仙、南甫村，帽子峰富俚、赵坑村，百顺朱安，邓坊上湖，澜河白茫洞，油山黄陂洞、南亩邓坑等行政、自然村多年信号盲点及覆盖提升问题，帮助503户2297人解决信号问题，其中贫困户32户127人。推进宽带入村，投入37万元建设覆盖渔仙村内7个自然村（芒东坑、上东坑、枫树坑、五坵田、上洞、鱼仙、山坑），覆盖住户128户，为58户常住村民减免4.66万元光纤费用，免费提供一年100M光纤宽带和高清电视。目前宽带已到达140个行政村、51个省定贫困村。</w:t>
      </w:r>
    </w:p>
    <w:p w14:paraId="48AED6FE">
      <w:pPr>
        <w:bidi w:val="0"/>
        <w:jc w:val="right"/>
        <w:rPr>
          <w:rFonts w:hint="eastAsia"/>
          <w:b/>
          <w:bCs/>
          <w:lang w:val="zh-CN"/>
        </w:rPr>
      </w:pPr>
      <w:r>
        <w:rPr>
          <w:rFonts w:hint="eastAsia"/>
          <w:b/>
          <w:bCs/>
          <w:lang w:val="zh-CN"/>
        </w:rPr>
        <w:t>（李小兰）</w:t>
      </w:r>
    </w:p>
    <w:p w14:paraId="7FF7A36E">
      <w:pPr>
        <w:pStyle w:val="11"/>
        <w:bidi w:val="0"/>
        <w:rPr>
          <w:rFonts w:hint="eastAsia"/>
          <w:b/>
          <w:bCs/>
          <w:lang w:val="zh-CN"/>
        </w:rPr>
      </w:pPr>
      <w:r>
        <w:rPr>
          <w:rFonts w:hint="eastAsia"/>
          <w:b/>
          <w:bCs/>
          <w:lang w:val="zh-CN"/>
        </w:rPr>
        <w:t>附：2018年中国移动南雄分公司领导班子成员名单</w:t>
      </w:r>
    </w:p>
    <w:p w14:paraId="79694EE6">
      <w:pPr>
        <w:pStyle w:val="11"/>
        <w:bidi w:val="0"/>
        <w:rPr>
          <w:rFonts w:hint="eastAsia"/>
          <w:lang w:val="zh-CN"/>
        </w:rPr>
      </w:pPr>
      <w:r>
        <w:rPr>
          <w:rFonts w:hint="eastAsia"/>
          <w:b/>
          <w:bCs/>
          <w:lang w:val="zh-CN"/>
        </w:rPr>
        <w:t>总</w:t>
      </w:r>
      <w:r>
        <w:rPr>
          <w:rFonts w:hint="eastAsia"/>
          <w:b/>
          <w:bCs/>
          <w:lang w:val="en-US" w:eastAsia="zh-CN"/>
        </w:rPr>
        <w:t xml:space="preserve"> </w:t>
      </w:r>
      <w:r>
        <w:rPr>
          <w:rFonts w:hint="eastAsia"/>
          <w:b/>
          <w:bCs/>
          <w:lang w:val="zh-CN"/>
        </w:rPr>
        <w:t>经</w:t>
      </w:r>
      <w:r>
        <w:rPr>
          <w:rFonts w:hint="eastAsia"/>
          <w:b/>
          <w:bCs/>
          <w:lang w:val="en-US" w:eastAsia="zh-CN"/>
        </w:rPr>
        <w:t xml:space="preserve"> </w:t>
      </w:r>
      <w:r>
        <w:rPr>
          <w:rFonts w:hint="eastAsia"/>
          <w:b/>
          <w:bCs/>
          <w:lang w:val="zh-CN"/>
        </w:rPr>
        <w:t>理：</w:t>
      </w:r>
      <w:r>
        <w:rPr>
          <w:rFonts w:hint="eastAsia"/>
          <w:lang w:val="zh-CN"/>
        </w:rPr>
        <w:t>杨劲松</w:t>
      </w:r>
    </w:p>
    <w:p w14:paraId="08F38C83">
      <w:pPr>
        <w:pStyle w:val="11"/>
        <w:bidi w:val="0"/>
        <w:rPr>
          <w:rFonts w:hint="eastAsia"/>
          <w:lang w:val="zh-CN"/>
        </w:rPr>
      </w:pPr>
      <w:r>
        <w:rPr>
          <w:rFonts w:hint="eastAsia"/>
          <w:b/>
          <w:bCs/>
          <w:lang w:val="zh-CN"/>
        </w:rPr>
        <w:t>副总经理：</w:t>
      </w:r>
      <w:r>
        <w:rPr>
          <w:rFonts w:hint="eastAsia"/>
          <w:lang w:val="zh-CN"/>
        </w:rPr>
        <w:t>邓彪</w:t>
      </w:r>
    </w:p>
    <w:p w14:paraId="5E57C773">
      <w:pPr>
        <w:pStyle w:val="2"/>
        <w:bidi w:val="0"/>
        <w:rPr>
          <w:rFonts w:hint="eastAsia"/>
        </w:rPr>
      </w:pPr>
      <w:r>
        <w:rPr>
          <w:rFonts w:hint="eastAsia"/>
        </w:rPr>
        <w:t>城建·环保</w:t>
      </w:r>
    </w:p>
    <w:p w14:paraId="13B1DAD9">
      <w:pPr>
        <w:pStyle w:val="3"/>
        <w:bidi w:val="0"/>
        <w:rPr>
          <w:rFonts w:hint="eastAsia"/>
          <w:lang w:val="zh-CN"/>
        </w:rPr>
      </w:pPr>
      <w:r>
        <w:rPr>
          <w:rFonts w:hint="eastAsia"/>
          <w:lang w:val="zh-CN"/>
        </w:rPr>
        <w:t>住房和城乡建设</w:t>
      </w:r>
    </w:p>
    <w:p w14:paraId="462038C7">
      <w:pPr>
        <w:pStyle w:val="4"/>
        <w:bidi w:val="0"/>
        <w:rPr>
          <w:rFonts w:hint="eastAsia"/>
          <w:lang w:val="zh-CN"/>
        </w:rPr>
      </w:pPr>
      <w:r>
        <w:rPr>
          <w:rFonts w:hint="eastAsia"/>
          <w:lang w:val="zh-CN"/>
        </w:rPr>
        <w:t>【概况】</w:t>
      </w:r>
    </w:p>
    <w:p w14:paraId="6D8FAC1B">
      <w:pPr>
        <w:bidi w:val="0"/>
        <w:rPr>
          <w:rFonts w:hint="eastAsia"/>
          <w:lang w:val="zh-CN"/>
        </w:rPr>
      </w:pPr>
      <w:r>
        <w:rPr>
          <w:rFonts w:hint="eastAsia"/>
          <w:lang w:val="zh-CN"/>
        </w:rPr>
        <w:t>2018年，南雄市住房和城乡规划建设局以《中华人民共和国城乡规划法》为主线，深入贯彻落实党的十九大和习近平总书记系列重要讲话精神，以科学发展为目标，按照“打苏区牌，走生态路，主动融入珠三角，实现发展新跨越”总体工作思路，以新型城镇化建设为抓手，着力完善城乡规划科学民主决策机制，加大城乡规划编制力度，发挥较好的规划引领作用，推进城乡区域统筹协调发展，营造生态宜居环境。</w:t>
      </w:r>
    </w:p>
    <w:p w14:paraId="3F3E9C43">
      <w:pPr>
        <w:pStyle w:val="4"/>
        <w:bidi w:val="0"/>
        <w:rPr>
          <w:rFonts w:hint="eastAsia"/>
          <w:lang w:val="zh-CN"/>
        </w:rPr>
      </w:pPr>
      <w:r>
        <w:rPr>
          <w:rFonts w:hint="eastAsia"/>
          <w:lang w:val="zh-CN"/>
        </w:rPr>
        <w:t>【城乡规划】</w:t>
      </w:r>
    </w:p>
    <w:p w14:paraId="7CF22021">
      <w:pPr>
        <w:bidi w:val="0"/>
        <w:rPr>
          <w:rFonts w:hint="eastAsia"/>
          <w:lang w:val="zh-CN"/>
        </w:rPr>
      </w:pPr>
      <w:r>
        <w:rPr>
          <w:rFonts w:hint="eastAsia"/>
          <w:lang w:val="zh-CN"/>
        </w:rPr>
        <w:t>2018年完成《南雄市城市总体规划（2015-2035年）》修改工作，并上报省政府批复；完成南亩镇、油山镇、水口镇、澜河镇、百顺镇5个镇总体规划专家评审工作；完成《南雄市环境卫生专项规划》《南雄市城区消防专项规划》《南雄市教育专项规划》方案的专家评审；《南雄市海绵城市专项规划》通过规委会审议，正在完善审批及上报省厅备案程序，《南雄市南粤古驿道保护利用总体策划》《南雄市乌迳镇新田村保护与活化利用方案》完成规划编制工作；南雄市总体规划及控制性详细规划地形图补测服务采购项目获2017年度广东省优秀城乡规划设计奖（城市勘测专项）二等奖。</w:t>
      </w:r>
    </w:p>
    <w:p w14:paraId="0FE6A0D3">
      <w:pPr>
        <w:bidi w:val="0"/>
        <w:rPr>
          <w:rFonts w:hint="eastAsia"/>
          <w:lang w:val="zh-CN"/>
        </w:rPr>
      </w:pPr>
      <w:r>
        <w:rPr>
          <w:rFonts w:hint="eastAsia"/>
          <w:lang w:val="zh-CN"/>
        </w:rPr>
        <w:t>2018年，办理建设工程规划许可88宗，建筑面积86.13万平方米，其中地产项目25项，建筑面积54.12万平方米。做好城市规划委员会会议、市中心城区发展建设（新型城镇化）领导小组会议、规划建设技术委员会议召开前期各项准备工作。2018年组织规委会4次（审议事项42宗），组织市中心城区发展建设（新型城镇化）领导小组会议5次，组织住建局规划建设技委会4次。</w:t>
      </w:r>
    </w:p>
    <w:p w14:paraId="752705C5">
      <w:pPr>
        <w:pStyle w:val="4"/>
        <w:bidi w:val="0"/>
        <w:rPr>
          <w:rFonts w:hint="eastAsia"/>
          <w:lang w:val="zh-CN"/>
        </w:rPr>
      </w:pPr>
      <w:r>
        <w:rPr>
          <w:rFonts w:hint="eastAsia"/>
          <w:lang w:val="zh-CN"/>
        </w:rPr>
        <w:t>【城乡建设】</w:t>
      </w:r>
    </w:p>
    <w:p w14:paraId="580B6903">
      <w:pPr>
        <w:bidi w:val="0"/>
        <w:rPr>
          <w:rFonts w:hint="eastAsia"/>
          <w:lang w:val="zh-CN"/>
        </w:rPr>
      </w:pPr>
      <w:r>
        <w:rPr>
          <w:rFonts w:hint="eastAsia"/>
          <w:lang w:val="zh-CN"/>
        </w:rPr>
        <w:t>2018年，结合市委、市政府中心工作，从提升城乡宜居水平，提高人民群众幸福感、获得感入手，积极谋划市住建局2018年五大“攻坚战”。</w:t>
      </w:r>
    </w:p>
    <w:p w14:paraId="4779181E">
      <w:pPr>
        <w:bidi w:val="0"/>
        <w:rPr>
          <w:rFonts w:hint="eastAsia"/>
          <w:lang w:val="zh-CN"/>
        </w:rPr>
      </w:pPr>
      <w:r>
        <w:rPr>
          <w:rFonts w:hint="eastAsia"/>
          <w:lang w:val="zh-CN"/>
        </w:rPr>
        <w:t>68个省定贫困村创建社会主义新农村示范规划建设市68个省定贫困村及下辖634个自然村已全面完成村庄整治规划的编制工作，140个非省定贫困村及下辖1108个自然村全面启动村庄整治规划编制工作，通过积极完善乡村建设规划编制，南雄市2018年年底基本实现全市村庄规划全覆盖。</w:t>
      </w:r>
    </w:p>
    <w:p w14:paraId="461B9FFE">
      <w:pPr>
        <w:bidi w:val="0"/>
        <w:rPr>
          <w:rFonts w:hint="eastAsia"/>
          <w:lang w:val="zh-CN"/>
        </w:rPr>
      </w:pPr>
      <w:r>
        <w:rPr>
          <w:rFonts w:hint="eastAsia"/>
          <w:b/>
          <w:bCs/>
          <w:lang w:val="zh-CN"/>
        </w:rPr>
        <w:t>南粤古驿道保护修复与活化利用</w:t>
      </w:r>
      <w:r>
        <w:rPr>
          <w:rFonts w:hint="eastAsia"/>
          <w:b/>
          <w:bCs/>
          <w:lang w:val="en-US" w:eastAsia="zh-CN"/>
        </w:rPr>
        <w:t xml:space="preserve"> </w:t>
      </w:r>
      <w:r>
        <w:rPr>
          <w:rFonts w:hint="eastAsia"/>
          <w:lang w:val="en-US" w:eastAsia="zh-CN"/>
        </w:rPr>
        <w:t xml:space="preserve">  </w:t>
      </w:r>
      <w:r>
        <w:rPr>
          <w:rFonts w:hint="eastAsia"/>
          <w:lang w:val="zh-CN"/>
        </w:rPr>
        <w:t>南雄市围绕梅关古道、珠玑古巷、乌迳古道“三古”发展战略，推进南粤梅关·乌迳古驿道修复保护与活化利用工作，并助力古驿道沿线村庄经济发展和精准扶贫，提升农村人居环境，塑造梅关古驿道文化之旅品牌，成为全省南粤古驿道保护利用工作的示范。2018年投资5000万元完成古驿道修复修建线路55.37千米及沿线35处古亭、古桥等历史遗存修复，达到省住建厅批示的古驿道修复修建线路工作要求。在“以道兴村”方面，梅关古道沿线梅岭村、泰源村、角湾村、中站村已做好村庄规划设计方案，财政和社会资金筹资2亿元；珠玑古巷沿线聪辈、里仁、石塘、里东、灵潭5个省级新农村示范片主体村已初见成效；乌迳古道沿线的新田、乌迳、山下、田心、大竹5个美丽乡村建设项目全面启动，资金约为6000万元。</w:t>
      </w:r>
    </w:p>
    <w:p w14:paraId="2E5824A8">
      <w:pPr>
        <w:bidi w:val="0"/>
        <w:rPr>
          <w:rFonts w:hint="eastAsia"/>
          <w:lang w:val="zh-CN"/>
        </w:rPr>
      </w:pPr>
      <w:r>
        <w:rPr>
          <w:rFonts w:hint="eastAsia"/>
          <w:b/>
          <w:bCs/>
          <w:lang w:val="zh-CN"/>
        </w:rPr>
        <w:t>农村危房改造工程</w:t>
      </w:r>
      <w:r>
        <w:rPr>
          <w:rFonts w:hint="eastAsia"/>
          <w:b/>
          <w:bCs/>
          <w:lang w:val="en-US" w:eastAsia="zh-CN"/>
        </w:rPr>
        <w:t xml:space="preserve">   </w:t>
      </w:r>
      <w:r>
        <w:rPr>
          <w:rFonts w:hint="eastAsia"/>
          <w:lang w:val="zh-CN"/>
        </w:rPr>
        <w:t>2018年南雄市危房改造总任务数1112户，通过严把“准入关”，切实加强危改户条件审核，确保危房改造政策普及和公平、公正，年底开工率、竣工率均为100%，使全市危改工作名列韶关市、县第一位。</w:t>
      </w:r>
    </w:p>
    <w:p w14:paraId="3D122CA9">
      <w:pPr>
        <w:bidi w:val="0"/>
        <w:rPr>
          <w:rFonts w:hint="eastAsia"/>
          <w:lang w:val="zh-CN"/>
        </w:rPr>
      </w:pPr>
      <w:r>
        <w:rPr>
          <w:rFonts w:hint="eastAsia"/>
          <w:b/>
          <w:bCs/>
          <w:lang w:val="zh-CN"/>
        </w:rPr>
        <w:t>农村污水处理基础设施建设</w:t>
      </w:r>
      <w:r>
        <w:rPr>
          <w:rFonts w:hint="eastAsia"/>
          <w:b/>
          <w:bCs/>
          <w:lang w:val="en-US" w:eastAsia="zh-CN"/>
        </w:rPr>
        <w:t xml:space="preserve">   </w:t>
      </w:r>
      <w:r>
        <w:rPr>
          <w:rFonts w:hint="eastAsia"/>
          <w:lang w:val="zh-CN"/>
        </w:rPr>
        <w:t>南雄市珠玑、乌迳、黄坑3个中心镇污水处理厂建成运营，剩余14个镇污水处理厂及配套管网工程分两期建设。一期界址、坪田、邓坊、江头、湖口、主田、古市、全安、帽子峰等9个乡镇污水处理厂项目建设和配套管网采取EPC模式建设，总管网长约58.45千米，计划总投资2.14亿元。二期油山、水口、南亩、百顺、澜河等5个镇以及822个自然村污水处理设施及配套管网建设采用PPP模式建设，计划总投资7.5亿元，计划于2019年3月开工建设，2019年12月完成工程建设。</w:t>
      </w:r>
    </w:p>
    <w:p w14:paraId="774D55E8">
      <w:pPr>
        <w:bidi w:val="0"/>
        <w:rPr>
          <w:rFonts w:hint="eastAsia"/>
          <w:lang w:val="zh-CN"/>
        </w:rPr>
      </w:pPr>
      <w:r>
        <w:rPr>
          <w:rFonts w:hint="eastAsia"/>
          <w:b/>
          <w:bCs/>
          <w:lang w:val="zh-CN"/>
        </w:rPr>
        <w:t>城镇提升三年行动计划</w:t>
      </w:r>
      <w:r>
        <w:rPr>
          <w:rFonts w:hint="eastAsia"/>
          <w:b/>
          <w:bCs/>
          <w:lang w:val="en-US" w:eastAsia="zh-CN"/>
        </w:rPr>
        <w:t xml:space="preserve">   </w:t>
      </w:r>
      <w:r>
        <w:rPr>
          <w:rFonts w:hint="eastAsia"/>
          <w:lang w:val="zh-CN"/>
        </w:rPr>
        <w:t>配合做好城镇提升三年行动计划项目实施，从道路交通提升、服务功能提升、市政设施提升、景观风貌提升、“三旧”改造提升、智慧城市提升等“六大”提升工作入手，2018年市投入22.93亿元着力推动城镇提升三年行动项目，主要实施项目43个，重点打造项目22个。南雄市图书馆、档案馆竣工验收；完成新老城区小街小巷路灯升级改造；三影塔广场整治提升工程完工；市崇贤大道扩建工程、北城区危旧房回迁改造、中医院与妇计院医共体建设项目、繁荣市场升级改造工程、青云路广州会馆门前栈道工程等项目均在有序推进。</w:t>
      </w:r>
    </w:p>
    <w:p w14:paraId="3F15D3F6">
      <w:pPr>
        <w:bidi w:val="0"/>
        <w:rPr>
          <w:rFonts w:hint="eastAsia"/>
          <w:lang w:val="zh-CN"/>
        </w:rPr>
      </w:pPr>
      <w:r>
        <w:rPr>
          <w:rFonts w:hint="eastAsia"/>
          <w:b/>
          <w:bCs/>
          <w:lang w:val="zh-CN"/>
        </w:rPr>
        <w:t>保障性住房建设</w:t>
      </w:r>
      <w:r>
        <w:rPr>
          <w:rFonts w:hint="eastAsia"/>
          <w:b/>
          <w:bCs/>
          <w:lang w:val="en-US" w:eastAsia="zh-CN"/>
        </w:rPr>
        <w:t xml:space="preserve">   </w:t>
      </w:r>
      <w:r>
        <w:rPr>
          <w:rFonts w:hint="eastAsia"/>
          <w:lang w:val="zh-CN"/>
        </w:rPr>
        <w:t>2018年超额完成城镇住房保障家庭租赁补贴90户的年度任务（实际发放租赁补贴97户），此外，2018年6月完成腾退保障性住房摇号配租工作，解决城市低收入家庭住房问题。</w:t>
      </w:r>
    </w:p>
    <w:p w14:paraId="54FF14E1">
      <w:pPr>
        <w:bidi w:val="0"/>
        <w:rPr>
          <w:rFonts w:hint="eastAsia"/>
          <w:lang w:val="zh-CN"/>
        </w:rPr>
      </w:pPr>
      <w:r>
        <w:rPr>
          <w:rFonts w:hint="eastAsia"/>
          <w:b/>
          <w:bCs/>
          <w:lang w:val="zh-CN"/>
        </w:rPr>
        <w:t>建筑工程质量管理</w:t>
      </w:r>
      <w:r>
        <w:rPr>
          <w:rFonts w:hint="eastAsia"/>
          <w:b/>
          <w:bCs/>
          <w:lang w:val="en-US" w:eastAsia="zh-CN"/>
        </w:rPr>
        <w:t xml:space="preserve">   </w:t>
      </w:r>
      <w:r>
        <w:rPr>
          <w:rFonts w:hint="eastAsia"/>
          <w:lang w:val="zh-CN"/>
        </w:rPr>
        <w:t>加强建筑工程质量安全监督管理，健全工程监督巡查和督查制度，加大对工程巡查、抽查密度和频率。切实开展建设工程安全生产大检查和专项检查，同时围绕“强化红线意识、促进安全发展”的主题切实开展“安全生产月”活动，以建筑施工专项整治为重点，加大对外脚手架、物料提升机、塔吊、施工人货梯、施工用电等专项整治力度，同时加强对从业人员的安全教育，提高安全管理人员的安全生产意识，杜绝工程安全生产事故和质量问题。2018年先后组织6次安全生产大检查，对检查中发现的安全隐患，下发建设工程质量整改通知书42份，安全整改通知书47份，并做到跟踪落实，及时消除安全隐患。</w:t>
      </w:r>
    </w:p>
    <w:p w14:paraId="27F9D15E">
      <w:pPr>
        <w:bidi w:val="0"/>
        <w:rPr>
          <w:rFonts w:hint="eastAsia"/>
          <w:lang w:val="zh-CN"/>
        </w:rPr>
      </w:pPr>
      <w:r>
        <w:rPr>
          <w:rFonts w:hint="eastAsia"/>
          <w:b/>
          <w:bCs/>
          <w:lang w:val="zh-CN"/>
        </w:rPr>
        <w:t>推广建筑节能</w:t>
      </w:r>
      <w:r>
        <w:rPr>
          <w:rFonts w:hint="eastAsia"/>
          <w:b/>
          <w:bCs/>
          <w:lang w:val="en-US" w:eastAsia="zh-CN"/>
        </w:rPr>
        <w:t xml:space="preserve">   </w:t>
      </w:r>
      <w:r>
        <w:rPr>
          <w:rFonts w:hint="eastAsia"/>
          <w:lang w:val="zh-CN"/>
        </w:rPr>
        <w:t>加强对民用建筑节能设计和备案监管工作，强制执行建筑节能设计标准，强化建筑节能、墙体革新推广应用，加强对建筑工程使用新型材料的监督、检查和验收，促进节能减排。严格实施城区建筑工程一律禁止使用实心黏土砖，城区项目基本实现禁实目标。同时积极推广使用新型环保材料，推广使用商品混凝土。鼓励各工地使用新型环保材料和其他建筑节能材料、节能设备。截至2018年年底，有现预拌混凝土搅拌企业3家。</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A654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8C0FBA2">
            <w:pPr>
              <w:bidi w:val="0"/>
              <w:ind w:left="0" w:leftChars="0" w:firstLine="0" w:firstLineChars="0"/>
              <w:rPr>
                <w:rFonts w:hint="eastAsia"/>
                <w:vertAlign w:val="baseline"/>
                <w:lang w:val="zh-CN"/>
              </w:rPr>
            </w:pPr>
            <w:r>
              <w:rPr>
                <w:rFonts w:hint="eastAsia"/>
                <w:vertAlign w:val="baseline"/>
                <w:lang w:val="zh-CN"/>
              </w:rPr>
              <w:drawing>
                <wp:inline distT="0" distB="0" distL="114300" distR="114300">
                  <wp:extent cx="6181090" cy="4000500"/>
                  <wp:effectExtent l="0" t="0" r="10160" b="0"/>
                  <wp:docPr id="128" name="图片 128" descr="南雄年鉴2019_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南雄年鉴2019_0103"/>
                          <pic:cNvPicPr>
                            <a:picLocks noChangeAspect="1"/>
                          </pic:cNvPicPr>
                        </pic:nvPicPr>
                        <pic:blipFill>
                          <a:blip r:embed="rId115"/>
                          <a:stretch>
                            <a:fillRect/>
                          </a:stretch>
                        </pic:blipFill>
                        <pic:spPr>
                          <a:xfrm>
                            <a:off x="0" y="0"/>
                            <a:ext cx="6181090" cy="4000500"/>
                          </a:xfrm>
                          <a:prstGeom prst="rect">
                            <a:avLst/>
                          </a:prstGeom>
                        </pic:spPr>
                      </pic:pic>
                    </a:graphicData>
                  </a:graphic>
                </wp:inline>
              </w:drawing>
            </w:r>
          </w:p>
        </w:tc>
      </w:tr>
      <w:tr w14:paraId="0A562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95B55FE">
            <w:pPr>
              <w:bidi w:val="0"/>
              <w:rPr>
                <w:rFonts w:hint="eastAsia"/>
                <w:vertAlign w:val="baseline"/>
                <w:lang w:val="zh-CN"/>
              </w:rPr>
            </w:pPr>
            <w:r>
              <w:rPr>
                <w:rFonts w:hint="eastAsia" w:ascii="FZKTK--GBK1-0" w:hAnsi="FZKTK--GBK1-0" w:eastAsia="FZKTK--GBK1-0"/>
                <w:sz w:val="20"/>
              </w:rPr>
              <w:t>广东省住建厅到南雄市调研古驿道保护和利用工</w:t>
            </w:r>
            <w:r>
              <w:rPr>
                <w:rFonts w:hint="eastAsia" w:ascii="FZKTK--GBK1-0" w:hAnsi="FZKTK--GBK1-0" w:eastAsia="FZKTK--GBK1-0"/>
                <w:sz w:val="20"/>
                <w:lang w:val="en-US" w:eastAsia="zh-CN"/>
              </w:rPr>
              <w:t>作</w:t>
            </w:r>
            <w:r>
              <w:rPr>
                <w:rFonts w:hint="eastAsia" w:ascii="FZKTK--GBK1-0" w:hAnsi="FZKTK--GBK1-0" w:eastAsia="FZKTK--GBK1-0"/>
                <w:sz w:val="20"/>
              </w:rPr>
              <w:t>（市委办</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24215FEE">
      <w:pPr>
        <w:pStyle w:val="4"/>
        <w:bidi w:val="0"/>
        <w:rPr>
          <w:rFonts w:hint="eastAsia"/>
          <w:lang w:val="zh-CN"/>
        </w:rPr>
      </w:pPr>
      <w:r>
        <w:rPr>
          <w:rFonts w:hint="eastAsia"/>
          <w:lang w:val="zh-CN"/>
        </w:rPr>
        <w:t>【重点工作】</w:t>
      </w:r>
    </w:p>
    <w:p w14:paraId="2952E246">
      <w:pPr>
        <w:bidi w:val="0"/>
        <w:rPr>
          <w:rFonts w:hint="eastAsia"/>
          <w:lang w:val="zh-CN"/>
        </w:rPr>
      </w:pPr>
      <w:r>
        <w:rPr>
          <w:rFonts w:hint="eastAsia"/>
          <w:lang w:val="zh-CN"/>
        </w:rPr>
        <w:t>超额完成资质内建筑业1家、资质内房地产企业2家的年度任务。2018年南雄市净增资质内建筑企业4家，净增房地产经营开发企业4家。新增资质建筑企业为雄建建筑工程有限公司、万塔建设工程有限公司、亿泰建设发展有限公司、瑞翔建筑工程有限公司，新增资质房地产开发企业分别为南雄市新汇房地产开发有限公司、南雄市深雄实业投资有限公司、南雄市邦盛房地产开发有限公司、南雄市万豪实业投资有限公司。</w:t>
      </w:r>
    </w:p>
    <w:p w14:paraId="78F99868">
      <w:pPr>
        <w:bidi w:val="0"/>
        <w:rPr>
          <w:rFonts w:hint="eastAsia"/>
          <w:lang w:val="zh-CN"/>
        </w:rPr>
      </w:pPr>
      <w:r>
        <w:rPr>
          <w:rFonts w:hint="eastAsia"/>
          <w:b/>
          <w:bCs/>
          <w:lang w:val="zh-CN"/>
        </w:rPr>
        <w:t>完善市镇村规划体系</w:t>
      </w:r>
      <w:r>
        <w:rPr>
          <w:rFonts w:hint="eastAsia"/>
          <w:b/>
          <w:bCs/>
          <w:lang w:val="en-US" w:eastAsia="zh-CN"/>
        </w:rPr>
        <w:t xml:space="preserve">   </w:t>
      </w:r>
      <w:r>
        <w:rPr>
          <w:rFonts w:hint="eastAsia"/>
          <w:lang w:val="zh-CN"/>
        </w:rPr>
        <w:t>城市生态控制线规划编制单位根据专家评审意见完成修改完善并公示；完成南雄市海绵城市规划专家评审工作，9月通过规委会审议；完成南雄市历史文化名城、传统村落、历史建筑保护规划编制招标工作；68个省定贫困村人居环境改善建设规划已上报省政府审批，剩余140个行政村规划编制工作完成招投标程序；完成水口镇、南亩镇总体规划的专家评审。</w:t>
      </w:r>
    </w:p>
    <w:p w14:paraId="45ACFB37">
      <w:pPr>
        <w:bidi w:val="0"/>
        <w:rPr>
          <w:rFonts w:hint="eastAsia"/>
          <w:lang w:val="zh-CN"/>
        </w:rPr>
      </w:pPr>
      <w:r>
        <w:rPr>
          <w:rFonts w:hint="eastAsia"/>
          <w:b/>
          <w:bCs/>
          <w:lang w:val="zh-CN"/>
        </w:rPr>
        <w:t>推进乡镇简易垃圾填埋场整治工作</w:t>
      </w:r>
      <w:r>
        <w:rPr>
          <w:rFonts w:hint="eastAsia"/>
          <w:b/>
          <w:bCs/>
          <w:lang w:val="en-US" w:eastAsia="zh-CN"/>
        </w:rPr>
        <w:t xml:space="preserve">   </w:t>
      </w:r>
      <w:r>
        <w:rPr>
          <w:rFonts w:hint="eastAsia"/>
          <w:lang w:val="zh-CN"/>
        </w:rPr>
        <w:t>在第一批6个清理外运项目方面。南雄市列入省清单内的澜河、帽子峰、江头、界址、湖口等5个镇级填埋场以及清单外的坪田（迳洞）填埋场，通过政府购买服务形式公开招投标，采取垃圾清理搬迁整治，其中标价为244.56万元，于5月12日开始施工整改，8月22日全面完工，准备申请韶关市级验收。在其余9个填埋场整改项目方面。南雄市委托具备相应资质且有实际工程经验的专业机构，对乌迳镇、坪田镇（老龙）、黄坑镇、邓坊镇、油山镇、南亩镇、水口镇、珠玑镇、百顺镇等9个填埋场现场进行1∶500地形图测绘，委托咨询机构完成项目可研报告的编制工作，于8月经专家评审通过，9月经发改部门立项审批，10月进入挂网招标阶段。</w:t>
      </w:r>
    </w:p>
    <w:p w14:paraId="30BE4241">
      <w:pPr>
        <w:pStyle w:val="4"/>
        <w:bidi w:val="0"/>
        <w:rPr>
          <w:rFonts w:hint="eastAsia"/>
          <w:lang w:val="zh-CN"/>
        </w:rPr>
      </w:pPr>
      <w:r>
        <w:rPr>
          <w:rFonts w:hint="eastAsia"/>
          <w:lang w:val="zh-CN"/>
        </w:rPr>
        <w:t>【重点项目】</w:t>
      </w:r>
    </w:p>
    <w:p w14:paraId="31CDB536">
      <w:pPr>
        <w:bidi w:val="0"/>
        <w:rPr>
          <w:rFonts w:hint="eastAsia"/>
          <w:lang w:val="zh-CN"/>
        </w:rPr>
      </w:pPr>
      <w:r>
        <w:rPr>
          <w:rFonts w:hint="eastAsia"/>
          <w:lang w:val="zh-CN"/>
        </w:rPr>
        <w:t>完成一江两岸景观整治提升工程示范段（金叶大桥至青云桥段）施工建设，正在进行金叶大桥至河南桥段骑楼人行道施工建设及道路加铺沥青施工；完成文化景观廊桥项目2、3、4、5、6号钢管桩桩基检测，正在推进梁支架等构筑物的施工建设；完成中山街片区道路排水管网施工建设，正在进行给水、电力、通信综合管线及路基回填施工。</w:t>
      </w:r>
    </w:p>
    <w:p w14:paraId="32464D40">
      <w:pPr>
        <w:pStyle w:val="4"/>
        <w:bidi w:val="0"/>
        <w:rPr>
          <w:rFonts w:hint="eastAsia"/>
          <w:lang w:val="zh-CN"/>
        </w:rPr>
      </w:pPr>
      <w:r>
        <w:rPr>
          <w:rFonts w:hint="eastAsia"/>
          <w:lang w:val="zh-CN"/>
        </w:rPr>
        <w:t>【建筑业管理】</w:t>
      </w:r>
    </w:p>
    <w:p w14:paraId="7DDB6BF4">
      <w:pPr>
        <w:bidi w:val="0"/>
        <w:rPr>
          <w:rFonts w:hint="eastAsia"/>
          <w:lang w:val="zh-CN"/>
        </w:rPr>
      </w:pPr>
      <w:r>
        <w:rPr>
          <w:rFonts w:hint="eastAsia"/>
          <w:lang w:val="zh-CN"/>
        </w:rPr>
        <w:t>2018年，严格审查责任主体以及从业人员市场准入条件，通过与各有关部门签订建设工程质量、安全生产、文明施工责任书，狠抓责任落实，完善相关制度，加强对工程质量、安全生产和文明施工的监管，认真推行建筑节能工作，确保工程实体质量和安全生产工作稳步推进。强化建筑市场监管。以强化质量、安全管理为重点，加强行业监督管理。2018年办理工程施工许可52项，建筑面积67.36万平方米，总计投资16.56亿元；工程竣工验收38项，竣工面积42.74万平方米，工程总造价6.6亿元。</w:t>
      </w:r>
    </w:p>
    <w:p w14:paraId="475C00D9">
      <w:pPr>
        <w:pStyle w:val="4"/>
        <w:bidi w:val="0"/>
        <w:rPr>
          <w:rFonts w:hint="eastAsia"/>
          <w:lang w:val="zh-CN"/>
        </w:rPr>
      </w:pPr>
      <w:r>
        <w:rPr>
          <w:rFonts w:hint="eastAsia"/>
          <w:lang w:val="zh-CN"/>
        </w:rPr>
        <w:t>【房地产业管理】</w:t>
      </w:r>
    </w:p>
    <w:p w14:paraId="00FE94D2">
      <w:pPr>
        <w:bidi w:val="0"/>
        <w:rPr>
          <w:rFonts w:hint="eastAsia"/>
          <w:lang w:val="zh-CN"/>
        </w:rPr>
      </w:pPr>
      <w:r>
        <w:rPr>
          <w:rFonts w:hint="eastAsia"/>
          <w:lang w:val="zh-CN"/>
        </w:rPr>
        <w:t>2018年，南雄市商品房销售面积突破历史新高，达到38.64万平方米，商品住房销售套数2518套。同时规范资质企业管理，完成全市房地产企业日常监管。</w:t>
      </w:r>
    </w:p>
    <w:p w14:paraId="12FB8D9B">
      <w:pPr>
        <w:bidi w:val="0"/>
        <w:rPr>
          <w:rFonts w:hint="eastAsia"/>
          <w:lang w:val="zh-CN"/>
        </w:rPr>
      </w:pPr>
      <w:r>
        <w:rPr>
          <w:rFonts w:hint="eastAsia"/>
          <w:b/>
          <w:bCs/>
          <w:lang w:val="zh-CN"/>
        </w:rPr>
        <w:t>房屋交易</w:t>
      </w:r>
      <w:r>
        <w:rPr>
          <w:rFonts w:hint="eastAsia"/>
          <w:b/>
          <w:bCs/>
          <w:lang w:val="en-US" w:eastAsia="zh-CN"/>
        </w:rPr>
        <w:t xml:space="preserve">   </w:t>
      </w:r>
      <w:r>
        <w:rPr>
          <w:rFonts w:hint="eastAsia"/>
          <w:lang w:val="zh-CN"/>
        </w:rPr>
        <w:t>贯彻执行国家、省、市房地产有关政策、法律法规，完善房地产信息平台功能，实现对商品房预（销）售即时监控、房地产交易与产权管理一体化管理、房地产交易信息统计和分析。全面提高对房地产市场监控水平和对群众购房、交易管理服务水平。2018年办理新建商品房网签交易3202宗，面积11.35万平方米；办理二手房网签778宗，面积9.34万平方米。</w:t>
      </w:r>
    </w:p>
    <w:p w14:paraId="506826CC">
      <w:pPr>
        <w:bidi w:val="0"/>
        <w:rPr>
          <w:rFonts w:hint="eastAsia"/>
          <w:lang w:val="zh-CN"/>
        </w:rPr>
      </w:pPr>
      <w:r>
        <w:rPr>
          <w:rFonts w:hint="eastAsia"/>
          <w:b/>
          <w:bCs/>
          <w:lang w:val="zh-CN"/>
        </w:rPr>
        <w:t>公房管理</w:t>
      </w:r>
      <w:r>
        <w:rPr>
          <w:rFonts w:hint="eastAsia"/>
          <w:b/>
          <w:bCs/>
          <w:lang w:val="en-US" w:eastAsia="zh-CN"/>
        </w:rPr>
        <w:t xml:space="preserve">   </w:t>
      </w:r>
      <w:r>
        <w:rPr>
          <w:rFonts w:hint="eastAsia"/>
          <w:lang w:val="zh-CN"/>
        </w:rPr>
        <w:t>认真实施直管公产房的建设、申请、审批、分配安置、维护、租金收缴等工作。直管公房管理以“保安全”和“促增值”作为工作目标，抓好安全生产工作，分解落实安全生产工作职责，层层落实抓落实。加强危旧房巡查工作，预防一些危旧房倒塌，维护居住户安全，在雨水多发季节，房管所党支部成立“雨季防汛防洪党员抢险突破队”，由班子成员、党员突击小组、房管员和入党积极分子组成。突击队分成5个突击小组，每个突击小组由1名班子成员带队巡查；采取白加黑、5加2巡查方式，即雨季防汛期间不论是工作日还是节假日，每天白天和晚上各巡查一遍，务求对危旧房屋的巡查做到不留死角，及时发现隐患，及时解决。向所有住户公布24小时在线抢险电话。公产房有部分是危房，维修人员做到有险情及时排除及时维修，从未出现人为安全事故，保障住户居住安全。</w:t>
      </w:r>
    </w:p>
    <w:p w14:paraId="6419BCA1">
      <w:pPr>
        <w:pStyle w:val="4"/>
        <w:bidi w:val="0"/>
        <w:rPr>
          <w:rFonts w:hint="eastAsia"/>
          <w:lang w:val="zh-CN"/>
        </w:rPr>
      </w:pPr>
      <w:r>
        <w:rPr>
          <w:rFonts w:hint="eastAsia"/>
          <w:lang w:val="zh-CN"/>
        </w:rPr>
        <w:t>【燃气安全管理】</w:t>
      </w:r>
    </w:p>
    <w:p w14:paraId="29072A23">
      <w:pPr>
        <w:bidi w:val="0"/>
        <w:rPr>
          <w:rFonts w:hint="eastAsia"/>
          <w:lang w:val="zh-CN"/>
        </w:rPr>
      </w:pPr>
      <w:r>
        <w:rPr>
          <w:rFonts w:hint="eastAsia"/>
          <w:lang w:val="zh-CN"/>
        </w:rPr>
        <w:t>加强对各燃气企业、气站巡查检查工作，与各燃气企业的负责人签订燃气安全生产责任书，切实抓好燃气安全管理。加强燃气安全知识宣传工作，针对燃气事故多发期，采取电视宣传、上街设点咨询、派发宣传资料等形式做好宣传教育，组织燃气企业开展了燃气安全知识咨询宣传活动。要求有关人员坚持每月、每季到气站进行燃气安全检查监督工作，并督促企业领导、安全负责人，操作人员认真贯彻执行燃气安全技术规范和规程，有效堵塞安全事故漏洞，确保全市燃气行业继续保持零伤亡事故的成绩。</w:t>
      </w:r>
    </w:p>
    <w:p w14:paraId="3A962C0D">
      <w:pPr>
        <w:bidi w:val="0"/>
        <w:jc w:val="right"/>
        <w:rPr>
          <w:rFonts w:hint="eastAsia"/>
          <w:b/>
          <w:bCs/>
          <w:lang w:val="zh-CN"/>
        </w:rPr>
      </w:pPr>
      <w:r>
        <w:rPr>
          <w:rFonts w:hint="eastAsia"/>
          <w:b/>
          <w:bCs/>
          <w:lang w:val="zh-CN"/>
        </w:rPr>
        <w:t>（吴</w:t>
      </w:r>
      <w:r>
        <w:rPr>
          <w:rFonts w:hint="eastAsia"/>
          <w:b/>
          <w:bCs/>
          <w:lang w:val="en-US" w:eastAsia="zh-CN"/>
        </w:rPr>
        <w:t xml:space="preserve">  </w:t>
      </w:r>
      <w:r>
        <w:rPr>
          <w:rFonts w:hint="eastAsia"/>
          <w:b/>
          <w:bCs/>
          <w:lang w:val="zh-CN"/>
        </w:rPr>
        <w:t>韬）</w:t>
      </w:r>
    </w:p>
    <w:p w14:paraId="5F20296D">
      <w:pPr>
        <w:pStyle w:val="11"/>
        <w:bidi w:val="0"/>
        <w:rPr>
          <w:rFonts w:hint="eastAsia"/>
          <w:b/>
          <w:bCs/>
          <w:lang w:val="zh-CN"/>
        </w:rPr>
      </w:pPr>
      <w:r>
        <w:rPr>
          <w:rFonts w:hint="eastAsia"/>
          <w:b/>
          <w:bCs/>
          <w:lang w:val="zh-CN"/>
        </w:rPr>
        <w:t>附：2018年市住建局领导班子成员名单</w:t>
      </w:r>
    </w:p>
    <w:p w14:paraId="237B9056">
      <w:pPr>
        <w:pStyle w:val="11"/>
        <w:bidi w:val="0"/>
        <w:rPr>
          <w:rFonts w:hint="eastAsia"/>
          <w:lang w:val="zh-CN"/>
        </w:rPr>
      </w:pPr>
      <w:r>
        <w:rPr>
          <w:rFonts w:hint="eastAsia"/>
          <w:b/>
          <w:bCs/>
          <w:lang w:val="zh-CN"/>
        </w:rPr>
        <w:t>党组书记、局长：</w:t>
      </w:r>
      <w:r>
        <w:rPr>
          <w:rFonts w:hint="eastAsia"/>
          <w:lang w:val="zh-CN"/>
        </w:rPr>
        <w:t>刘先辉</w:t>
      </w:r>
    </w:p>
    <w:p w14:paraId="2C6CADBB">
      <w:pPr>
        <w:pStyle w:val="11"/>
        <w:bidi w:val="0"/>
        <w:rPr>
          <w:rFonts w:hint="eastAsia"/>
          <w:b/>
          <w:bCs/>
          <w:lang w:val="zh-CN"/>
        </w:rPr>
      </w:pPr>
      <w:r>
        <w:rPr>
          <w:rFonts w:hint="eastAsia"/>
          <w:b/>
          <w:bCs/>
          <w:lang w:val="zh-CN"/>
        </w:rPr>
        <w:t>党组副书记、城管局局长：</w:t>
      </w:r>
    </w:p>
    <w:p w14:paraId="6229BFF5">
      <w:pPr>
        <w:pStyle w:val="11"/>
        <w:bidi w:val="0"/>
        <w:ind w:leftChars="500"/>
        <w:rPr>
          <w:rFonts w:hint="eastAsia"/>
          <w:lang w:val="zh-CN"/>
        </w:rPr>
      </w:pPr>
      <w:r>
        <w:rPr>
          <w:rFonts w:hint="eastAsia"/>
          <w:lang w:val="zh-CN"/>
        </w:rPr>
        <w:t>刘景通</w:t>
      </w:r>
    </w:p>
    <w:p w14:paraId="21B74DEA">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刘志军</w:t>
      </w:r>
      <w:r>
        <w:rPr>
          <w:rFonts w:hint="eastAsia"/>
          <w:lang w:val="en-US" w:eastAsia="zh-CN"/>
        </w:rPr>
        <w:t xml:space="preserve">   </w:t>
      </w:r>
      <w:r>
        <w:rPr>
          <w:rFonts w:hint="eastAsia"/>
          <w:lang w:val="zh-CN"/>
        </w:rPr>
        <w:t>梁东宁</w:t>
      </w:r>
    </w:p>
    <w:p w14:paraId="0CDC94C9">
      <w:pPr>
        <w:pStyle w:val="11"/>
        <w:bidi w:val="0"/>
        <w:ind w:leftChars="500"/>
        <w:rPr>
          <w:rFonts w:hint="eastAsia"/>
          <w:lang w:val="zh-CN"/>
        </w:rPr>
      </w:pPr>
      <w:r>
        <w:rPr>
          <w:rFonts w:hint="eastAsia"/>
          <w:lang w:val="zh-CN"/>
        </w:rPr>
        <w:t>邓保卫</w:t>
      </w:r>
    </w:p>
    <w:p w14:paraId="395FF2FE">
      <w:pPr>
        <w:pStyle w:val="11"/>
        <w:bidi w:val="0"/>
        <w:rPr>
          <w:rFonts w:hint="eastAsia"/>
          <w:lang w:val="zh-CN"/>
        </w:rPr>
      </w:pPr>
      <w:r>
        <w:rPr>
          <w:rFonts w:hint="eastAsia"/>
          <w:b/>
          <w:bCs/>
          <w:lang w:val="zh-CN"/>
        </w:rPr>
        <w:t>党组成员、房管所所长：</w:t>
      </w:r>
      <w:r>
        <w:rPr>
          <w:rFonts w:hint="eastAsia"/>
          <w:lang w:val="zh-CN"/>
        </w:rPr>
        <w:t>池峰</w:t>
      </w:r>
    </w:p>
    <w:p w14:paraId="599320EB">
      <w:pPr>
        <w:pStyle w:val="11"/>
        <w:bidi w:val="0"/>
        <w:rPr>
          <w:rFonts w:hint="eastAsia"/>
          <w:lang w:val="zh-CN"/>
        </w:rPr>
      </w:pPr>
      <w:r>
        <w:rPr>
          <w:rFonts w:hint="eastAsia"/>
          <w:b/>
          <w:bCs/>
          <w:lang w:val="zh-CN"/>
        </w:rPr>
        <w:t>工会主席：</w:t>
      </w:r>
      <w:r>
        <w:rPr>
          <w:rFonts w:hint="eastAsia"/>
          <w:lang w:val="zh-CN"/>
        </w:rPr>
        <w:t>张</w:t>
      </w:r>
      <w:r>
        <w:rPr>
          <w:rFonts w:hint="eastAsia"/>
          <w:lang w:val="en-US" w:eastAsia="zh-CN"/>
        </w:rPr>
        <w:t xml:space="preserve">  </w:t>
      </w:r>
      <w:r>
        <w:rPr>
          <w:rFonts w:hint="eastAsia"/>
          <w:lang w:val="zh-CN"/>
        </w:rPr>
        <w:t>明</w:t>
      </w:r>
    </w:p>
    <w:p w14:paraId="47A07702">
      <w:pPr>
        <w:pStyle w:val="3"/>
        <w:bidi w:val="0"/>
        <w:rPr>
          <w:rFonts w:hint="eastAsia"/>
          <w:lang w:val="zh-CN"/>
        </w:rPr>
      </w:pPr>
      <w:r>
        <w:rPr>
          <w:rFonts w:hint="eastAsia"/>
          <w:lang w:val="zh-CN"/>
        </w:rPr>
        <w:t>城市管理</w:t>
      </w:r>
    </w:p>
    <w:p w14:paraId="5F6162F7">
      <w:pPr>
        <w:pStyle w:val="4"/>
        <w:bidi w:val="0"/>
        <w:rPr>
          <w:rFonts w:hint="eastAsia"/>
          <w:lang w:val="zh-CN"/>
        </w:rPr>
      </w:pPr>
      <w:r>
        <w:rPr>
          <w:rFonts w:hint="eastAsia"/>
          <w:lang w:val="zh-CN"/>
        </w:rPr>
        <w:t>【概况】</w:t>
      </w:r>
    </w:p>
    <w:p w14:paraId="74E068E3">
      <w:pPr>
        <w:bidi w:val="0"/>
        <w:rPr>
          <w:rFonts w:hint="eastAsia"/>
          <w:lang w:val="zh-CN"/>
        </w:rPr>
      </w:pPr>
      <w:r>
        <w:rPr>
          <w:rFonts w:hint="eastAsia"/>
          <w:lang w:val="zh-CN"/>
        </w:rPr>
        <w:t>南雄市城市综合管理局于2015年4月22日划入住房和城乡规划建设局，直属单位5个（城市综合管理执法大队、市容卫生管理所、国有土地上房屋征收与补偿办公室、市场物业管理站、雄州公园管理所）。主要负责南雄市城区的城管行政执法、市容环境卫生、房屋征收与补偿以及市场物业、雄州公园管理等职能。</w:t>
      </w:r>
    </w:p>
    <w:p w14:paraId="2E97565A">
      <w:pPr>
        <w:pStyle w:val="4"/>
        <w:bidi w:val="0"/>
        <w:rPr>
          <w:rFonts w:hint="eastAsia"/>
          <w:lang w:val="zh-CN"/>
        </w:rPr>
      </w:pPr>
      <w:r>
        <w:rPr>
          <w:rFonts w:hint="eastAsia"/>
          <w:lang w:val="zh-CN"/>
        </w:rPr>
        <w:t>【获得荣誉】</w:t>
      </w:r>
    </w:p>
    <w:p w14:paraId="25D4A421">
      <w:pPr>
        <w:bidi w:val="0"/>
        <w:rPr>
          <w:rFonts w:hint="eastAsia"/>
          <w:lang w:val="zh-CN"/>
        </w:rPr>
      </w:pPr>
      <w:r>
        <w:rPr>
          <w:rFonts w:hint="eastAsia"/>
          <w:lang w:val="zh-CN"/>
        </w:rPr>
        <w:t>2018年，南雄市市容卫生管理所被评为“广东省环卫工作先进集体”，环卫工人陈连英被评为广东省“优秀环卫工人”。</w:t>
      </w:r>
    </w:p>
    <w:p w14:paraId="1C682B40">
      <w:pPr>
        <w:pStyle w:val="4"/>
        <w:bidi w:val="0"/>
        <w:rPr>
          <w:rFonts w:hint="eastAsia"/>
          <w:lang w:val="zh-CN"/>
        </w:rPr>
      </w:pPr>
      <w:r>
        <w:rPr>
          <w:rFonts w:hint="eastAsia"/>
          <w:lang w:val="zh-CN"/>
        </w:rPr>
        <w:t>【市容市貌管理】</w:t>
      </w:r>
    </w:p>
    <w:p w14:paraId="43832D00">
      <w:pPr>
        <w:bidi w:val="0"/>
        <w:rPr>
          <w:rFonts w:hint="eastAsia"/>
          <w:lang w:val="zh-CN"/>
        </w:rPr>
      </w:pPr>
      <w:r>
        <w:rPr>
          <w:rFonts w:hint="eastAsia"/>
          <w:lang w:val="zh-CN"/>
        </w:rPr>
        <w:t>严管城区市容市貌，开展75次专项整治行动，查处流动摊贩及室外经营1096起，拆除乱搭雨棚等113处；清理乱设水泥路肩207处；清理围堵夜宵摊档87宗；清理菜地85平方米；加强城区道路污染监管力度，对城区道路污染现象进行专项整治，出动执法人员350人次，先后对78家建设单位（施工队）、164人次司机（车主）宣传相关政策，开展巡查和监控，查处23宗污染道路行为；加大对违章设立户外广告执法力度，在严把户外广告审批手续的同时，对不符合要求设置的户外广告进行专项整治，出动执法人员800余人次，拆除各类残旧广告设施60余处，面积330余平方米；拆除违规横幅及清除各类小广告980余处。</w:t>
      </w:r>
    </w:p>
    <w:p w14:paraId="699C8B29">
      <w:pPr>
        <w:pStyle w:val="4"/>
        <w:bidi w:val="0"/>
        <w:rPr>
          <w:rFonts w:hint="eastAsia"/>
          <w:lang w:val="zh-CN"/>
        </w:rPr>
      </w:pPr>
      <w:r>
        <w:rPr>
          <w:rFonts w:hint="eastAsia"/>
          <w:lang w:val="zh-CN"/>
        </w:rPr>
        <w:t>【执法检查】</w:t>
      </w:r>
    </w:p>
    <w:p w14:paraId="2D949D51">
      <w:pPr>
        <w:bidi w:val="0"/>
        <w:rPr>
          <w:rFonts w:hint="eastAsia"/>
          <w:lang w:val="zh-CN"/>
        </w:rPr>
      </w:pPr>
      <w:r>
        <w:rPr>
          <w:rFonts w:hint="eastAsia"/>
          <w:lang w:val="zh-CN"/>
        </w:rPr>
        <w:t>2018年，城管执法大队联合公安局、建设局、雄州街道、主田镇、供电局、水厂等部门开展23次专项整治行动，对莲塘、借村、田边水、河南街、水南等地违法建设进行严厉打击，出动执法人员5400余人次，采取停水、停电强制措施，收缴52批施工工具，拆除违法建筑和乱搭乱建乱占建筑面积4.48万平方米，制止违法建设410余宗，同时协助各个乡镇拆除建设开发项目中霸占搭建物和违建物60余起。</w:t>
      </w:r>
    </w:p>
    <w:p w14:paraId="31E244F4">
      <w:pPr>
        <w:pStyle w:val="4"/>
        <w:bidi w:val="0"/>
        <w:rPr>
          <w:rFonts w:hint="eastAsia"/>
          <w:lang w:val="zh-CN"/>
        </w:rPr>
      </w:pPr>
      <w:r>
        <w:rPr>
          <w:rFonts w:hint="eastAsia"/>
          <w:lang w:val="zh-CN"/>
        </w:rPr>
        <w:t>【物业管理】</w:t>
      </w:r>
    </w:p>
    <w:p w14:paraId="75E017BE">
      <w:pPr>
        <w:bidi w:val="0"/>
        <w:rPr>
          <w:rFonts w:hint="eastAsia"/>
          <w:lang w:val="zh-CN"/>
        </w:rPr>
      </w:pPr>
      <w:r>
        <w:rPr>
          <w:rFonts w:hint="eastAsia"/>
          <w:lang w:val="zh-CN"/>
        </w:rPr>
        <w:t>完成对新城市场公厕、光明市场公厕文明公厕升级改造工程，改造后公厕外表更加整洁美观；对三大市场及市场周边区域开展整治，狠抓市场经营秩序管理，市场经营摆卖秩序得到明显改善；对市场配套设施进行摸底检查、维修和改造工作。</w:t>
      </w:r>
    </w:p>
    <w:p w14:paraId="479793C0">
      <w:pPr>
        <w:pStyle w:val="4"/>
        <w:bidi w:val="0"/>
        <w:rPr>
          <w:rFonts w:hint="eastAsia"/>
          <w:lang w:val="zh-CN"/>
        </w:rPr>
      </w:pPr>
      <w:r>
        <w:rPr>
          <w:rFonts w:hint="eastAsia"/>
          <w:lang w:val="zh-CN"/>
        </w:rPr>
        <w:t>【房屋征收工作】</w:t>
      </w:r>
    </w:p>
    <w:p w14:paraId="6987CF11">
      <w:pPr>
        <w:bidi w:val="0"/>
        <w:rPr>
          <w:rFonts w:hint="eastAsia"/>
          <w:lang w:val="zh-CN"/>
        </w:rPr>
      </w:pPr>
      <w:r>
        <w:rPr>
          <w:rFonts w:hint="eastAsia"/>
          <w:lang w:val="zh-CN"/>
        </w:rPr>
        <w:t>完成对南雄市雄州镇环城中路54号之四号李玉英房屋征收补偿工作；完成环城中路54号中国石化集团资产经营管理有限公司广东石油分公司征收补偿工作，签订安置补偿协议；完成对中山街“钉子户”廻栏门11号拆迁补偿工作；完成河南街2-4号、8号的简易棚搬迁补偿工作以及河南街16号房屋征收补偿工作；协助借村垃圾中转站柴房搬迁补偿工作，涉及拆迁总户数7户，全部完成签约；完成中山街“三旧”改造项目红线范围内成本核算工作。</w:t>
      </w:r>
    </w:p>
    <w:p w14:paraId="370B4CFC">
      <w:pPr>
        <w:pStyle w:val="4"/>
        <w:bidi w:val="0"/>
        <w:rPr>
          <w:rFonts w:hint="eastAsia"/>
          <w:lang w:val="zh-CN"/>
        </w:rPr>
      </w:pPr>
      <w:r>
        <w:rPr>
          <w:rFonts w:hint="eastAsia"/>
          <w:lang w:val="zh-CN"/>
        </w:rPr>
        <w:t>【承接雄州公园管理】</w:t>
      </w:r>
    </w:p>
    <w:p w14:paraId="38912D3F">
      <w:pPr>
        <w:bidi w:val="0"/>
        <w:rPr>
          <w:rFonts w:hint="eastAsia"/>
          <w:lang w:val="zh-CN"/>
        </w:rPr>
      </w:pPr>
      <w:r>
        <w:rPr>
          <w:rFonts w:hint="eastAsia"/>
          <w:lang w:val="zh-CN"/>
        </w:rPr>
        <w:t>为理顺雄州公园管理体制，市决定将雄州街道管理的雄州公园管理所划转城管局负责管理。</w:t>
      </w:r>
    </w:p>
    <w:p w14:paraId="6C4FBFCB">
      <w:pPr>
        <w:pStyle w:val="4"/>
        <w:bidi w:val="0"/>
        <w:rPr>
          <w:rFonts w:hint="eastAsia"/>
          <w:lang w:val="zh-CN"/>
        </w:rPr>
      </w:pPr>
      <w:r>
        <w:rPr>
          <w:rFonts w:hint="eastAsia"/>
          <w:lang w:val="zh-CN"/>
        </w:rPr>
        <w:t>【重点工作】</w:t>
      </w:r>
    </w:p>
    <w:p w14:paraId="6E056BB7">
      <w:pPr>
        <w:bidi w:val="0"/>
        <w:rPr>
          <w:rFonts w:hint="eastAsia"/>
          <w:lang w:val="zh-CN"/>
        </w:rPr>
      </w:pPr>
      <w:r>
        <w:rPr>
          <w:rFonts w:hint="eastAsia"/>
          <w:lang w:val="zh-CN"/>
        </w:rPr>
        <w:t>城管局围绕“依法、精细、长效”的工作要求，制定《南雄市城管网格化管理工作方案》，安排7个网格长，并合理调整各网格人员，保证各网格、各片区、各街道工作定人、定岗、定责管理，执法队员按照网格化分工，各司其职，各负其责。城管局始终把城市网格化管理作为一项重要措施长期坚持，逐步完善城市管理和执法部门联动机制和考核工作机制，形成良性运转的城管和执法体系，在城市管理过程中，及时总结好的经验和做法，按照标本兼治、长效管理原则，推动城市管理向制度化、规范化和法制化方向发展，实现“科学、严格、精细、长效”的城市管理新格局。</w:t>
      </w:r>
    </w:p>
    <w:p w14:paraId="4BCC9B0B">
      <w:pPr>
        <w:pStyle w:val="4"/>
        <w:bidi w:val="0"/>
        <w:rPr>
          <w:rFonts w:hint="eastAsia"/>
          <w:lang w:val="zh-CN"/>
        </w:rPr>
      </w:pPr>
      <w:r>
        <w:rPr>
          <w:rFonts w:hint="eastAsia"/>
          <w:lang w:val="zh-CN"/>
        </w:rPr>
        <w:t>【民生实事】</w:t>
      </w:r>
    </w:p>
    <w:p w14:paraId="58BBFE90">
      <w:pPr>
        <w:bidi w:val="0"/>
        <w:rPr>
          <w:rFonts w:hint="eastAsia"/>
          <w:lang w:val="zh-CN"/>
        </w:rPr>
      </w:pPr>
      <w:r>
        <w:rPr>
          <w:rFonts w:hint="eastAsia"/>
          <w:lang w:val="zh-CN"/>
        </w:rPr>
        <w:t>市财政投入600万元进行繁荣市场升级改造，11月市市政工程建设公司开始动工建设，2018年年底完成工程进度60％；8月，南雄市引进社会资金对繁荣市场二楼进行提升改造，由广东东明股份有限公司承办，投入近1400万元，建设成一体化的现代农贸超市。工程2018年11月开始动工建设。（杨佳蔚）</w:t>
      </w:r>
    </w:p>
    <w:p w14:paraId="22F7B9E1">
      <w:pPr>
        <w:pStyle w:val="11"/>
        <w:bidi w:val="0"/>
        <w:rPr>
          <w:rFonts w:hint="eastAsia"/>
          <w:b/>
          <w:bCs/>
          <w:lang w:val="zh-CN"/>
        </w:rPr>
      </w:pPr>
      <w:r>
        <w:rPr>
          <w:rFonts w:hint="eastAsia"/>
          <w:b/>
          <w:bCs/>
          <w:lang w:val="zh-CN"/>
        </w:rPr>
        <w:t>附：2018年市城市综合管理局领导班子成员名单</w:t>
      </w:r>
    </w:p>
    <w:p w14:paraId="281B365B">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刘景通</w:t>
      </w:r>
    </w:p>
    <w:p w14:paraId="5D7F8896">
      <w:pPr>
        <w:pStyle w:val="11"/>
        <w:bidi w:val="0"/>
        <w:rPr>
          <w:rFonts w:hint="eastAsia"/>
          <w:lang w:val="zh-CN"/>
        </w:rPr>
      </w:pPr>
      <w:r>
        <w:rPr>
          <w:rFonts w:hint="eastAsia"/>
          <w:b/>
          <w:bCs/>
          <w:lang w:val="zh-CN"/>
        </w:rPr>
        <w:t>专职副局长：</w:t>
      </w:r>
      <w:r>
        <w:rPr>
          <w:rFonts w:hint="eastAsia"/>
          <w:lang w:val="zh-CN"/>
        </w:rPr>
        <w:t>张英军</w:t>
      </w:r>
    </w:p>
    <w:p w14:paraId="259B355F">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黄守强</w:t>
      </w:r>
    </w:p>
    <w:p w14:paraId="506DE408">
      <w:pPr>
        <w:pStyle w:val="11"/>
        <w:bidi w:val="0"/>
        <w:rPr>
          <w:rFonts w:hint="eastAsia"/>
          <w:lang w:val="zh-CN"/>
        </w:rPr>
      </w:pPr>
      <w:r>
        <w:rPr>
          <w:rFonts w:hint="eastAsia"/>
          <w:b/>
          <w:bCs/>
          <w:lang w:val="zh-CN"/>
        </w:rPr>
        <w:t>副主任科员：</w:t>
      </w:r>
      <w:r>
        <w:rPr>
          <w:rFonts w:hint="eastAsia"/>
          <w:lang w:val="zh-CN"/>
        </w:rPr>
        <w:t>张爱华</w:t>
      </w:r>
    </w:p>
    <w:p w14:paraId="03DDB347">
      <w:pPr>
        <w:pStyle w:val="11"/>
        <w:bidi w:val="0"/>
        <w:rPr>
          <w:rFonts w:hint="eastAsia"/>
          <w:lang w:val="zh-CN"/>
        </w:rPr>
      </w:pPr>
      <w:r>
        <w:rPr>
          <w:rFonts w:hint="eastAsia"/>
          <w:b/>
          <w:bCs/>
          <w:lang w:val="zh-CN"/>
        </w:rPr>
        <w:t>工</w:t>
      </w:r>
      <w:r>
        <w:rPr>
          <w:rFonts w:hint="eastAsia"/>
          <w:b/>
          <w:bCs/>
          <w:lang w:val="en-US" w:eastAsia="zh-CN"/>
        </w:rPr>
        <w:t xml:space="preserve"> </w:t>
      </w:r>
      <w:r>
        <w:rPr>
          <w:rFonts w:hint="eastAsia"/>
          <w:b/>
          <w:bCs/>
          <w:lang w:val="zh-CN"/>
        </w:rPr>
        <w:t>会</w:t>
      </w:r>
      <w:r>
        <w:rPr>
          <w:rFonts w:hint="eastAsia"/>
          <w:b/>
          <w:bCs/>
          <w:lang w:val="en-US" w:eastAsia="zh-CN"/>
        </w:rPr>
        <w:t xml:space="preserve"> </w:t>
      </w:r>
      <w:r>
        <w:rPr>
          <w:rFonts w:hint="eastAsia"/>
          <w:b/>
          <w:bCs/>
          <w:lang w:val="zh-CN"/>
        </w:rPr>
        <w:t>主席：</w:t>
      </w:r>
      <w:r>
        <w:rPr>
          <w:rFonts w:hint="eastAsia"/>
          <w:lang w:val="zh-CN"/>
        </w:rPr>
        <w:t>邓</w:t>
      </w:r>
      <w:r>
        <w:rPr>
          <w:rFonts w:hint="eastAsia"/>
          <w:lang w:val="en-US" w:eastAsia="zh-CN"/>
        </w:rPr>
        <w:t xml:space="preserve">  </w:t>
      </w:r>
      <w:r>
        <w:rPr>
          <w:rFonts w:hint="eastAsia"/>
          <w:lang w:val="zh-CN"/>
        </w:rPr>
        <w:t>盛</w:t>
      </w:r>
    </w:p>
    <w:p w14:paraId="22BF3117">
      <w:pPr>
        <w:pStyle w:val="3"/>
        <w:bidi w:val="0"/>
        <w:rPr>
          <w:rFonts w:hint="eastAsia"/>
          <w:lang w:val="zh-CN"/>
        </w:rPr>
      </w:pPr>
      <w:r>
        <w:rPr>
          <w:rFonts w:hint="eastAsia"/>
          <w:lang w:val="zh-CN"/>
        </w:rPr>
        <w:t>环境保护</w:t>
      </w:r>
    </w:p>
    <w:p w14:paraId="17D69FB2">
      <w:pPr>
        <w:pStyle w:val="4"/>
        <w:bidi w:val="0"/>
        <w:rPr>
          <w:rFonts w:hint="eastAsia"/>
          <w:lang w:val="zh-CN"/>
        </w:rPr>
      </w:pPr>
      <w:r>
        <w:rPr>
          <w:rFonts w:hint="eastAsia"/>
          <w:lang w:val="zh-CN"/>
        </w:rPr>
        <w:t>【概况】</w:t>
      </w:r>
    </w:p>
    <w:p w14:paraId="0ABC4C33">
      <w:pPr>
        <w:bidi w:val="0"/>
        <w:rPr>
          <w:rFonts w:hint="eastAsia"/>
          <w:lang w:val="zh-CN"/>
        </w:rPr>
      </w:pPr>
      <w:r>
        <w:rPr>
          <w:rFonts w:hint="eastAsia"/>
          <w:lang w:val="zh-CN"/>
        </w:rPr>
        <w:t>南雄市环境保护局成立于1981年5月，其前身是南雄县人民政府环境保护办公室，1987年5月更名为环境保护局，是市政府组成部门，正科级行政单位。行政编制18名（其中行政执法专项编制11名）。其中局长1名，副局长职数3名，内设人事秘书股、规划审批股、污染控制股、环境应急与监察股（外挂环境监察分局）、法制宣教股5个股室，下辖2个股级事业单位：环境监测站、广东省地表水水质自动监测系统南雄昆仑子站（下称“昆仑子站”）。核有监测站事业编制20名，昆仑子站事业编制6名。在职36人。</w:t>
      </w:r>
    </w:p>
    <w:p w14:paraId="3A185EFD">
      <w:pPr>
        <w:bidi w:val="0"/>
        <w:rPr>
          <w:rFonts w:hint="eastAsia"/>
          <w:lang w:val="zh-CN"/>
        </w:rPr>
      </w:pPr>
      <w:r>
        <w:rPr>
          <w:rFonts w:hint="eastAsia"/>
          <w:lang w:val="zh-CN"/>
        </w:rPr>
        <w:t>2018年完成各项环保目标要求，获得国家生态转移支付资金1.1亿元和省级环保专项资金近1000万元，全市环境质量总体稳定向好，环境安全得到保障。</w:t>
      </w:r>
    </w:p>
    <w:p w14:paraId="143819FB">
      <w:pPr>
        <w:pStyle w:val="4"/>
        <w:bidi w:val="0"/>
        <w:rPr>
          <w:rFonts w:hint="eastAsia"/>
          <w:lang w:val="zh-CN"/>
        </w:rPr>
      </w:pPr>
      <w:r>
        <w:rPr>
          <w:rFonts w:hint="eastAsia"/>
          <w:lang w:val="zh-CN"/>
        </w:rPr>
        <w:t>【环境规划审批服务】</w:t>
      </w:r>
    </w:p>
    <w:p w14:paraId="6C58F060">
      <w:pPr>
        <w:bidi w:val="0"/>
        <w:rPr>
          <w:rFonts w:hint="eastAsia"/>
          <w:lang w:val="zh-CN"/>
        </w:rPr>
      </w:pPr>
      <w:r>
        <w:rPr>
          <w:rFonts w:hint="eastAsia"/>
          <w:lang w:val="zh-CN"/>
        </w:rPr>
        <w:t>按照“布局合理、用好存量、留足空间”原则，将市域环境保护与生态建设规划纳入城市总体规划，严格控制新增生态损害项目用地，为区域生态可持续发展预留空间；制定发布《南雄市城市高污染燃料禁燃区划分方案》，完成城市集中式饮用水源保护区的规划调整工作和南雄市生态保护红线的划定工作。优化办事程序，提高审批效率。2018年完成建设项目环境影响报告表审批36个，备案71个，环评执行率100%，发放及更换排污许可证57本，出具环保意见70多份，协助企业完成自主验收项目26个，竣工环保验收网上登记22个。</w:t>
      </w:r>
    </w:p>
    <w:p w14:paraId="6B7EDB15">
      <w:pPr>
        <w:pStyle w:val="4"/>
        <w:bidi w:val="0"/>
        <w:rPr>
          <w:rFonts w:hint="eastAsia"/>
          <w:lang w:val="zh-CN"/>
        </w:rPr>
      </w:pPr>
      <w:r>
        <w:rPr>
          <w:rFonts w:hint="eastAsia"/>
          <w:lang w:val="zh-CN"/>
        </w:rPr>
        <w:t>【污染减排】</w:t>
      </w:r>
    </w:p>
    <w:p w14:paraId="40D05EDB">
      <w:pPr>
        <w:bidi w:val="0"/>
        <w:rPr>
          <w:rFonts w:hint="eastAsia"/>
          <w:lang w:val="zh-CN"/>
        </w:rPr>
      </w:pPr>
      <w:r>
        <w:rPr>
          <w:rFonts w:hint="eastAsia"/>
          <w:lang w:val="zh-CN"/>
        </w:rPr>
        <w:t>完善大气污染防治工作联络机制，健全空气质量监测网络，促进环保、住建、公安、城管等部门各司其职、各尽其责，共同推动大气污染防治工作。制定并落实《南雄市2018年主要污染物总量减排工作计划》，开展工程治理减排、结构调整减排、监督管理减排。发挥园区3个挥发性有机物质（VOCs）在线自动监测系统的预警监测功能，及时掌握园区大气中挥发性有机物质的聚集与扩散程度，开展园区企业挥发性有机物质整治工作；指导韶能本色公司和园区远大、衡光化工公司完成清洁生产工作；督促珠玑纸业进一步加大资金投入，2019年7月底前完成对现有废臭气治理工艺升级改造，提升其废臭气治理水平。开展道路与工地扬尘治理。加密城区道路洒水频次，强化垃圾清运保洁，加强建筑工地扬尘管理。完成森林碳汇造林1.46万亩、生态经管林带建设0.3万亩、森林公园22个、乡村绿化美化示范点69个，森林覆盖率达65.3%。强化烟花爆竹禁燃区管理工作，加大夜宵摊档综合整治，促进大气环境质量有效改善。</w:t>
      </w:r>
    </w:p>
    <w:p w14:paraId="4AE4998A">
      <w:pPr>
        <w:bidi w:val="0"/>
        <w:rPr>
          <w:rFonts w:hint="eastAsia"/>
          <w:lang w:val="zh-CN"/>
        </w:rPr>
      </w:pPr>
      <w:r>
        <w:rPr>
          <w:rFonts w:hint="eastAsia"/>
          <w:lang w:val="zh-CN"/>
        </w:rPr>
        <w:t>继续全面推行“河长制”，落实最严格的水资源保护制度。开展瀑布水库、苍石水库县级集中式饮用水源保护区整治，推进镇级饮用水源地宣传标识、围栏建设和蛇岭水库、孔江水库湿地公园环境综合治理工作。有效控制农业面源污染，开展高效低毒低残留农药试验，建立水稻病虫害绿色防控示范区面积650亩，推广施用测土配方有机肥，回收再利用烟叶地膜总量246吨、面积4.9万亩。投入587万元完成珠江污水处理厂管网维修改造，启动北城区污水总管网建设和珠江污水处理厂一期提标改造项目，推进镇村污水处理设施及管网建设，保障城镇污水处理率达90%以上。深入推进畜禽养殖污染环境综合整治工作，2018年完成10户农业源、累计2.64万头猪的减排项目治理设施建设，关停累计1.69万头猪的养殖场38户，推动10户养殖场开展异位发酵床及高效现代养殖技术提升改造工作。</w:t>
      </w:r>
    </w:p>
    <w:p w14:paraId="71F83F37">
      <w:pPr>
        <w:bidi w:val="0"/>
        <w:rPr>
          <w:rFonts w:hint="eastAsia"/>
          <w:lang w:val="zh-CN"/>
        </w:rPr>
      </w:pPr>
      <w:r>
        <w:rPr>
          <w:rFonts w:hint="eastAsia"/>
          <w:lang w:val="zh-CN"/>
        </w:rPr>
        <w:t>推进土壤污染整治，制定印发《南雄市2018年土壤污染防治先行区建设计划》，启动重点行业企业用地污染状况详查第二阶段入场调查工作。严格贯彻落实矿产资源总体规划，强化砂石黏土等非金属矿开发布局管控。成功申报棉土窝钨矿和奥威斯酒店龙华山温泉省级绿色矿区，推动绿色矿山建设。进一步完善农村生活垃圾收运体系建设。推进镇级垃圾简易填埋场整改工作，抓好“一县一场、一镇一站、一村一点”的农村生活垃圾治理设施建设，实现村庄保洁覆盖面100%，垃圾分类减量50.2%，有效处理率95%。</w:t>
      </w:r>
    </w:p>
    <w:p w14:paraId="5E0CE956">
      <w:pPr>
        <w:pStyle w:val="4"/>
        <w:bidi w:val="0"/>
        <w:rPr>
          <w:rFonts w:hint="eastAsia"/>
          <w:lang w:val="zh-CN"/>
        </w:rPr>
      </w:pPr>
      <w:r>
        <w:rPr>
          <w:rFonts w:hint="eastAsia"/>
          <w:lang w:val="zh-CN"/>
        </w:rPr>
        <w:t>【监管执法】</w:t>
      </w:r>
    </w:p>
    <w:p w14:paraId="53A3B9B0">
      <w:pPr>
        <w:bidi w:val="0"/>
        <w:rPr>
          <w:rFonts w:hint="eastAsia"/>
          <w:lang w:val="zh-CN"/>
        </w:rPr>
      </w:pPr>
      <w:r>
        <w:rPr>
          <w:rFonts w:hint="eastAsia"/>
          <w:lang w:val="zh-CN"/>
        </w:rPr>
        <w:t>继续创新环保监管执法方式，不断提升监管执法的信息化、规范化和精准化水平；组织开展100家企业“双随机”抽查工作，同步开展常态化环境安全执法检查与专项整治行动，对国控、园区企业开展现场移动执法；扎实推进环保法治能力建设，持续开展环境执法大练兵和国家、省市环保部门交叉执法活动；完善《环保信访工作制度》，畅通群众投诉渠道，充分倾听群众诉求，开展常态化夜间执法，下达整改通知120多份，立案25宗，处罚款人民币60.6万元，有力打击环境违法行为，保障全市环境安全。解决重点环境问题，完成中央环保督察“回头看”工作、市县交叉巡察、环保专项督查以及省环保督察工作，及时处结交办案件53宗。加强与市场监管及食药监部门沟通，强化餐饮排污单位从选址建设到投入运营的源头管控与联合执法，做好事前介入、事中事后监督。责成对油烟未有效处理的餐饮单位完成整改工作，开展市区周边农庄污水、油烟直排情况的排查和整治；强化与住建城管部门的联防联控与联动执法，加大对城市工地扬尘及噪声污染的防治力度。对农村群众反映强烈的南亩镇官田村等部分散养户未完善环保设施污染环境问题，联合国土、农业（畜牧）和当地镇政府组织全面排查限期整改，对违法行为依法立案查处，对整改不到位的予以清栏关停。对镇级垃圾填埋场、县级饮用水源保护区违法项目、畜禽养殖禁养区清理以及自然保护区4个专项整改工作进行收尾整治，并将自查自纠作为一项常态化机制，定期对环境问题开展排查，切实做到发现一个、整改一个、销号一个。</w:t>
      </w:r>
    </w:p>
    <w:p w14:paraId="49A20731">
      <w:pPr>
        <w:pStyle w:val="4"/>
        <w:bidi w:val="0"/>
        <w:rPr>
          <w:rFonts w:hint="eastAsia"/>
          <w:lang w:val="zh-CN"/>
        </w:rPr>
      </w:pPr>
      <w:r>
        <w:rPr>
          <w:rFonts w:hint="eastAsia"/>
          <w:lang w:val="zh-CN"/>
        </w:rPr>
        <w:t>【信访维稳】</w:t>
      </w:r>
    </w:p>
    <w:p w14:paraId="1B08F000">
      <w:pPr>
        <w:bidi w:val="0"/>
        <w:rPr>
          <w:rFonts w:hint="eastAsia"/>
          <w:lang w:val="zh-CN"/>
        </w:rPr>
      </w:pPr>
      <w:r>
        <w:rPr>
          <w:rFonts w:hint="eastAsia"/>
          <w:lang w:val="zh-CN"/>
        </w:rPr>
        <w:t>2018年受理各类环境问题信访事项总数319件，比上年同期增加31%，处理率100%，办结率100%。从信访件来源看，主要是网络投诉件居多，其中来自12345平台投诉194宗、韶关局及12369转来投诉62件、网络问政41件，来访5人次、来信2件。上级环保督（巡）察、巡视组转办案件53件。从信访件种类看，水污染12件、大气污染68件、固体废物0件、噪声污染129件、固体废物污染2件、电磁辐射污染0件、第三产业油烟污染27件、畜养（猪）污染71件、粉尘0件、其他（咨询）10件。把矛盾纠纷化解在基层，没有出现越级上访情况。</w:t>
      </w:r>
    </w:p>
    <w:p w14:paraId="40E8DDA0">
      <w:pPr>
        <w:pStyle w:val="4"/>
        <w:bidi w:val="0"/>
        <w:rPr>
          <w:rFonts w:hint="eastAsia"/>
          <w:lang w:val="zh-CN"/>
        </w:rPr>
      </w:pPr>
      <w:r>
        <w:rPr>
          <w:rFonts w:hint="eastAsia"/>
          <w:lang w:val="zh-CN"/>
        </w:rPr>
        <w:t>【监测应急】</w:t>
      </w:r>
    </w:p>
    <w:p w14:paraId="57071208">
      <w:pPr>
        <w:bidi w:val="0"/>
        <w:rPr>
          <w:rFonts w:hint="eastAsia"/>
          <w:lang w:val="zh-CN"/>
        </w:rPr>
      </w:pPr>
      <w:r>
        <w:rPr>
          <w:rFonts w:hint="eastAsia"/>
          <w:lang w:val="zh-CN"/>
        </w:rPr>
        <w:t>完成环境空气自动站搬迁和孔江水库国家水站站房建设，安装并运行在线监测仪器；通过“请进来，走出去”模式对监测人员进行监测技术及高级精密仪器基本原理的培训，使监测站具备对园区特征污染物挥发性有机物VOCs、臭气浓度监测监管能力。每月定期对瀑布水库、园区污水处理厂、江河水质及工业污染点源进行监测和空气质量自动监测系统涉二氧化硫（SO2）、二氧化氮（NO2）、可吸入颗粒物（PM10）、细颗粒物（PM2.5）、臭氧（O3）、一氧化碳（CO）指标的常态监控监测与委托监测，出具监测报告131份；做好与江西信丰跨省界国控断面-孔江水库上游水体水质联合监测工作；按照国家重点生态功能区要求，完成南雄市动态村（珠玑镇聪背村、里东村、南山村）环境空气质量、乡镇饮用水源地水质状况监测。</w:t>
      </w:r>
    </w:p>
    <w:p w14:paraId="39979BD0">
      <w:pPr>
        <w:pStyle w:val="4"/>
        <w:bidi w:val="0"/>
        <w:rPr>
          <w:rFonts w:hint="eastAsia"/>
          <w:lang w:val="zh-CN"/>
        </w:rPr>
      </w:pPr>
      <w:r>
        <w:rPr>
          <w:rFonts w:hint="eastAsia"/>
          <w:lang w:val="zh-CN"/>
        </w:rPr>
        <w:t>【环保宣传】</w:t>
      </w:r>
    </w:p>
    <w:p w14:paraId="1F7A57CA">
      <w:pPr>
        <w:bidi w:val="0"/>
        <w:rPr>
          <w:rFonts w:hint="eastAsia"/>
          <w:lang w:val="zh-CN"/>
        </w:rPr>
      </w:pPr>
      <w:r>
        <w:rPr>
          <w:rFonts w:hint="eastAsia"/>
          <w:lang w:val="zh-CN"/>
        </w:rPr>
        <w:t>进一步拓展宣传渠道，广泛深入宣传生态环保理念，营造良好社会氛围。一是采取进村入户、送科技下乡等形式宣传农化品安全使用和秸秆综合利用、林业生态环保知识，强化“绿水青山就是金山银山”的新理念教育；二是围绕创建“绿色学校”主题，组织青年干部进校园讲授生态环保常识、发放宣传册，开展环保知识竞答活动，让生态理念深入校园环境，从小牢固树立环保意识；三是在全市镇街、产业园区、学校设立宣传栏，制作宣传牌，悬挂宣传标语，大力宣传生态环保文化；四是利用“世界湿地日、世界环境日、水日”等时间节点，邀请专家学者开展专题授课辅导，广普生态环保知识；五是组织青年志愿者开展“走进环保”座谈交流，参观珠玑纸业等重点企业生产工艺和污染治理过程，普及专业环保知识，及时回应民众关心的环保热点和难点问题。</w:t>
      </w:r>
    </w:p>
    <w:p w14:paraId="706DAAA8">
      <w:pPr>
        <w:pStyle w:val="4"/>
        <w:bidi w:val="0"/>
        <w:rPr>
          <w:rFonts w:hint="eastAsia"/>
          <w:lang w:val="zh-CN"/>
        </w:rPr>
      </w:pPr>
      <w:r>
        <w:rPr>
          <w:rFonts w:hint="eastAsia"/>
          <w:lang w:val="zh-CN"/>
        </w:rPr>
        <w:t>【环境质量】</w:t>
      </w:r>
    </w:p>
    <w:p w14:paraId="769910C8">
      <w:pPr>
        <w:bidi w:val="0"/>
        <w:rPr>
          <w:rFonts w:hint="eastAsia"/>
          <w:lang w:val="zh-CN"/>
        </w:rPr>
      </w:pPr>
      <w:r>
        <w:rPr>
          <w:rFonts w:hint="eastAsia"/>
          <w:lang w:val="zh-CN"/>
        </w:rPr>
        <w:t>全市环境质量状况为优良。全市全年空气质量优良以上达标率为95.45%；饮用水源整体水质状况综合评价达到国家I类标准，达标率为100.0%；江河水质和城市区域环境噪声质量总体良好，均达到相应功能区标准。</w:t>
      </w:r>
    </w:p>
    <w:p w14:paraId="1DE71E9E">
      <w:pPr>
        <w:bidi w:val="0"/>
        <w:rPr>
          <w:rFonts w:hint="eastAsia"/>
          <w:lang w:val="zh-CN"/>
        </w:rPr>
      </w:pPr>
      <w:r>
        <w:rPr>
          <w:rFonts w:hint="eastAsia"/>
          <w:b/>
          <w:bCs/>
          <w:lang w:val="zh-CN"/>
        </w:rPr>
        <w:t>水环境质量</w:t>
      </w:r>
      <w:r>
        <w:rPr>
          <w:rFonts w:hint="eastAsia"/>
          <w:b/>
          <w:bCs/>
          <w:lang w:val="en-US" w:eastAsia="zh-CN"/>
        </w:rPr>
        <w:t xml:space="preserve">   </w:t>
      </w:r>
      <w:r>
        <w:rPr>
          <w:rFonts w:hint="eastAsia"/>
          <w:lang w:val="zh-CN"/>
        </w:rPr>
        <w:t>饮用水源水质为清洁分级。南雄市集中式生活饮用水源瀑布水库中库坝和塘坪两个断面年均值符合《地表水环境质量标准》（GB3838-2002）Ⅰ类水质标准。（见表17）。河流水质良好。浈江全河段水质类别Ⅰ～Ⅲ类水质比例为100%，整体水质状况为优。（见表19）。</w:t>
      </w:r>
    </w:p>
    <w:p w14:paraId="4FE4A586">
      <w:pPr>
        <w:bidi w:val="0"/>
        <w:rPr>
          <w:rFonts w:hint="eastAsia"/>
          <w:lang w:val="zh-CN"/>
        </w:rPr>
      </w:pPr>
      <w:r>
        <w:rPr>
          <w:rFonts w:hint="eastAsia"/>
          <w:b/>
          <w:bCs/>
          <w:lang w:val="zh-CN"/>
        </w:rPr>
        <w:t>大气环境</w:t>
      </w:r>
      <w:r>
        <w:rPr>
          <w:rFonts w:hint="eastAsia"/>
          <w:b/>
          <w:bCs/>
          <w:lang w:val="en-US" w:eastAsia="zh-CN"/>
        </w:rPr>
        <w:t xml:space="preserve">   </w:t>
      </w:r>
      <w:r>
        <w:rPr>
          <w:rFonts w:hint="eastAsia"/>
          <w:lang w:val="zh-CN"/>
        </w:rPr>
        <w:t>南雄市大气中二氧化硫（SO2）、二氧化氮（NO2）、一氧化碳（CO）等主要监测指标年均值达到国家环境空气质量一级标准；可吸入颗粒物（PM10）、细颗粒物（PM2.5）年均值优于二级标准；降尘低于广东省参考评价值8.00吨/平方千米·月，实际为3.72吨/平方千米·月（见表20）。从空气质量污染特征看，所测的污染指数指标均小于评价标准，显示我市环境空气质量稳定在可控范围（见表21）。南雄市区降水pH值范围为4.42～5.23之间，年均值为4.83，同比上年持平。（见表22）。</w:t>
      </w:r>
    </w:p>
    <w:p w14:paraId="4246FC95">
      <w:pPr>
        <w:bidi w:val="0"/>
        <w:rPr>
          <w:rFonts w:hint="eastAsia"/>
          <w:lang w:val="zh-CN"/>
        </w:rPr>
      </w:pPr>
      <w:r>
        <w:rPr>
          <w:rFonts w:hint="eastAsia"/>
          <w:b/>
          <w:bCs/>
          <w:lang w:val="zh-CN"/>
        </w:rPr>
        <w:t>声环境</w:t>
      </w:r>
      <w:r>
        <w:rPr>
          <w:rFonts w:hint="eastAsia"/>
          <w:b/>
          <w:bCs/>
          <w:lang w:val="en-US" w:eastAsia="zh-CN"/>
        </w:rPr>
        <w:t xml:space="preserve">  </w:t>
      </w:r>
      <w:r>
        <w:rPr>
          <w:rFonts w:hint="eastAsia"/>
          <w:lang w:val="zh-CN"/>
        </w:rPr>
        <w:t>依据《声环境质量评价方法技术规定》，对城市区域环境噪声、道路交通噪声的质量状况评价如下：、全城区10条主要道路交通噪声平均等效声级66.3dB（A），低于4a类区（交通干线）环境噪声昼间标准值70.0dB（A）要求，道路交通噪声质量等级整体略低于功能区标准（见表23）。城市区域环境噪声平均等效声级为50.7dB（A），低于1类区55dB（A）的标准，同比上年下降5.6%，总体上全年区域环境噪声质量等级属较好。（见表24、表25）。</w:t>
      </w:r>
    </w:p>
    <w:p w14:paraId="3AA68866">
      <w:pPr>
        <w:bidi w:val="0"/>
        <w:ind w:left="0" w:leftChars="0" w:firstLine="0" w:firstLineChars="0"/>
        <w:jc w:val="center"/>
        <w:rPr>
          <w:rFonts w:hint="eastAsia"/>
          <w:b/>
          <w:bCs/>
          <w:lang w:val="zh-CN"/>
        </w:rPr>
      </w:pPr>
      <w:r>
        <w:rPr>
          <w:rFonts w:hint="eastAsia"/>
          <w:b/>
          <w:bCs/>
          <w:lang w:val="zh-CN"/>
        </w:rPr>
        <w:t>表17</w:t>
      </w:r>
      <w:r>
        <w:rPr>
          <w:rFonts w:hint="eastAsia"/>
          <w:b/>
          <w:bCs/>
          <w:lang w:val="en-US" w:eastAsia="zh-CN"/>
        </w:rPr>
        <w:t xml:space="preserve">  </w:t>
      </w:r>
      <w:r>
        <w:rPr>
          <w:rFonts w:hint="eastAsia"/>
          <w:b/>
          <w:bCs/>
          <w:lang w:val="zh-CN"/>
        </w:rPr>
        <w:t>南雄市饮用水水源地水质年度比较情况</w:t>
      </w:r>
    </w:p>
    <w:tbl>
      <w:tblPr>
        <w:tblStyle w:val="7"/>
        <w:tblW w:w="4998" w:type="pct"/>
        <w:tblInd w:w="0" w:type="dxa"/>
        <w:tblLayout w:type="autofit"/>
        <w:tblCellMar>
          <w:top w:w="0" w:type="dxa"/>
          <w:left w:w="0" w:type="dxa"/>
          <w:bottom w:w="0" w:type="dxa"/>
          <w:right w:w="0" w:type="dxa"/>
        </w:tblCellMar>
      </w:tblPr>
      <w:tblGrid>
        <w:gridCol w:w="1218"/>
        <w:gridCol w:w="1218"/>
        <w:gridCol w:w="1218"/>
        <w:gridCol w:w="1222"/>
        <w:gridCol w:w="1218"/>
        <w:gridCol w:w="1220"/>
        <w:gridCol w:w="1218"/>
        <w:gridCol w:w="1210"/>
      </w:tblGrid>
      <w:tr w14:paraId="5AF59EA8">
        <w:tblPrEx>
          <w:tblCellMar>
            <w:top w:w="0" w:type="dxa"/>
            <w:left w:w="0" w:type="dxa"/>
            <w:bottom w:w="0" w:type="dxa"/>
            <w:right w:w="0" w:type="dxa"/>
          </w:tblCellMar>
        </w:tblPrEx>
        <w:trPr>
          <w:trHeight w:val="395" w:hRule="atLeast"/>
        </w:trPr>
        <w:tc>
          <w:tcPr>
            <w:tcW w:w="625" w:type="pct"/>
            <w:vMerge w:val="restart"/>
            <w:tcBorders>
              <w:top w:val="single" w:color="auto" w:sz="4" w:space="0"/>
              <w:left w:val="nil"/>
              <w:bottom w:val="single" w:color="auto" w:sz="4" w:space="0"/>
              <w:right w:val="single" w:color="auto" w:sz="4" w:space="0"/>
            </w:tcBorders>
            <w:shd w:val="clear" w:color="auto" w:fill="FFFFFF"/>
            <w:noWrap w:val="0"/>
            <w:vAlign w:val="center"/>
          </w:tcPr>
          <w:p w14:paraId="7C310413">
            <w:pPr>
              <w:pStyle w:val="11"/>
              <w:bidi w:val="0"/>
              <w:jc w:val="center"/>
              <w:rPr>
                <w:rFonts w:hint="eastAsia"/>
                <w:b/>
                <w:bCs/>
                <w:color w:val="000000"/>
                <w:lang w:val="zh-CN"/>
              </w:rPr>
            </w:pPr>
            <w:r>
              <w:rPr>
                <w:rFonts w:hint="eastAsia"/>
                <w:b/>
                <w:bCs/>
                <w:color w:val="000000"/>
                <w:lang w:val="zh-CN"/>
              </w:rPr>
              <w:t>饮用水源地</w:t>
            </w:r>
          </w:p>
        </w:tc>
        <w:tc>
          <w:tcPr>
            <w:tcW w:w="1877" w:type="pct"/>
            <w:gridSpan w:val="3"/>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2A73839D">
            <w:pPr>
              <w:pStyle w:val="11"/>
              <w:bidi w:val="0"/>
              <w:jc w:val="center"/>
              <w:rPr>
                <w:rFonts w:hint="eastAsia"/>
                <w:b/>
                <w:bCs/>
                <w:color w:val="000000"/>
                <w:lang w:val="zh-CN"/>
              </w:rPr>
            </w:pPr>
            <w:r>
              <w:rPr>
                <w:rFonts w:hint="eastAsia"/>
                <w:b/>
                <w:bCs/>
                <w:color w:val="000000"/>
                <w:lang w:val="zh-CN"/>
              </w:rPr>
              <w:t>综合污染指数</w:t>
            </w:r>
          </w:p>
        </w:tc>
        <w:tc>
          <w:tcPr>
            <w:tcW w:w="1251" w:type="pct"/>
            <w:gridSpan w:val="2"/>
            <w:tcBorders>
              <w:top w:val="single" w:color="auto" w:sz="4" w:space="0"/>
              <w:left w:val="single" w:color="auto" w:sz="4" w:space="0"/>
              <w:bottom w:val="single" w:color="auto" w:sz="4" w:space="0"/>
              <w:right w:val="single" w:color="auto" w:sz="4" w:space="0"/>
            </w:tcBorders>
            <w:shd w:val="clear" w:color="auto" w:fill="FFFFFF"/>
            <w:noWrap w:val="0"/>
            <w:tcMar>
              <w:top w:w="0" w:type="dxa"/>
              <w:left w:w="0" w:type="dxa"/>
              <w:bottom w:w="0" w:type="dxa"/>
              <w:right w:w="0" w:type="dxa"/>
            </w:tcMar>
            <w:vAlign w:val="center"/>
          </w:tcPr>
          <w:p w14:paraId="249CD046">
            <w:pPr>
              <w:pStyle w:val="11"/>
              <w:bidi w:val="0"/>
              <w:jc w:val="center"/>
              <w:rPr>
                <w:rFonts w:hint="eastAsia"/>
                <w:b/>
                <w:bCs/>
                <w:color w:val="000000"/>
                <w:lang w:val="zh-CN"/>
              </w:rPr>
            </w:pPr>
            <w:r>
              <w:rPr>
                <w:rFonts w:hint="eastAsia"/>
                <w:b/>
                <w:bCs/>
                <w:color w:val="000000"/>
                <w:lang w:val="zh-CN"/>
              </w:rPr>
              <w:t>水质类别</w:t>
            </w:r>
          </w:p>
        </w:tc>
        <w:tc>
          <w:tcPr>
            <w:tcW w:w="1245" w:type="pct"/>
            <w:gridSpan w:val="2"/>
            <w:tcBorders>
              <w:top w:val="single" w:color="auto" w:sz="4" w:space="0"/>
              <w:left w:val="single" w:color="auto" w:sz="4" w:space="0"/>
              <w:bottom w:val="single" w:color="auto" w:sz="4" w:space="0"/>
              <w:right w:val="nil"/>
            </w:tcBorders>
            <w:shd w:val="clear" w:color="auto" w:fill="FFFFFF"/>
            <w:noWrap w:val="0"/>
            <w:tcMar>
              <w:top w:w="0" w:type="dxa"/>
              <w:bottom w:w="0" w:type="dxa"/>
            </w:tcMar>
            <w:vAlign w:val="center"/>
          </w:tcPr>
          <w:p w14:paraId="662A8AF5">
            <w:pPr>
              <w:pStyle w:val="11"/>
              <w:bidi w:val="0"/>
              <w:jc w:val="center"/>
              <w:rPr>
                <w:rFonts w:hint="eastAsia"/>
                <w:b/>
                <w:bCs/>
                <w:color w:val="000000"/>
                <w:lang w:val="zh-CN"/>
              </w:rPr>
            </w:pPr>
            <w:r>
              <w:rPr>
                <w:rFonts w:hint="eastAsia"/>
                <w:b/>
                <w:bCs/>
                <w:color w:val="000000"/>
                <w:lang w:val="zh-CN"/>
              </w:rPr>
              <w:t>达标率</w:t>
            </w:r>
          </w:p>
        </w:tc>
      </w:tr>
      <w:tr w14:paraId="21B73CEA">
        <w:tblPrEx>
          <w:tblCellMar>
            <w:top w:w="0" w:type="dxa"/>
            <w:left w:w="0" w:type="dxa"/>
            <w:bottom w:w="0" w:type="dxa"/>
            <w:right w:w="0" w:type="dxa"/>
          </w:tblCellMar>
        </w:tblPrEx>
        <w:trPr>
          <w:trHeight w:val="396" w:hRule="atLeast"/>
        </w:trPr>
        <w:tc>
          <w:tcPr>
            <w:tcW w:w="625" w:type="pct"/>
            <w:vMerge w:val="continue"/>
            <w:tcBorders>
              <w:top w:val="single" w:color="auto" w:sz="4" w:space="0"/>
              <w:left w:val="nil"/>
              <w:bottom w:val="single" w:color="auto" w:sz="4" w:space="0"/>
              <w:right w:val="single" w:color="auto" w:sz="4" w:space="0"/>
            </w:tcBorders>
            <w:shd w:val="clear" w:color="auto" w:fill="FFFFFF"/>
            <w:noWrap w:val="0"/>
            <w:vAlign w:val="center"/>
          </w:tcPr>
          <w:p w14:paraId="386F6DFE">
            <w:pPr>
              <w:pStyle w:val="11"/>
              <w:bidi w:val="0"/>
              <w:jc w:val="center"/>
              <w:rPr>
                <w:rFonts w:hint="eastAsia"/>
                <w:b/>
                <w:bCs/>
                <w:color w:val="000000"/>
              </w:rPr>
            </w:pPr>
          </w:p>
        </w:tc>
        <w:tc>
          <w:tcPr>
            <w:tcW w:w="625"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347DB2C3">
            <w:pPr>
              <w:pStyle w:val="11"/>
              <w:bidi w:val="0"/>
              <w:jc w:val="center"/>
              <w:rPr>
                <w:rFonts w:hint="eastAsia"/>
                <w:b/>
                <w:bCs/>
                <w:color w:val="000000"/>
                <w:lang w:val="zh-CN"/>
              </w:rPr>
            </w:pPr>
            <w:r>
              <w:rPr>
                <w:rFonts w:hint="eastAsia"/>
                <w:b/>
                <w:bCs/>
                <w:color w:val="000000"/>
                <w:lang w:val="zh-CN"/>
              </w:rPr>
              <w:t>2017年</w:t>
            </w:r>
          </w:p>
        </w:tc>
        <w:tc>
          <w:tcPr>
            <w:tcW w:w="625"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32029A5C">
            <w:pPr>
              <w:pStyle w:val="11"/>
              <w:bidi w:val="0"/>
              <w:jc w:val="center"/>
              <w:rPr>
                <w:rFonts w:hint="eastAsia"/>
                <w:b/>
                <w:bCs/>
                <w:color w:val="000000"/>
                <w:lang w:val="zh-CN"/>
              </w:rPr>
            </w:pPr>
            <w:r>
              <w:rPr>
                <w:rFonts w:hint="eastAsia"/>
                <w:b/>
                <w:bCs/>
                <w:color w:val="000000"/>
                <w:lang w:val="zh-CN"/>
              </w:rPr>
              <w:t>2018年</w:t>
            </w:r>
          </w:p>
        </w:tc>
        <w:tc>
          <w:tcPr>
            <w:tcW w:w="626"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02E7FCBB">
            <w:pPr>
              <w:pStyle w:val="11"/>
              <w:bidi w:val="0"/>
              <w:jc w:val="center"/>
              <w:rPr>
                <w:rFonts w:hint="eastAsia"/>
                <w:b/>
                <w:bCs/>
                <w:color w:val="000000"/>
                <w:lang w:val="zh-CN"/>
              </w:rPr>
            </w:pPr>
            <w:r>
              <w:rPr>
                <w:rFonts w:hint="eastAsia"/>
                <w:b/>
                <w:bCs/>
                <w:color w:val="000000"/>
                <w:lang w:val="zh-CN"/>
              </w:rPr>
              <w:t>水质分级</w:t>
            </w:r>
          </w:p>
        </w:tc>
        <w:tc>
          <w:tcPr>
            <w:tcW w:w="625"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76497A5B">
            <w:pPr>
              <w:pStyle w:val="11"/>
              <w:bidi w:val="0"/>
              <w:jc w:val="center"/>
              <w:rPr>
                <w:rFonts w:hint="eastAsia"/>
                <w:b/>
                <w:bCs/>
                <w:color w:val="000000"/>
                <w:lang w:val="zh-CN"/>
              </w:rPr>
            </w:pPr>
            <w:r>
              <w:rPr>
                <w:rFonts w:hint="eastAsia"/>
                <w:b/>
                <w:bCs/>
                <w:color w:val="000000"/>
                <w:lang w:val="zh-CN"/>
              </w:rPr>
              <w:t>2017年</w:t>
            </w:r>
          </w:p>
        </w:tc>
        <w:tc>
          <w:tcPr>
            <w:tcW w:w="626"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2711E82B">
            <w:pPr>
              <w:pStyle w:val="11"/>
              <w:bidi w:val="0"/>
              <w:jc w:val="center"/>
              <w:rPr>
                <w:rFonts w:hint="eastAsia"/>
                <w:b/>
                <w:bCs/>
                <w:color w:val="000000"/>
                <w:lang w:val="zh-CN"/>
              </w:rPr>
            </w:pPr>
            <w:r>
              <w:rPr>
                <w:rFonts w:hint="eastAsia"/>
                <w:b/>
                <w:bCs/>
                <w:color w:val="000000"/>
                <w:lang w:val="zh-CN"/>
              </w:rPr>
              <w:t>2018年</w:t>
            </w:r>
          </w:p>
        </w:tc>
        <w:tc>
          <w:tcPr>
            <w:tcW w:w="625"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2227A6A8">
            <w:pPr>
              <w:pStyle w:val="11"/>
              <w:bidi w:val="0"/>
              <w:jc w:val="center"/>
              <w:rPr>
                <w:rFonts w:hint="eastAsia"/>
                <w:b/>
                <w:bCs/>
                <w:color w:val="000000"/>
                <w:lang w:val="zh-CN"/>
              </w:rPr>
            </w:pPr>
            <w:r>
              <w:rPr>
                <w:rFonts w:hint="eastAsia"/>
                <w:b/>
                <w:bCs/>
                <w:color w:val="000000"/>
                <w:lang w:val="zh-CN"/>
              </w:rPr>
              <w:t>2017年</w:t>
            </w:r>
          </w:p>
        </w:tc>
        <w:tc>
          <w:tcPr>
            <w:tcW w:w="619" w:type="pct"/>
            <w:tcBorders>
              <w:top w:val="single" w:color="auto" w:sz="4" w:space="0"/>
              <w:left w:val="single" w:color="auto" w:sz="4" w:space="0"/>
              <w:bottom w:val="single" w:color="auto" w:sz="4" w:space="0"/>
              <w:right w:val="nil"/>
            </w:tcBorders>
            <w:shd w:val="clear" w:color="auto" w:fill="FFFFFF"/>
            <w:noWrap w:val="0"/>
            <w:tcMar>
              <w:top w:w="0" w:type="dxa"/>
              <w:left w:w="57" w:type="dxa"/>
              <w:bottom w:w="0" w:type="dxa"/>
              <w:right w:w="57" w:type="dxa"/>
            </w:tcMar>
            <w:vAlign w:val="center"/>
          </w:tcPr>
          <w:p w14:paraId="2CC88FFE">
            <w:pPr>
              <w:pStyle w:val="11"/>
              <w:bidi w:val="0"/>
              <w:jc w:val="center"/>
              <w:rPr>
                <w:rFonts w:hint="eastAsia"/>
                <w:b/>
                <w:bCs/>
                <w:color w:val="000000"/>
                <w:lang w:val="zh-CN"/>
              </w:rPr>
            </w:pPr>
            <w:r>
              <w:rPr>
                <w:rFonts w:hint="eastAsia"/>
                <w:b/>
                <w:bCs/>
                <w:color w:val="000000"/>
                <w:lang w:val="zh-CN"/>
              </w:rPr>
              <w:t>2018年</w:t>
            </w:r>
          </w:p>
        </w:tc>
      </w:tr>
      <w:tr w14:paraId="05234FAE">
        <w:tblPrEx>
          <w:tblCellMar>
            <w:top w:w="0" w:type="dxa"/>
            <w:left w:w="0" w:type="dxa"/>
            <w:bottom w:w="0" w:type="dxa"/>
            <w:right w:w="0" w:type="dxa"/>
          </w:tblCellMar>
        </w:tblPrEx>
        <w:trPr>
          <w:trHeight w:val="468" w:hRule="atLeast"/>
        </w:trPr>
        <w:tc>
          <w:tcPr>
            <w:tcW w:w="625" w:type="pct"/>
            <w:tcBorders>
              <w:top w:val="single" w:color="auto" w:sz="4" w:space="0"/>
              <w:left w:val="nil"/>
              <w:bottom w:val="single" w:color="auto" w:sz="4" w:space="0"/>
              <w:right w:val="single" w:color="auto" w:sz="4" w:space="0"/>
            </w:tcBorders>
            <w:shd w:val="clear" w:color="auto" w:fill="FFFFFF"/>
            <w:noWrap w:val="0"/>
            <w:vAlign w:val="center"/>
          </w:tcPr>
          <w:p w14:paraId="1A787351">
            <w:pPr>
              <w:pStyle w:val="11"/>
              <w:bidi w:val="0"/>
              <w:jc w:val="center"/>
              <w:rPr>
                <w:rFonts w:hint="eastAsia"/>
                <w:color w:val="000000"/>
                <w:lang w:val="zh-CN"/>
              </w:rPr>
            </w:pPr>
            <w:r>
              <w:rPr>
                <w:rFonts w:hint="eastAsia"/>
                <w:color w:val="000000"/>
                <w:lang w:val="zh-CN"/>
              </w:rPr>
              <w:t>塘坪</w:t>
            </w:r>
          </w:p>
        </w:tc>
        <w:tc>
          <w:tcPr>
            <w:tcW w:w="625"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45E44174">
            <w:pPr>
              <w:pStyle w:val="11"/>
              <w:bidi w:val="0"/>
              <w:jc w:val="center"/>
              <w:rPr>
                <w:rFonts w:hint="eastAsia"/>
                <w:color w:val="000000"/>
                <w:lang w:val="zh-CN"/>
              </w:rPr>
            </w:pPr>
            <w:r>
              <w:rPr>
                <w:rFonts w:hint="eastAsia"/>
                <w:color w:val="000000"/>
                <w:lang w:val="zh-CN"/>
              </w:rPr>
              <w:t>3.43</w:t>
            </w:r>
          </w:p>
        </w:tc>
        <w:tc>
          <w:tcPr>
            <w:tcW w:w="625"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227" w:type="dxa"/>
              <w:bottom w:w="0" w:type="dxa"/>
              <w:right w:w="57" w:type="dxa"/>
            </w:tcMar>
            <w:vAlign w:val="center"/>
          </w:tcPr>
          <w:p w14:paraId="7DECFA7A">
            <w:pPr>
              <w:pStyle w:val="11"/>
              <w:bidi w:val="0"/>
              <w:jc w:val="center"/>
              <w:rPr>
                <w:rFonts w:hint="eastAsia"/>
                <w:color w:val="000000"/>
                <w:lang w:val="zh-CN"/>
              </w:rPr>
            </w:pPr>
            <w:r>
              <w:rPr>
                <w:rFonts w:hint="eastAsia"/>
                <w:color w:val="000000"/>
                <w:lang w:val="zh-CN"/>
              </w:rPr>
              <w:t>2.46</w:t>
            </w:r>
          </w:p>
        </w:tc>
        <w:tc>
          <w:tcPr>
            <w:tcW w:w="626"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126D9952">
            <w:pPr>
              <w:pStyle w:val="11"/>
              <w:bidi w:val="0"/>
              <w:jc w:val="center"/>
              <w:rPr>
                <w:rFonts w:hint="eastAsia"/>
                <w:color w:val="000000"/>
                <w:lang w:val="zh-CN"/>
              </w:rPr>
            </w:pPr>
            <w:r>
              <w:rPr>
                <w:rFonts w:hint="eastAsia"/>
                <w:color w:val="000000"/>
                <w:lang w:val="zh-CN"/>
              </w:rPr>
              <w:t>清洁</w:t>
            </w:r>
          </w:p>
        </w:tc>
        <w:tc>
          <w:tcPr>
            <w:tcW w:w="625"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2F8C1388">
            <w:pPr>
              <w:pStyle w:val="11"/>
              <w:bidi w:val="0"/>
              <w:jc w:val="center"/>
              <w:rPr>
                <w:rFonts w:hint="eastAsia"/>
                <w:color w:val="000000"/>
                <w:lang w:val="zh-CN"/>
              </w:rPr>
            </w:pPr>
            <w:r>
              <w:rPr>
                <w:rFonts w:hint="eastAsia"/>
                <w:color w:val="000000"/>
                <w:lang w:val="zh-CN"/>
              </w:rPr>
              <w:t>Ⅰ</w:t>
            </w:r>
          </w:p>
        </w:tc>
        <w:tc>
          <w:tcPr>
            <w:tcW w:w="626"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0A6496EC">
            <w:pPr>
              <w:pStyle w:val="11"/>
              <w:bidi w:val="0"/>
              <w:jc w:val="center"/>
              <w:rPr>
                <w:rFonts w:hint="eastAsia"/>
                <w:color w:val="000000"/>
                <w:lang w:val="zh-CN"/>
              </w:rPr>
            </w:pPr>
            <w:r>
              <w:rPr>
                <w:rFonts w:hint="eastAsia"/>
                <w:color w:val="000000"/>
                <w:lang w:val="zh-CN"/>
              </w:rPr>
              <w:t>Ⅰ</w:t>
            </w:r>
          </w:p>
        </w:tc>
        <w:tc>
          <w:tcPr>
            <w:tcW w:w="625"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26AD7CE7">
            <w:pPr>
              <w:pStyle w:val="11"/>
              <w:bidi w:val="0"/>
              <w:jc w:val="center"/>
              <w:rPr>
                <w:rFonts w:hint="eastAsia"/>
                <w:color w:val="000000"/>
                <w:lang w:val="zh-CN"/>
              </w:rPr>
            </w:pPr>
            <w:r>
              <w:rPr>
                <w:rFonts w:hint="eastAsia"/>
                <w:color w:val="000000"/>
                <w:lang w:val="zh-CN"/>
              </w:rPr>
              <w:t>100.0%</w:t>
            </w:r>
          </w:p>
        </w:tc>
        <w:tc>
          <w:tcPr>
            <w:tcW w:w="619" w:type="pct"/>
            <w:tcBorders>
              <w:top w:val="single" w:color="auto" w:sz="4" w:space="0"/>
              <w:left w:val="single" w:color="auto" w:sz="4" w:space="0"/>
              <w:bottom w:val="single" w:color="auto" w:sz="4" w:space="0"/>
              <w:right w:val="nil"/>
            </w:tcBorders>
            <w:shd w:val="clear" w:color="auto" w:fill="FFFFFF"/>
            <w:noWrap w:val="0"/>
            <w:tcMar>
              <w:top w:w="0" w:type="dxa"/>
              <w:bottom w:w="0" w:type="dxa"/>
              <w:right w:w="57" w:type="dxa"/>
            </w:tcMar>
            <w:vAlign w:val="center"/>
          </w:tcPr>
          <w:p w14:paraId="159576D9">
            <w:pPr>
              <w:pStyle w:val="11"/>
              <w:bidi w:val="0"/>
              <w:jc w:val="center"/>
              <w:rPr>
                <w:rFonts w:hint="eastAsia"/>
                <w:color w:val="000000"/>
                <w:lang w:val="zh-CN"/>
              </w:rPr>
            </w:pPr>
            <w:r>
              <w:rPr>
                <w:rFonts w:hint="eastAsia"/>
                <w:color w:val="000000"/>
                <w:lang w:val="zh-CN"/>
              </w:rPr>
              <w:t>100.0%</w:t>
            </w:r>
          </w:p>
        </w:tc>
      </w:tr>
      <w:tr w14:paraId="428E5144">
        <w:tblPrEx>
          <w:tblCellMar>
            <w:top w:w="0" w:type="dxa"/>
            <w:left w:w="0" w:type="dxa"/>
            <w:bottom w:w="0" w:type="dxa"/>
            <w:right w:w="0" w:type="dxa"/>
          </w:tblCellMar>
        </w:tblPrEx>
        <w:trPr>
          <w:trHeight w:val="468" w:hRule="atLeast"/>
        </w:trPr>
        <w:tc>
          <w:tcPr>
            <w:tcW w:w="625" w:type="pct"/>
            <w:tcBorders>
              <w:top w:val="single" w:color="auto" w:sz="4" w:space="0"/>
              <w:left w:val="nil"/>
              <w:bottom w:val="single" w:color="auto" w:sz="4" w:space="0"/>
              <w:right w:val="single" w:color="auto" w:sz="4" w:space="0"/>
            </w:tcBorders>
            <w:shd w:val="clear" w:color="auto" w:fill="FFFFFF"/>
            <w:noWrap w:val="0"/>
            <w:vAlign w:val="center"/>
          </w:tcPr>
          <w:p w14:paraId="64D9D1EF">
            <w:pPr>
              <w:pStyle w:val="11"/>
              <w:bidi w:val="0"/>
              <w:jc w:val="center"/>
              <w:rPr>
                <w:rFonts w:hint="eastAsia"/>
                <w:color w:val="000000"/>
                <w:lang w:val="zh-CN"/>
              </w:rPr>
            </w:pPr>
            <w:r>
              <w:rPr>
                <w:rFonts w:hint="eastAsia"/>
                <w:color w:val="000000"/>
                <w:lang w:val="zh-CN"/>
              </w:rPr>
              <w:t>库坝</w:t>
            </w:r>
          </w:p>
        </w:tc>
        <w:tc>
          <w:tcPr>
            <w:tcW w:w="625"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695BDAB6">
            <w:pPr>
              <w:pStyle w:val="11"/>
              <w:bidi w:val="0"/>
              <w:jc w:val="center"/>
              <w:rPr>
                <w:rFonts w:hint="eastAsia"/>
                <w:color w:val="000000"/>
                <w:lang w:val="zh-CN"/>
              </w:rPr>
            </w:pPr>
            <w:r>
              <w:rPr>
                <w:rFonts w:hint="eastAsia"/>
                <w:color w:val="000000"/>
                <w:lang w:val="zh-CN"/>
              </w:rPr>
              <w:t>3.40</w:t>
            </w:r>
          </w:p>
        </w:tc>
        <w:tc>
          <w:tcPr>
            <w:tcW w:w="625"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227" w:type="dxa"/>
              <w:bottom w:w="0" w:type="dxa"/>
              <w:right w:w="57" w:type="dxa"/>
            </w:tcMar>
            <w:vAlign w:val="center"/>
          </w:tcPr>
          <w:p w14:paraId="08A0ECC7">
            <w:pPr>
              <w:pStyle w:val="11"/>
              <w:bidi w:val="0"/>
              <w:jc w:val="center"/>
              <w:rPr>
                <w:rFonts w:hint="eastAsia"/>
                <w:color w:val="000000"/>
                <w:lang w:val="zh-CN"/>
              </w:rPr>
            </w:pPr>
            <w:r>
              <w:rPr>
                <w:rFonts w:hint="eastAsia"/>
                <w:color w:val="000000"/>
                <w:lang w:val="zh-CN"/>
              </w:rPr>
              <w:t>2.34</w:t>
            </w:r>
          </w:p>
        </w:tc>
        <w:tc>
          <w:tcPr>
            <w:tcW w:w="626"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7B41BAF8">
            <w:pPr>
              <w:pStyle w:val="11"/>
              <w:bidi w:val="0"/>
              <w:jc w:val="center"/>
              <w:rPr>
                <w:rFonts w:hint="eastAsia"/>
                <w:color w:val="000000"/>
                <w:lang w:val="zh-CN"/>
              </w:rPr>
            </w:pPr>
            <w:r>
              <w:rPr>
                <w:rFonts w:hint="eastAsia"/>
                <w:color w:val="000000"/>
                <w:lang w:val="zh-CN"/>
              </w:rPr>
              <w:t>清洁</w:t>
            </w:r>
          </w:p>
        </w:tc>
        <w:tc>
          <w:tcPr>
            <w:tcW w:w="625"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7AD79247">
            <w:pPr>
              <w:pStyle w:val="11"/>
              <w:bidi w:val="0"/>
              <w:jc w:val="center"/>
              <w:rPr>
                <w:rFonts w:hint="eastAsia"/>
                <w:color w:val="000000"/>
                <w:lang w:val="zh-CN"/>
              </w:rPr>
            </w:pPr>
            <w:r>
              <w:rPr>
                <w:rFonts w:hint="eastAsia"/>
                <w:color w:val="000000"/>
                <w:lang w:val="zh-CN"/>
              </w:rPr>
              <w:t>Ⅰ</w:t>
            </w:r>
          </w:p>
        </w:tc>
        <w:tc>
          <w:tcPr>
            <w:tcW w:w="626"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0BE1BD4E">
            <w:pPr>
              <w:pStyle w:val="11"/>
              <w:bidi w:val="0"/>
              <w:jc w:val="center"/>
              <w:rPr>
                <w:rFonts w:hint="eastAsia"/>
                <w:color w:val="000000"/>
                <w:lang w:val="zh-CN"/>
              </w:rPr>
            </w:pPr>
            <w:r>
              <w:rPr>
                <w:rFonts w:hint="eastAsia"/>
                <w:color w:val="000000"/>
                <w:lang w:val="zh-CN"/>
              </w:rPr>
              <w:t>Ⅰ</w:t>
            </w:r>
          </w:p>
        </w:tc>
        <w:tc>
          <w:tcPr>
            <w:tcW w:w="625"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0A2FEB2A">
            <w:pPr>
              <w:pStyle w:val="11"/>
              <w:bidi w:val="0"/>
              <w:jc w:val="center"/>
              <w:rPr>
                <w:rFonts w:hint="eastAsia"/>
                <w:color w:val="000000"/>
                <w:lang w:val="zh-CN"/>
              </w:rPr>
            </w:pPr>
            <w:r>
              <w:rPr>
                <w:rFonts w:hint="eastAsia"/>
                <w:color w:val="000000"/>
                <w:lang w:val="zh-CN"/>
              </w:rPr>
              <w:t>100.0%</w:t>
            </w:r>
          </w:p>
        </w:tc>
        <w:tc>
          <w:tcPr>
            <w:tcW w:w="619" w:type="pct"/>
            <w:tcBorders>
              <w:top w:val="single" w:color="auto" w:sz="4" w:space="0"/>
              <w:left w:val="single" w:color="auto" w:sz="4" w:space="0"/>
              <w:bottom w:val="single" w:color="auto" w:sz="4" w:space="0"/>
              <w:right w:val="nil"/>
            </w:tcBorders>
            <w:shd w:val="clear" w:color="auto" w:fill="FFFFFF"/>
            <w:noWrap w:val="0"/>
            <w:tcMar>
              <w:top w:w="0" w:type="dxa"/>
              <w:bottom w:w="0" w:type="dxa"/>
              <w:right w:w="57" w:type="dxa"/>
            </w:tcMar>
            <w:vAlign w:val="center"/>
          </w:tcPr>
          <w:p w14:paraId="2DA8F023">
            <w:pPr>
              <w:pStyle w:val="11"/>
              <w:bidi w:val="0"/>
              <w:jc w:val="center"/>
              <w:rPr>
                <w:rFonts w:hint="eastAsia"/>
                <w:color w:val="000000"/>
                <w:lang w:val="zh-CN"/>
              </w:rPr>
            </w:pPr>
            <w:r>
              <w:rPr>
                <w:rFonts w:hint="eastAsia"/>
                <w:color w:val="000000"/>
                <w:lang w:val="zh-CN"/>
              </w:rPr>
              <w:t>100.0%</w:t>
            </w:r>
          </w:p>
        </w:tc>
      </w:tr>
    </w:tbl>
    <w:p w14:paraId="2701BAB1">
      <w:pPr>
        <w:bidi w:val="0"/>
        <w:ind w:left="0" w:leftChars="0" w:firstLine="0" w:firstLineChars="0"/>
        <w:jc w:val="center"/>
        <w:rPr>
          <w:rFonts w:hint="eastAsia"/>
          <w:b/>
          <w:bCs/>
          <w:lang w:val="zh-CN"/>
        </w:rPr>
      </w:pPr>
      <w:r>
        <w:rPr>
          <w:rFonts w:hint="eastAsia"/>
          <w:b/>
          <w:bCs/>
          <w:lang w:val="zh-CN"/>
        </w:rPr>
        <w:t>表18</w:t>
      </w:r>
      <w:r>
        <w:rPr>
          <w:rFonts w:hint="eastAsia"/>
          <w:b/>
          <w:bCs/>
          <w:lang w:val="en-US" w:eastAsia="zh-CN"/>
        </w:rPr>
        <w:t xml:space="preserve">  </w:t>
      </w:r>
      <w:r>
        <w:rPr>
          <w:rFonts w:hint="eastAsia"/>
          <w:b/>
          <w:bCs/>
          <w:lang w:val="zh-CN"/>
        </w:rPr>
        <w:t>河流、流域（水系）水质定性评价分级</w:t>
      </w:r>
    </w:p>
    <w:tbl>
      <w:tblPr>
        <w:tblStyle w:val="7"/>
        <w:tblW w:w="4999"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104"/>
        <w:gridCol w:w="1400"/>
        <w:gridCol w:w="1240"/>
      </w:tblGrid>
      <w:tr w14:paraId="3CAD63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5" w:hRule="atLeast"/>
        </w:trPr>
        <w:tc>
          <w:tcPr>
            <w:tcW w:w="3644" w:type="pct"/>
            <w:shd w:val="clear" w:color="auto" w:fill="FFFFFF"/>
            <w:noWrap w:val="0"/>
            <w:vAlign w:val="center"/>
          </w:tcPr>
          <w:p w14:paraId="49792806">
            <w:pPr>
              <w:pStyle w:val="11"/>
              <w:bidi w:val="0"/>
              <w:jc w:val="center"/>
              <w:rPr>
                <w:rFonts w:hint="eastAsia"/>
                <w:b/>
                <w:bCs/>
                <w:color w:val="000000"/>
                <w:lang w:val="zh-CN"/>
              </w:rPr>
            </w:pPr>
            <w:r>
              <w:rPr>
                <w:rFonts w:hint="eastAsia"/>
                <w:b/>
                <w:bCs/>
                <w:color w:val="000000"/>
                <w:lang w:val="zh-CN"/>
              </w:rPr>
              <w:t>水质类别</w:t>
            </w:r>
          </w:p>
        </w:tc>
        <w:tc>
          <w:tcPr>
            <w:tcW w:w="718" w:type="pct"/>
            <w:shd w:val="clear" w:color="auto" w:fill="FFFFFF"/>
            <w:noWrap w:val="0"/>
            <w:tcMar>
              <w:top w:w="0" w:type="dxa"/>
              <w:left w:w="57" w:type="dxa"/>
              <w:bottom w:w="0" w:type="dxa"/>
              <w:right w:w="57" w:type="dxa"/>
            </w:tcMar>
            <w:vAlign w:val="center"/>
          </w:tcPr>
          <w:p w14:paraId="0677F659">
            <w:pPr>
              <w:pStyle w:val="11"/>
              <w:bidi w:val="0"/>
              <w:jc w:val="center"/>
              <w:rPr>
                <w:rFonts w:hint="eastAsia"/>
                <w:b/>
                <w:bCs/>
                <w:color w:val="000000"/>
                <w:lang w:val="zh-CN"/>
              </w:rPr>
            </w:pPr>
            <w:r>
              <w:rPr>
                <w:rFonts w:hint="eastAsia"/>
                <w:b/>
                <w:bCs/>
                <w:color w:val="000000"/>
                <w:lang w:val="zh-CN"/>
              </w:rPr>
              <w:t>水质状况</w:t>
            </w:r>
          </w:p>
        </w:tc>
        <w:tc>
          <w:tcPr>
            <w:tcW w:w="636" w:type="pct"/>
            <w:shd w:val="clear" w:color="auto" w:fill="FFFFFF"/>
            <w:noWrap w:val="0"/>
            <w:tcMar>
              <w:top w:w="0" w:type="dxa"/>
              <w:left w:w="0" w:type="dxa"/>
              <w:bottom w:w="0" w:type="dxa"/>
              <w:right w:w="0" w:type="dxa"/>
            </w:tcMar>
            <w:vAlign w:val="center"/>
          </w:tcPr>
          <w:p w14:paraId="7CB5A9A9">
            <w:pPr>
              <w:pStyle w:val="11"/>
              <w:bidi w:val="0"/>
              <w:jc w:val="center"/>
              <w:rPr>
                <w:rFonts w:hint="eastAsia"/>
                <w:b/>
                <w:bCs/>
                <w:color w:val="000000"/>
                <w:lang w:val="zh-CN"/>
              </w:rPr>
            </w:pPr>
            <w:r>
              <w:rPr>
                <w:rFonts w:hint="eastAsia"/>
                <w:b/>
                <w:bCs/>
                <w:color w:val="000000"/>
                <w:lang w:val="zh-CN"/>
              </w:rPr>
              <w:t>表征颜色</w:t>
            </w:r>
          </w:p>
        </w:tc>
      </w:tr>
      <w:tr w14:paraId="7A15A6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3644" w:type="pct"/>
            <w:shd w:val="clear" w:color="auto" w:fill="FFFFFF"/>
            <w:noWrap w:val="0"/>
            <w:tcMar>
              <w:right w:w="57" w:type="dxa"/>
            </w:tcMar>
            <w:vAlign w:val="center"/>
          </w:tcPr>
          <w:p w14:paraId="34ED1583">
            <w:pPr>
              <w:pStyle w:val="11"/>
              <w:bidi w:val="0"/>
              <w:ind w:leftChars="100"/>
              <w:rPr>
                <w:rFonts w:hint="eastAsia"/>
                <w:color w:val="000000"/>
                <w:lang w:val="zh-CN"/>
              </w:rPr>
            </w:pPr>
            <w:r>
              <w:rPr>
                <w:rFonts w:hint="eastAsia"/>
                <w:color w:val="000000"/>
                <w:lang w:val="zh-CN"/>
              </w:rPr>
              <w:t>Ⅰ～Ⅲ类水质比例≥90%</w:t>
            </w:r>
          </w:p>
        </w:tc>
        <w:tc>
          <w:tcPr>
            <w:tcW w:w="718" w:type="pct"/>
            <w:shd w:val="clear" w:color="auto" w:fill="FFFFFF"/>
            <w:noWrap w:val="0"/>
            <w:tcMar>
              <w:top w:w="0" w:type="dxa"/>
              <w:left w:w="57" w:type="dxa"/>
              <w:bottom w:w="0" w:type="dxa"/>
              <w:right w:w="57" w:type="dxa"/>
            </w:tcMar>
            <w:vAlign w:val="center"/>
          </w:tcPr>
          <w:p w14:paraId="08A46FD6">
            <w:pPr>
              <w:pStyle w:val="11"/>
              <w:bidi w:val="0"/>
              <w:jc w:val="center"/>
              <w:rPr>
                <w:rFonts w:hint="eastAsia"/>
                <w:color w:val="000000"/>
                <w:lang w:val="zh-CN"/>
              </w:rPr>
            </w:pPr>
            <w:r>
              <w:rPr>
                <w:rFonts w:hint="eastAsia"/>
                <w:color w:val="000000"/>
                <w:lang w:val="zh-CN"/>
              </w:rPr>
              <w:t>优</w:t>
            </w:r>
          </w:p>
        </w:tc>
        <w:tc>
          <w:tcPr>
            <w:tcW w:w="636" w:type="pct"/>
            <w:shd w:val="clear" w:color="auto" w:fill="FFFFFF"/>
            <w:noWrap w:val="0"/>
            <w:tcMar>
              <w:top w:w="0" w:type="dxa"/>
              <w:left w:w="227" w:type="dxa"/>
              <w:bottom w:w="0" w:type="dxa"/>
            </w:tcMar>
            <w:vAlign w:val="center"/>
          </w:tcPr>
          <w:p w14:paraId="24818C58">
            <w:pPr>
              <w:pStyle w:val="11"/>
              <w:bidi w:val="0"/>
              <w:jc w:val="center"/>
              <w:rPr>
                <w:rFonts w:hint="eastAsia"/>
                <w:color w:val="000000"/>
                <w:lang w:val="zh-CN"/>
              </w:rPr>
            </w:pPr>
            <w:r>
              <w:rPr>
                <w:rFonts w:hint="eastAsia"/>
                <w:color w:val="000000"/>
                <w:lang w:val="zh-CN"/>
              </w:rPr>
              <w:t>蓝色</w:t>
            </w:r>
          </w:p>
        </w:tc>
      </w:tr>
      <w:tr w14:paraId="6F599A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3644" w:type="pct"/>
            <w:shd w:val="clear" w:color="auto" w:fill="FFFFFF"/>
            <w:noWrap w:val="0"/>
            <w:tcMar>
              <w:right w:w="57" w:type="dxa"/>
            </w:tcMar>
            <w:vAlign w:val="center"/>
          </w:tcPr>
          <w:p w14:paraId="1BA4C5A8">
            <w:pPr>
              <w:pStyle w:val="11"/>
              <w:bidi w:val="0"/>
              <w:ind w:leftChars="100"/>
              <w:rPr>
                <w:rFonts w:hint="eastAsia"/>
                <w:color w:val="000000"/>
                <w:lang w:val="zh-CN"/>
              </w:rPr>
            </w:pPr>
            <w:r>
              <w:rPr>
                <w:rFonts w:hint="eastAsia"/>
                <w:color w:val="000000"/>
                <w:lang w:val="zh-CN"/>
              </w:rPr>
              <w:t>75%≤Ⅰ～Ⅲ类水质比例＜90%</w:t>
            </w:r>
          </w:p>
        </w:tc>
        <w:tc>
          <w:tcPr>
            <w:tcW w:w="718" w:type="pct"/>
            <w:shd w:val="clear" w:color="auto" w:fill="FFFFFF"/>
            <w:noWrap w:val="0"/>
            <w:tcMar>
              <w:top w:w="0" w:type="dxa"/>
              <w:left w:w="57" w:type="dxa"/>
              <w:bottom w:w="0" w:type="dxa"/>
              <w:right w:w="57" w:type="dxa"/>
            </w:tcMar>
            <w:vAlign w:val="center"/>
          </w:tcPr>
          <w:p w14:paraId="216DF660">
            <w:pPr>
              <w:pStyle w:val="11"/>
              <w:bidi w:val="0"/>
              <w:jc w:val="center"/>
              <w:rPr>
                <w:rFonts w:hint="eastAsia"/>
                <w:color w:val="000000"/>
                <w:lang w:val="zh-CN"/>
              </w:rPr>
            </w:pPr>
            <w:r>
              <w:rPr>
                <w:rFonts w:hint="eastAsia"/>
                <w:color w:val="000000"/>
                <w:lang w:val="zh-CN"/>
              </w:rPr>
              <w:t>良好</w:t>
            </w:r>
          </w:p>
        </w:tc>
        <w:tc>
          <w:tcPr>
            <w:tcW w:w="636" w:type="pct"/>
            <w:shd w:val="clear" w:color="auto" w:fill="FFFFFF"/>
            <w:noWrap w:val="0"/>
            <w:tcMar>
              <w:top w:w="0" w:type="dxa"/>
              <w:left w:w="227" w:type="dxa"/>
              <w:bottom w:w="0" w:type="dxa"/>
            </w:tcMar>
            <w:vAlign w:val="center"/>
          </w:tcPr>
          <w:p w14:paraId="1DC3D92D">
            <w:pPr>
              <w:pStyle w:val="11"/>
              <w:bidi w:val="0"/>
              <w:jc w:val="center"/>
              <w:rPr>
                <w:rFonts w:hint="eastAsia"/>
                <w:color w:val="000000"/>
                <w:lang w:val="zh-CN"/>
              </w:rPr>
            </w:pPr>
            <w:r>
              <w:rPr>
                <w:rFonts w:hint="eastAsia"/>
                <w:color w:val="000000"/>
                <w:lang w:val="zh-CN"/>
              </w:rPr>
              <w:t>绿色</w:t>
            </w:r>
          </w:p>
        </w:tc>
      </w:tr>
      <w:tr w14:paraId="3DC559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3644" w:type="pct"/>
            <w:shd w:val="clear" w:color="auto" w:fill="FFFFFF"/>
            <w:noWrap w:val="0"/>
            <w:tcMar>
              <w:right w:w="57" w:type="dxa"/>
            </w:tcMar>
            <w:vAlign w:val="center"/>
          </w:tcPr>
          <w:p w14:paraId="34631B22">
            <w:pPr>
              <w:pStyle w:val="11"/>
              <w:bidi w:val="0"/>
              <w:ind w:leftChars="100"/>
              <w:rPr>
                <w:rFonts w:hint="eastAsia"/>
                <w:color w:val="000000"/>
                <w:lang w:val="zh-CN"/>
              </w:rPr>
            </w:pPr>
            <w:r>
              <w:rPr>
                <w:rFonts w:hint="eastAsia"/>
                <w:color w:val="000000"/>
                <w:lang w:val="zh-CN"/>
              </w:rPr>
              <w:t>Ⅰ～Ⅲ类水质比例＜75%，且劣Ⅴ类比例＜20%</w:t>
            </w:r>
          </w:p>
        </w:tc>
        <w:tc>
          <w:tcPr>
            <w:tcW w:w="718" w:type="pct"/>
            <w:shd w:val="clear" w:color="auto" w:fill="FFFFFF"/>
            <w:noWrap w:val="0"/>
            <w:tcMar>
              <w:top w:w="0" w:type="dxa"/>
              <w:left w:w="57" w:type="dxa"/>
              <w:bottom w:w="0" w:type="dxa"/>
              <w:right w:w="57" w:type="dxa"/>
            </w:tcMar>
            <w:vAlign w:val="center"/>
          </w:tcPr>
          <w:p w14:paraId="21B4D646">
            <w:pPr>
              <w:pStyle w:val="11"/>
              <w:bidi w:val="0"/>
              <w:jc w:val="center"/>
              <w:rPr>
                <w:rFonts w:hint="eastAsia"/>
                <w:color w:val="000000"/>
                <w:lang w:val="zh-CN"/>
              </w:rPr>
            </w:pPr>
            <w:r>
              <w:rPr>
                <w:rFonts w:hint="eastAsia"/>
                <w:color w:val="000000"/>
                <w:lang w:val="zh-CN"/>
              </w:rPr>
              <w:t>轻度污染</w:t>
            </w:r>
          </w:p>
        </w:tc>
        <w:tc>
          <w:tcPr>
            <w:tcW w:w="636" w:type="pct"/>
            <w:shd w:val="clear" w:color="auto" w:fill="FFFFFF"/>
            <w:noWrap w:val="0"/>
            <w:tcMar>
              <w:top w:w="0" w:type="dxa"/>
              <w:left w:w="227" w:type="dxa"/>
              <w:bottom w:w="0" w:type="dxa"/>
            </w:tcMar>
            <w:vAlign w:val="center"/>
          </w:tcPr>
          <w:p w14:paraId="321077D0">
            <w:pPr>
              <w:pStyle w:val="11"/>
              <w:bidi w:val="0"/>
              <w:jc w:val="center"/>
              <w:rPr>
                <w:rFonts w:hint="eastAsia"/>
                <w:color w:val="000000"/>
                <w:lang w:val="zh-CN"/>
              </w:rPr>
            </w:pPr>
            <w:r>
              <w:rPr>
                <w:rFonts w:hint="eastAsia"/>
                <w:color w:val="000000"/>
                <w:lang w:val="zh-CN"/>
              </w:rPr>
              <w:t>黄色</w:t>
            </w:r>
          </w:p>
        </w:tc>
      </w:tr>
      <w:tr w14:paraId="2305D7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3644" w:type="pct"/>
            <w:shd w:val="clear" w:color="auto" w:fill="FFFFFF"/>
            <w:noWrap w:val="0"/>
            <w:tcMar>
              <w:right w:w="57" w:type="dxa"/>
            </w:tcMar>
            <w:vAlign w:val="center"/>
          </w:tcPr>
          <w:p w14:paraId="46C8CC38">
            <w:pPr>
              <w:pStyle w:val="11"/>
              <w:bidi w:val="0"/>
              <w:ind w:leftChars="100"/>
              <w:rPr>
                <w:rFonts w:hint="eastAsia"/>
                <w:color w:val="000000"/>
                <w:lang w:val="zh-CN"/>
              </w:rPr>
            </w:pPr>
            <w:r>
              <w:rPr>
                <w:rFonts w:hint="eastAsia"/>
                <w:color w:val="000000"/>
                <w:lang w:val="zh-CN"/>
              </w:rPr>
              <w:t>Ⅰ～Ⅲ类水质比例＜75%，且20%≤劣Ⅴ类比例＜40%</w:t>
            </w:r>
          </w:p>
        </w:tc>
        <w:tc>
          <w:tcPr>
            <w:tcW w:w="718" w:type="pct"/>
            <w:shd w:val="clear" w:color="auto" w:fill="FFFFFF"/>
            <w:noWrap w:val="0"/>
            <w:tcMar>
              <w:top w:w="0" w:type="dxa"/>
              <w:left w:w="57" w:type="dxa"/>
              <w:bottom w:w="0" w:type="dxa"/>
              <w:right w:w="57" w:type="dxa"/>
            </w:tcMar>
            <w:vAlign w:val="center"/>
          </w:tcPr>
          <w:p w14:paraId="5C9FD474">
            <w:pPr>
              <w:pStyle w:val="11"/>
              <w:bidi w:val="0"/>
              <w:jc w:val="center"/>
              <w:rPr>
                <w:rFonts w:hint="eastAsia"/>
                <w:color w:val="000000"/>
                <w:lang w:val="zh-CN"/>
              </w:rPr>
            </w:pPr>
            <w:r>
              <w:rPr>
                <w:rFonts w:hint="eastAsia"/>
                <w:color w:val="000000"/>
                <w:lang w:val="zh-CN"/>
              </w:rPr>
              <w:t>中度污染</w:t>
            </w:r>
          </w:p>
        </w:tc>
        <w:tc>
          <w:tcPr>
            <w:tcW w:w="636" w:type="pct"/>
            <w:shd w:val="clear" w:color="auto" w:fill="FFFFFF"/>
            <w:noWrap w:val="0"/>
            <w:tcMar>
              <w:top w:w="0" w:type="dxa"/>
              <w:left w:w="227" w:type="dxa"/>
              <w:bottom w:w="0" w:type="dxa"/>
            </w:tcMar>
            <w:vAlign w:val="center"/>
          </w:tcPr>
          <w:p w14:paraId="2257C268">
            <w:pPr>
              <w:pStyle w:val="11"/>
              <w:bidi w:val="0"/>
              <w:jc w:val="center"/>
              <w:rPr>
                <w:rFonts w:hint="eastAsia"/>
                <w:color w:val="000000"/>
                <w:lang w:val="zh-CN"/>
              </w:rPr>
            </w:pPr>
            <w:r>
              <w:rPr>
                <w:rFonts w:hint="eastAsia"/>
                <w:color w:val="000000"/>
                <w:lang w:val="zh-CN"/>
              </w:rPr>
              <w:t>橙色</w:t>
            </w:r>
          </w:p>
        </w:tc>
      </w:tr>
      <w:tr w14:paraId="38EA2C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3644" w:type="pct"/>
            <w:shd w:val="clear" w:color="auto" w:fill="FFFFFF"/>
            <w:noWrap w:val="0"/>
            <w:tcMar>
              <w:right w:w="57" w:type="dxa"/>
            </w:tcMar>
            <w:vAlign w:val="center"/>
          </w:tcPr>
          <w:p w14:paraId="355872ED">
            <w:pPr>
              <w:pStyle w:val="11"/>
              <w:bidi w:val="0"/>
              <w:ind w:leftChars="100"/>
              <w:rPr>
                <w:rFonts w:hint="eastAsia"/>
                <w:color w:val="000000"/>
                <w:lang w:val="zh-CN"/>
              </w:rPr>
            </w:pPr>
            <w:r>
              <w:rPr>
                <w:rFonts w:hint="eastAsia"/>
                <w:color w:val="000000"/>
                <w:lang w:val="zh-CN"/>
              </w:rPr>
              <w:t>Ⅰ～Ⅲ类水质比例＜75%，且劣Ⅴ类比例≥40%</w:t>
            </w:r>
          </w:p>
        </w:tc>
        <w:tc>
          <w:tcPr>
            <w:tcW w:w="718" w:type="pct"/>
            <w:shd w:val="clear" w:color="auto" w:fill="FFFFFF"/>
            <w:noWrap w:val="0"/>
            <w:tcMar>
              <w:top w:w="0" w:type="dxa"/>
              <w:left w:w="57" w:type="dxa"/>
              <w:bottom w:w="0" w:type="dxa"/>
              <w:right w:w="57" w:type="dxa"/>
            </w:tcMar>
            <w:vAlign w:val="center"/>
          </w:tcPr>
          <w:p w14:paraId="07D685FD">
            <w:pPr>
              <w:pStyle w:val="11"/>
              <w:bidi w:val="0"/>
              <w:jc w:val="center"/>
              <w:rPr>
                <w:rFonts w:hint="eastAsia"/>
                <w:color w:val="000000"/>
                <w:lang w:val="zh-CN"/>
              </w:rPr>
            </w:pPr>
            <w:r>
              <w:rPr>
                <w:rFonts w:hint="eastAsia"/>
                <w:color w:val="000000"/>
                <w:lang w:val="zh-CN"/>
              </w:rPr>
              <w:t>重度污染</w:t>
            </w:r>
          </w:p>
        </w:tc>
        <w:tc>
          <w:tcPr>
            <w:tcW w:w="636" w:type="pct"/>
            <w:shd w:val="clear" w:color="auto" w:fill="FFFFFF"/>
            <w:noWrap w:val="0"/>
            <w:tcMar>
              <w:top w:w="0" w:type="dxa"/>
              <w:left w:w="227" w:type="dxa"/>
              <w:bottom w:w="0" w:type="dxa"/>
            </w:tcMar>
            <w:vAlign w:val="center"/>
          </w:tcPr>
          <w:p w14:paraId="6FFFAC89">
            <w:pPr>
              <w:pStyle w:val="11"/>
              <w:bidi w:val="0"/>
              <w:jc w:val="center"/>
              <w:rPr>
                <w:rFonts w:hint="eastAsia"/>
                <w:color w:val="000000"/>
                <w:lang w:val="zh-CN"/>
              </w:rPr>
            </w:pPr>
            <w:r>
              <w:rPr>
                <w:rFonts w:hint="eastAsia"/>
                <w:color w:val="000000"/>
                <w:lang w:val="zh-CN"/>
              </w:rPr>
              <w:t>红色</w:t>
            </w:r>
          </w:p>
        </w:tc>
      </w:tr>
    </w:tbl>
    <w:p w14:paraId="7CF923DF">
      <w:pPr>
        <w:bidi w:val="0"/>
        <w:ind w:left="0" w:leftChars="0" w:firstLine="0" w:firstLineChars="0"/>
        <w:jc w:val="center"/>
        <w:rPr>
          <w:rFonts w:hint="eastAsia"/>
          <w:b/>
          <w:bCs/>
          <w:lang w:val="zh-CN"/>
        </w:rPr>
      </w:pPr>
      <w:r>
        <w:rPr>
          <w:rFonts w:hint="eastAsia"/>
          <w:b/>
          <w:bCs/>
          <w:lang w:val="zh-CN"/>
        </w:rPr>
        <w:t>表19</w:t>
      </w:r>
      <w:r>
        <w:rPr>
          <w:rFonts w:hint="eastAsia"/>
          <w:b/>
          <w:bCs/>
          <w:lang w:val="en-US" w:eastAsia="zh-CN"/>
        </w:rPr>
        <w:t xml:space="preserve">  </w:t>
      </w:r>
      <w:r>
        <w:rPr>
          <w:rFonts w:hint="eastAsia"/>
          <w:b/>
          <w:bCs/>
          <w:lang w:val="zh-CN"/>
        </w:rPr>
        <w:t>全河段各断面水质类别占评价断面总数的比例</w:t>
      </w:r>
    </w:p>
    <w:tbl>
      <w:tblPr>
        <w:tblStyle w:val="7"/>
        <w:tblW w:w="5026" w:type="pct"/>
        <w:tblInd w:w="0" w:type="dxa"/>
        <w:tblLayout w:type="autofit"/>
        <w:tblCellMar>
          <w:top w:w="0" w:type="dxa"/>
          <w:left w:w="0" w:type="dxa"/>
          <w:bottom w:w="0" w:type="dxa"/>
          <w:right w:w="0" w:type="dxa"/>
        </w:tblCellMar>
      </w:tblPr>
      <w:tblGrid>
        <w:gridCol w:w="2906"/>
        <w:gridCol w:w="1156"/>
        <w:gridCol w:w="1158"/>
        <w:gridCol w:w="1160"/>
        <w:gridCol w:w="1158"/>
        <w:gridCol w:w="1095"/>
        <w:gridCol w:w="1221"/>
      </w:tblGrid>
      <w:tr w14:paraId="09698852">
        <w:tblPrEx>
          <w:tblCellMar>
            <w:top w:w="0" w:type="dxa"/>
            <w:left w:w="0" w:type="dxa"/>
            <w:bottom w:w="0" w:type="dxa"/>
            <w:right w:w="0" w:type="dxa"/>
          </w:tblCellMar>
        </w:tblPrEx>
        <w:trPr>
          <w:trHeight w:val="395" w:hRule="atLeast"/>
        </w:trPr>
        <w:tc>
          <w:tcPr>
            <w:tcW w:w="1474" w:type="pct"/>
            <w:tcBorders>
              <w:top w:val="single" w:color="auto" w:sz="4" w:space="0"/>
              <w:left w:val="nil"/>
              <w:bottom w:val="single" w:color="auto" w:sz="4" w:space="0"/>
              <w:right w:val="single" w:color="auto" w:sz="4" w:space="0"/>
            </w:tcBorders>
            <w:shd w:val="clear" w:color="auto" w:fill="FFFFFF"/>
            <w:noWrap w:val="0"/>
            <w:vAlign w:val="center"/>
          </w:tcPr>
          <w:p w14:paraId="77CAC1B8">
            <w:pPr>
              <w:pStyle w:val="11"/>
              <w:bidi w:val="0"/>
              <w:jc w:val="center"/>
              <w:rPr>
                <w:rFonts w:hint="eastAsia"/>
                <w:b/>
                <w:bCs/>
                <w:color w:val="000000"/>
                <w:lang w:val="zh-CN"/>
              </w:rPr>
            </w:pPr>
            <w:r>
              <w:rPr>
                <w:rFonts w:hint="eastAsia"/>
                <w:b/>
                <w:bCs/>
                <w:color w:val="000000"/>
                <w:lang w:val="zh-CN"/>
              </w:rPr>
              <w:t>全河段评价断面</w:t>
            </w:r>
          </w:p>
        </w:tc>
        <w:tc>
          <w:tcPr>
            <w:tcW w:w="586"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6C9490CE">
            <w:pPr>
              <w:pStyle w:val="11"/>
              <w:bidi w:val="0"/>
              <w:jc w:val="center"/>
              <w:rPr>
                <w:rFonts w:hint="eastAsia"/>
                <w:b/>
                <w:bCs/>
                <w:color w:val="000000"/>
                <w:lang w:val="zh-CN"/>
              </w:rPr>
            </w:pPr>
            <w:r>
              <w:rPr>
                <w:rFonts w:hint="eastAsia"/>
                <w:b/>
                <w:bCs/>
                <w:color w:val="000000"/>
                <w:lang w:val="zh-CN"/>
              </w:rPr>
              <w:t>Ⅰ类水断面及比例</w:t>
            </w:r>
          </w:p>
        </w:tc>
        <w:tc>
          <w:tcPr>
            <w:tcW w:w="587" w:type="pct"/>
            <w:tcBorders>
              <w:top w:val="single" w:color="auto" w:sz="4" w:space="0"/>
              <w:left w:val="single" w:color="auto" w:sz="4" w:space="0"/>
              <w:bottom w:val="single" w:color="auto" w:sz="4" w:space="0"/>
              <w:right w:val="single" w:color="auto" w:sz="4" w:space="0"/>
            </w:tcBorders>
            <w:shd w:val="clear" w:color="auto" w:fill="FFFFFF"/>
            <w:noWrap w:val="0"/>
            <w:tcMar>
              <w:top w:w="113" w:type="dxa"/>
              <w:left w:w="0" w:type="dxa"/>
              <w:bottom w:w="113" w:type="dxa"/>
              <w:right w:w="0" w:type="dxa"/>
            </w:tcMar>
            <w:vAlign w:val="center"/>
          </w:tcPr>
          <w:p w14:paraId="1B11F2FE">
            <w:pPr>
              <w:pStyle w:val="11"/>
              <w:bidi w:val="0"/>
              <w:jc w:val="center"/>
              <w:rPr>
                <w:rFonts w:hint="eastAsia"/>
                <w:b/>
                <w:bCs/>
                <w:color w:val="000000"/>
                <w:lang w:val="zh-CN"/>
              </w:rPr>
            </w:pPr>
            <w:r>
              <w:rPr>
                <w:rFonts w:hint="eastAsia"/>
                <w:b/>
                <w:bCs/>
                <w:color w:val="000000"/>
                <w:lang w:val="zh-CN"/>
              </w:rPr>
              <w:t>Ⅱ类水断面及比例</w:t>
            </w:r>
          </w:p>
        </w:tc>
        <w:tc>
          <w:tcPr>
            <w:tcW w:w="588" w:type="pct"/>
            <w:tcBorders>
              <w:top w:val="single" w:color="auto" w:sz="4" w:space="0"/>
              <w:left w:val="single" w:color="auto" w:sz="4" w:space="0"/>
              <w:bottom w:val="single" w:color="auto" w:sz="4" w:space="0"/>
              <w:right w:val="single" w:color="auto" w:sz="4" w:space="0"/>
            </w:tcBorders>
            <w:shd w:val="clear" w:color="auto" w:fill="FFFFFF"/>
            <w:noWrap w:val="0"/>
            <w:tcMar>
              <w:top w:w="113" w:type="dxa"/>
              <w:left w:w="57" w:type="dxa"/>
              <w:bottom w:w="113" w:type="dxa"/>
              <w:right w:w="57" w:type="dxa"/>
            </w:tcMar>
            <w:vAlign w:val="center"/>
          </w:tcPr>
          <w:p w14:paraId="170D4BDD">
            <w:pPr>
              <w:pStyle w:val="11"/>
              <w:bidi w:val="0"/>
              <w:jc w:val="center"/>
              <w:rPr>
                <w:rFonts w:hint="eastAsia"/>
                <w:b/>
                <w:bCs/>
                <w:color w:val="000000"/>
                <w:lang w:val="zh-CN"/>
              </w:rPr>
            </w:pPr>
            <w:r>
              <w:rPr>
                <w:rFonts w:hint="eastAsia"/>
                <w:b/>
                <w:bCs/>
                <w:color w:val="000000"/>
                <w:lang w:val="zh-CN"/>
              </w:rPr>
              <w:t>Ⅲ类水断面及比例</w:t>
            </w:r>
          </w:p>
        </w:tc>
        <w:tc>
          <w:tcPr>
            <w:tcW w:w="587" w:type="pct"/>
            <w:tcBorders>
              <w:top w:val="single" w:color="auto" w:sz="4" w:space="0"/>
              <w:left w:val="single" w:color="auto" w:sz="4" w:space="0"/>
              <w:bottom w:val="single" w:color="auto" w:sz="4" w:space="0"/>
              <w:right w:val="single" w:color="auto" w:sz="4" w:space="0"/>
            </w:tcBorders>
            <w:shd w:val="clear" w:color="auto" w:fill="FFFFFF"/>
            <w:noWrap w:val="0"/>
            <w:tcMar>
              <w:top w:w="113" w:type="dxa"/>
              <w:left w:w="57" w:type="dxa"/>
              <w:bottom w:w="113" w:type="dxa"/>
              <w:right w:w="57" w:type="dxa"/>
            </w:tcMar>
            <w:vAlign w:val="center"/>
          </w:tcPr>
          <w:p w14:paraId="1F914AE2">
            <w:pPr>
              <w:pStyle w:val="11"/>
              <w:bidi w:val="0"/>
              <w:jc w:val="center"/>
              <w:rPr>
                <w:rFonts w:hint="eastAsia"/>
                <w:b/>
                <w:bCs/>
                <w:color w:val="000000"/>
                <w:lang w:val="zh-CN"/>
              </w:rPr>
            </w:pPr>
            <w:r>
              <w:rPr>
                <w:rFonts w:hint="eastAsia"/>
                <w:b/>
                <w:bCs/>
                <w:color w:val="000000"/>
                <w:lang w:val="zh-CN"/>
              </w:rPr>
              <w:t>Ⅳ类水断面及比例</w:t>
            </w:r>
          </w:p>
        </w:tc>
        <w:tc>
          <w:tcPr>
            <w:tcW w:w="555" w:type="pct"/>
            <w:tcBorders>
              <w:top w:val="single" w:color="auto" w:sz="4" w:space="0"/>
              <w:left w:val="single" w:color="auto" w:sz="4" w:space="0"/>
              <w:bottom w:val="single" w:color="auto" w:sz="4" w:space="0"/>
              <w:right w:val="single" w:color="auto" w:sz="4" w:space="0"/>
            </w:tcBorders>
            <w:shd w:val="clear" w:color="auto" w:fill="FFFFFF"/>
            <w:noWrap w:val="0"/>
            <w:tcMar>
              <w:top w:w="113" w:type="dxa"/>
              <w:left w:w="57" w:type="dxa"/>
              <w:bottom w:w="113" w:type="dxa"/>
              <w:right w:w="57" w:type="dxa"/>
            </w:tcMar>
            <w:vAlign w:val="center"/>
          </w:tcPr>
          <w:p w14:paraId="62F37AC7">
            <w:pPr>
              <w:pStyle w:val="11"/>
              <w:bidi w:val="0"/>
              <w:jc w:val="center"/>
              <w:rPr>
                <w:rFonts w:hint="eastAsia"/>
                <w:b/>
                <w:bCs/>
                <w:color w:val="000000"/>
                <w:lang w:val="zh-CN"/>
              </w:rPr>
            </w:pPr>
            <w:r>
              <w:rPr>
                <w:rFonts w:hint="eastAsia"/>
                <w:b/>
                <w:bCs/>
                <w:color w:val="000000"/>
                <w:lang w:val="zh-CN"/>
              </w:rPr>
              <w:t>Ⅴ类水断面及比例</w:t>
            </w:r>
          </w:p>
        </w:tc>
        <w:tc>
          <w:tcPr>
            <w:tcW w:w="619" w:type="pct"/>
            <w:tcBorders>
              <w:top w:val="single" w:color="auto" w:sz="4" w:space="0"/>
              <w:left w:val="single" w:color="auto" w:sz="4" w:space="0"/>
              <w:bottom w:val="single" w:color="auto" w:sz="4" w:space="0"/>
              <w:right w:val="nil"/>
            </w:tcBorders>
            <w:shd w:val="clear" w:color="auto" w:fill="FFFFFF"/>
            <w:noWrap w:val="0"/>
            <w:tcMar>
              <w:top w:w="113" w:type="dxa"/>
              <w:left w:w="57" w:type="dxa"/>
              <w:bottom w:w="113" w:type="dxa"/>
              <w:right w:w="57" w:type="dxa"/>
            </w:tcMar>
            <w:vAlign w:val="center"/>
          </w:tcPr>
          <w:p w14:paraId="380E7ADA">
            <w:pPr>
              <w:pStyle w:val="11"/>
              <w:bidi w:val="0"/>
              <w:jc w:val="center"/>
              <w:rPr>
                <w:rFonts w:hint="eastAsia"/>
                <w:b/>
                <w:bCs/>
                <w:color w:val="000000"/>
                <w:lang w:val="zh-CN"/>
              </w:rPr>
            </w:pPr>
            <w:r>
              <w:rPr>
                <w:rFonts w:hint="eastAsia"/>
                <w:b/>
                <w:bCs/>
                <w:color w:val="000000"/>
                <w:lang w:val="zh-CN"/>
              </w:rPr>
              <w:t>劣Ⅴ类水断面及比例</w:t>
            </w:r>
          </w:p>
        </w:tc>
      </w:tr>
      <w:tr w14:paraId="23F07B34">
        <w:tblPrEx>
          <w:tblCellMar>
            <w:top w:w="0" w:type="dxa"/>
            <w:left w:w="0" w:type="dxa"/>
            <w:bottom w:w="0" w:type="dxa"/>
            <w:right w:w="0" w:type="dxa"/>
          </w:tblCellMar>
        </w:tblPrEx>
        <w:trPr>
          <w:trHeight w:val="396" w:hRule="atLeast"/>
        </w:trPr>
        <w:tc>
          <w:tcPr>
            <w:tcW w:w="1474" w:type="pct"/>
            <w:tcBorders>
              <w:top w:val="single" w:color="auto" w:sz="4" w:space="0"/>
              <w:left w:val="nil"/>
              <w:bottom w:val="single" w:color="auto" w:sz="4" w:space="0"/>
              <w:right w:val="single" w:color="auto" w:sz="4" w:space="0"/>
            </w:tcBorders>
            <w:shd w:val="clear" w:color="auto" w:fill="FFFFFF"/>
            <w:noWrap w:val="0"/>
            <w:vAlign w:val="center"/>
          </w:tcPr>
          <w:p w14:paraId="26EBB8D2">
            <w:pPr>
              <w:pStyle w:val="11"/>
              <w:bidi w:val="0"/>
              <w:jc w:val="both"/>
              <w:rPr>
                <w:rFonts w:hint="eastAsia"/>
                <w:color w:val="000000"/>
                <w:lang w:val="zh-CN"/>
              </w:rPr>
            </w:pPr>
            <w:r>
              <w:rPr>
                <w:rFonts w:hint="eastAsia"/>
                <w:color w:val="000000"/>
                <w:lang w:val="zh-CN"/>
              </w:rPr>
              <w:t>共6个：孔江水库上游、河坪、判官塘、河南桥、古市、凌江口、园区上游500米</w:t>
            </w:r>
          </w:p>
        </w:tc>
        <w:tc>
          <w:tcPr>
            <w:tcW w:w="586"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63B45AD4">
            <w:pPr>
              <w:pStyle w:val="11"/>
              <w:bidi w:val="0"/>
              <w:jc w:val="center"/>
              <w:rPr>
                <w:rFonts w:hint="eastAsia"/>
                <w:color w:val="000000"/>
                <w:lang w:val="zh-CN"/>
              </w:rPr>
            </w:pPr>
            <w:r>
              <w:rPr>
                <w:rFonts w:hint="eastAsia"/>
                <w:color w:val="000000"/>
                <w:lang w:val="zh-CN"/>
              </w:rPr>
              <w:t>0%</w:t>
            </w:r>
          </w:p>
        </w:tc>
        <w:tc>
          <w:tcPr>
            <w:tcW w:w="587" w:type="pct"/>
            <w:tcBorders>
              <w:top w:val="single" w:color="auto" w:sz="4" w:space="0"/>
              <w:left w:val="single" w:color="auto" w:sz="4" w:space="0"/>
              <w:bottom w:val="single" w:color="auto" w:sz="4" w:space="0"/>
              <w:right w:val="single" w:color="auto" w:sz="4" w:space="0"/>
            </w:tcBorders>
            <w:shd w:val="clear" w:color="auto" w:fill="FFFFFF"/>
            <w:noWrap w:val="0"/>
            <w:tcMar>
              <w:top w:w="113" w:type="dxa"/>
              <w:left w:w="227" w:type="dxa"/>
              <w:bottom w:w="113" w:type="dxa"/>
              <w:right w:w="57" w:type="dxa"/>
            </w:tcMar>
            <w:vAlign w:val="center"/>
          </w:tcPr>
          <w:p w14:paraId="13A75FBD">
            <w:pPr>
              <w:pStyle w:val="11"/>
              <w:bidi w:val="0"/>
              <w:jc w:val="center"/>
              <w:rPr>
                <w:rFonts w:hint="eastAsia"/>
                <w:color w:val="000000"/>
                <w:lang w:val="zh-CN"/>
              </w:rPr>
            </w:pPr>
            <w:r>
              <w:rPr>
                <w:rFonts w:hint="eastAsia"/>
                <w:color w:val="000000"/>
                <w:lang w:val="zh-CN"/>
              </w:rPr>
              <w:t>66.7%</w:t>
            </w:r>
          </w:p>
        </w:tc>
        <w:tc>
          <w:tcPr>
            <w:tcW w:w="588" w:type="pct"/>
            <w:tcBorders>
              <w:top w:val="single" w:color="auto" w:sz="4" w:space="0"/>
              <w:left w:val="single" w:color="auto" w:sz="4" w:space="0"/>
              <w:bottom w:val="single" w:color="auto" w:sz="4" w:space="0"/>
              <w:right w:val="single" w:color="auto" w:sz="4" w:space="0"/>
            </w:tcBorders>
            <w:shd w:val="clear" w:color="auto" w:fill="FFFFFF"/>
            <w:noWrap w:val="0"/>
            <w:tcMar>
              <w:top w:w="113" w:type="dxa"/>
              <w:bottom w:w="113" w:type="dxa"/>
              <w:right w:w="57" w:type="dxa"/>
            </w:tcMar>
            <w:vAlign w:val="center"/>
          </w:tcPr>
          <w:p w14:paraId="0FED3926">
            <w:pPr>
              <w:pStyle w:val="11"/>
              <w:bidi w:val="0"/>
              <w:jc w:val="center"/>
              <w:rPr>
                <w:rFonts w:hint="eastAsia"/>
                <w:color w:val="000000"/>
                <w:lang w:val="zh-CN"/>
              </w:rPr>
            </w:pPr>
            <w:r>
              <w:rPr>
                <w:rFonts w:hint="eastAsia"/>
                <w:color w:val="000000"/>
                <w:lang w:val="zh-CN"/>
              </w:rPr>
              <w:t>33.3%</w:t>
            </w:r>
          </w:p>
        </w:tc>
        <w:tc>
          <w:tcPr>
            <w:tcW w:w="587" w:type="pct"/>
            <w:tcBorders>
              <w:top w:val="single" w:color="auto" w:sz="4" w:space="0"/>
              <w:left w:val="single" w:color="auto" w:sz="4" w:space="0"/>
              <w:bottom w:val="single" w:color="auto" w:sz="4" w:space="0"/>
              <w:right w:val="single" w:color="auto" w:sz="4" w:space="0"/>
            </w:tcBorders>
            <w:shd w:val="clear" w:color="auto" w:fill="FFFFFF"/>
            <w:noWrap w:val="0"/>
            <w:tcMar>
              <w:top w:w="113" w:type="dxa"/>
              <w:bottom w:w="113" w:type="dxa"/>
              <w:right w:w="57" w:type="dxa"/>
            </w:tcMar>
            <w:vAlign w:val="center"/>
          </w:tcPr>
          <w:p w14:paraId="6E294316">
            <w:pPr>
              <w:pStyle w:val="11"/>
              <w:bidi w:val="0"/>
              <w:jc w:val="center"/>
              <w:rPr>
                <w:rFonts w:hint="eastAsia"/>
                <w:color w:val="000000"/>
                <w:lang w:val="zh-CN"/>
              </w:rPr>
            </w:pPr>
            <w:r>
              <w:rPr>
                <w:rFonts w:hint="eastAsia"/>
                <w:color w:val="000000"/>
                <w:lang w:val="zh-CN"/>
              </w:rPr>
              <w:t>0%</w:t>
            </w:r>
          </w:p>
        </w:tc>
        <w:tc>
          <w:tcPr>
            <w:tcW w:w="555" w:type="pct"/>
            <w:tcBorders>
              <w:top w:val="single" w:color="auto" w:sz="4" w:space="0"/>
              <w:left w:val="single" w:color="auto" w:sz="4" w:space="0"/>
              <w:bottom w:val="single" w:color="auto" w:sz="4" w:space="0"/>
              <w:right w:val="single" w:color="auto" w:sz="4" w:space="0"/>
            </w:tcBorders>
            <w:shd w:val="clear" w:color="auto" w:fill="FFFFFF"/>
            <w:noWrap w:val="0"/>
            <w:tcMar>
              <w:top w:w="113" w:type="dxa"/>
              <w:bottom w:w="113" w:type="dxa"/>
              <w:right w:w="57" w:type="dxa"/>
            </w:tcMar>
            <w:vAlign w:val="center"/>
          </w:tcPr>
          <w:p w14:paraId="5F135F20">
            <w:pPr>
              <w:pStyle w:val="11"/>
              <w:bidi w:val="0"/>
              <w:jc w:val="center"/>
              <w:rPr>
                <w:rFonts w:hint="eastAsia"/>
                <w:color w:val="000000"/>
                <w:lang w:val="zh-CN"/>
              </w:rPr>
            </w:pPr>
            <w:r>
              <w:rPr>
                <w:rFonts w:hint="eastAsia"/>
                <w:color w:val="000000"/>
                <w:lang w:val="zh-CN"/>
              </w:rPr>
              <w:t>0%</w:t>
            </w:r>
          </w:p>
        </w:tc>
        <w:tc>
          <w:tcPr>
            <w:tcW w:w="619" w:type="pct"/>
            <w:tcBorders>
              <w:top w:val="single" w:color="auto" w:sz="4" w:space="0"/>
              <w:left w:val="single" w:color="auto" w:sz="4" w:space="0"/>
              <w:bottom w:val="single" w:color="auto" w:sz="4" w:space="0"/>
              <w:right w:val="nil"/>
            </w:tcBorders>
            <w:shd w:val="clear" w:color="auto" w:fill="FFFFFF"/>
            <w:noWrap w:val="0"/>
            <w:tcMar>
              <w:top w:w="113" w:type="dxa"/>
              <w:bottom w:w="113" w:type="dxa"/>
              <w:right w:w="57" w:type="dxa"/>
            </w:tcMar>
            <w:vAlign w:val="center"/>
          </w:tcPr>
          <w:p w14:paraId="0B7F2C14">
            <w:pPr>
              <w:pStyle w:val="11"/>
              <w:bidi w:val="0"/>
              <w:jc w:val="center"/>
              <w:rPr>
                <w:rFonts w:hint="eastAsia"/>
                <w:color w:val="000000"/>
                <w:lang w:val="zh-CN"/>
              </w:rPr>
            </w:pPr>
            <w:r>
              <w:rPr>
                <w:rFonts w:hint="eastAsia"/>
                <w:color w:val="000000"/>
                <w:lang w:val="zh-CN"/>
              </w:rPr>
              <w:t>0%</w:t>
            </w:r>
          </w:p>
        </w:tc>
      </w:tr>
    </w:tbl>
    <w:p w14:paraId="65260B89">
      <w:pPr>
        <w:bidi w:val="0"/>
        <w:ind w:left="0" w:leftChars="0" w:firstLine="0" w:firstLineChars="0"/>
        <w:jc w:val="center"/>
        <w:rPr>
          <w:rFonts w:hint="eastAsia"/>
          <w:b/>
          <w:bCs/>
          <w:lang w:val="zh-CN"/>
        </w:rPr>
      </w:pPr>
      <w:r>
        <w:rPr>
          <w:rFonts w:hint="eastAsia"/>
          <w:b/>
          <w:bCs/>
          <w:lang w:val="zh-CN"/>
        </w:rPr>
        <w:t>表20</w:t>
      </w:r>
      <w:r>
        <w:rPr>
          <w:rFonts w:hint="eastAsia"/>
          <w:b/>
          <w:bCs/>
          <w:lang w:val="en-US" w:eastAsia="zh-CN"/>
        </w:rPr>
        <w:t xml:space="preserve">  </w:t>
      </w:r>
      <w:r>
        <w:rPr>
          <w:rFonts w:hint="eastAsia"/>
          <w:b/>
          <w:bCs/>
          <w:lang w:val="zh-CN"/>
        </w:rPr>
        <w:t>南雄市空气环境质量状况年度比较</w:t>
      </w:r>
    </w:p>
    <w:tbl>
      <w:tblPr>
        <w:tblStyle w:val="7"/>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399"/>
        <w:gridCol w:w="2471"/>
        <w:gridCol w:w="2436"/>
        <w:gridCol w:w="2436"/>
      </w:tblGrid>
      <w:tr w14:paraId="5C821B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5" w:hRule="atLeast"/>
        </w:trPr>
        <w:tc>
          <w:tcPr>
            <w:tcW w:w="1231" w:type="pct"/>
            <w:shd w:val="clear" w:color="auto" w:fill="FFFFFF"/>
            <w:noWrap w:val="0"/>
            <w:vAlign w:val="center"/>
          </w:tcPr>
          <w:p w14:paraId="3CA910E9">
            <w:pPr>
              <w:pStyle w:val="11"/>
              <w:bidi w:val="0"/>
              <w:jc w:val="center"/>
              <w:rPr>
                <w:rFonts w:hint="eastAsia"/>
                <w:b/>
                <w:bCs/>
                <w:color w:val="000000"/>
                <w:lang w:val="zh-CN"/>
              </w:rPr>
            </w:pPr>
            <w:r>
              <w:rPr>
                <w:rFonts w:hint="eastAsia"/>
                <w:b/>
                <w:bCs/>
                <w:color w:val="000000"/>
                <w:lang w:val="zh-CN"/>
              </w:rPr>
              <w:t>项目</w:t>
            </w:r>
          </w:p>
        </w:tc>
        <w:tc>
          <w:tcPr>
            <w:tcW w:w="1268" w:type="pct"/>
            <w:shd w:val="clear" w:color="auto" w:fill="FFFFFF"/>
            <w:noWrap w:val="0"/>
            <w:tcMar>
              <w:left w:w="57" w:type="dxa"/>
              <w:right w:w="57" w:type="dxa"/>
            </w:tcMar>
            <w:vAlign w:val="center"/>
          </w:tcPr>
          <w:p w14:paraId="31AF160C">
            <w:pPr>
              <w:pStyle w:val="11"/>
              <w:bidi w:val="0"/>
              <w:jc w:val="center"/>
              <w:rPr>
                <w:rFonts w:hint="eastAsia"/>
                <w:b/>
                <w:bCs/>
                <w:color w:val="000000"/>
                <w:lang w:val="zh-CN"/>
              </w:rPr>
            </w:pPr>
            <w:r>
              <w:rPr>
                <w:rFonts w:hint="eastAsia"/>
                <w:b/>
                <w:bCs/>
                <w:color w:val="000000"/>
                <w:lang w:val="zh-CN"/>
              </w:rPr>
              <w:t>2017年年均值</w:t>
            </w:r>
          </w:p>
        </w:tc>
        <w:tc>
          <w:tcPr>
            <w:tcW w:w="1250" w:type="pct"/>
            <w:shd w:val="clear" w:color="auto" w:fill="FFFFFF"/>
            <w:noWrap w:val="0"/>
            <w:tcMar>
              <w:top w:w="0" w:type="dxa"/>
              <w:left w:w="0" w:type="dxa"/>
              <w:bottom w:w="0" w:type="dxa"/>
              <w:right w:w="0" w:type="dxa"/>
            </w:tcMar>
            <w:vAlign w:val="center"/>
          </w:tcPr>
          <w:p w14:paraId="1B1649BF">
            <w:pPr>
              <w:pStyle w:val="11"/>
              <w:bidi w:val="0"/>
              <w:jc w:val="center"/>
              <w:rPr>
                <w:rFonts w:hint="eastAsia"/>
                <w:b/>
                <w:bCs/>
                <w:color w:val="000000"/>
                <w:lang w:val="zh-CN"/>
              </w:rPr>
            </w:pPr>
            <w:r>
              <w:rPr>
                <w:rFonts w:hint="eastAsia"/>
                <w:b/>
                <w:bCs/>
                <w:color w:val="000000"/>
                <w:lang w:val="zh-CN"/>
              </w:rPr>
              <w:t>2018年年均值</w:t>
            </w:r>
          </w:p>
        </w:tc>
        <w:tc>
          <w:tcPr>
            <w:tcW w:w="1250" w:type="pct"/>
            <w:shd w:val="clear" w:color="auto" w:fill="FFFFFF"/>
            <w:noWrap w:val="0"/>
            <w:tcMar>
              <w:top w:w="0" w:type="dxa"/>
              <w:bottom w:w="0" w:type="dxa"/>
            </w:tcMar>
            <w:vAlign w:val="center"/>
          </w:tcPr>
          <w:p w14:paraId="792B190E">
            <w:pPr>
              <w:pStyle w:val="11"/>
              <w:bidi w:val="0"/>
              <w:jc w:val="center"/>
              <w:rPr>
                <w:rFonts w:hint="eastAsia"/>
                <w:b/>
                <w:bCs/>
                <w:color w:val="000000"/>
                <w:lang w:val="zh-CN"/>
              </w:rPr>
            </w:pPr>
            <w:r>
              <w:rPr>
                <w:rFonts w:hint="eastAsia"/>
                <w:b/>
                <w:bCs/>
                <w:color w:val="000000"/>
                <w:lang w:val="zh-CN"/>
              </w:rPr>
              <w:t>2017～2018年变化幅度</w:t>
            </w:r>
          </w:p>
        </w:tc>
      </w:tr>
      <w:tr w14:paraId="31D368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231" w:type="pct"/>
            <w:shd w:val="clear" w:color="auto" w:fill="FFFFFF"/>
            <w:noWrap w:val="0"/>
            <w:vAlign w:val="center"/>
          </w:tcPr>
          <w:p w14:paraId="5CAB69C5">
            <w:pPr>
              <w:pStyle w:val="11"/>
              <w:bidi w:val="0"/>
              <w:jc w:val="both"/>
              <w:rPr>
                <w:rFonts w:hint="eastAsia"/>
                <w:color w:val="000000"/>
                <w:lang w:val="zh-CN"/>
              </w:rPr>
            </w:pPr>
            <w:r>
              <w:rPr>
                <w:rFonts w:hint="eastAsia"/>
                <w:color w:val="000000"/>
                <w:lang w:val="zh-CN"/>
              </w:rPr>
              <w:t>二氧化硫（ug/m3）</w:t>
            </w:r>
          </w:p>
        </w:tc>
        <w:tc>
          <w:tcPr>
            <w:tcW w:w="1268" w:type="pct"/>
            <w:shd w:val="clear" w:color="auto" w:fill="FFFFFF"/>
            <w:noWrap w:val="0"/>
            <w:tcMar>
              <w:left w:w="57" w:type="dxa"/>
              <w:right w:w="57" w:type="dxa"/>
            </w:tcMar>
            <w:vAlign w:val="center"/>
          </w:tcPr>
          <w:p w14:paraId="4FACAB07">
            <w:pPr>
              <w:pStyle w:val="11"/>
              <w:bidi w:val="0"/>
              <w:jc w:val="center"/>
              <w:rPr>
                <w:rFonts w:hint="eastAsia"/>
                <w:color w:val="000000"/>
                <w:lang w:val="zh-CN"/>
              </w:rPr>
            </w:pPr>
            <w:r>
              <w:rPr>
                <w:rFonts w:hint="eastAsia"/>
                <w:color w:val="000000"/>
                <w:lang w:val="zh-CN"/>
              </w:rPr>
              <w:t>16</w:t>
            </w:r>
          </w:p>
        </w:tc>
        <w:tc>
          <w:tcPr>
            <w:tcW w:w="1250" w:type="pct"/>
            <w:shd w:val="clear" w:color="auto" w:fill="FFFFFF"/>
            <w:noWrap w:val="0"/>
            <w:tcMar>
              <w:top w:w="0" w:type="dxa"/>
              <w:left w:w="227" w:type="dxa"/>
              <w:bottom w:w="0" w:type="dxa"/>
              <w:right w:w="57" w:type="dxa"/>
            </w:tcMar>
            <w:vAlign w:val="center"/>
          </w:tcPr>
          <w:p w14:paraId="793218C6">
            <w:pPr>
              <w:pStyle w:val="11"/>
              <w:bidi w:val="0"/>
              <w:jc w:val="center"/>
              <w:rPr>
                <w:rFonts w:hint="eastAsia"/>
                <w:color w:val="000000"/>
                <w:lang w:val="zh-CN"/>
              </w:rPr>
            </w:pPr>
            <w:r>
              <w:rPr>
                <w:rFonts w:hint="eastAsia"/>
                <w:color w:val="000000"/>
                <w:lang w:val="zh-CN"/>
              </w:rPr>
              <w:t>14</w:t>
            </w:r>
          </w:p>
        </w:tc>
        <w:tc>
          <w:tcPr>
            <w:tcW w:w="1250" w:type="pct"/>
            <w:shd w:val="clear" w:color="auto" w:fill="FFFFFF"/>
            <w:noWrap w:val="0"/>
            <w:tcMar>
              <w:top w:w="0" w:type="dxa"/>
              <w:bottom w:w="0" w:type="dxa"/>
              <w:right w:w="57" w:type="dxa"/>
            </w:tcMar>
            <w:vAlign w:val="center"/>
          </w:tcPr>
          <w:p w14:paraId="3F0BCDAF">
            <w:pPr>
              <w:pStyle w:val="11"/>
              <w:bidi w:val="0"/>
              <w:jc w:val="center"/>
              <w:rPr>
                <w:rFonts w:hint="eastAsia"/>
                <w:color w:val="000000"/>
                <w:lang w:val="zh-CN"/>
              </w:rPr>
            </w:pPr>
            <w:r>
              <w:rPr>
                <w:rFonts w:hint="eastAsia"/>
                <w:color w:val="000000"/>
                <w:lang w:val="zh-CN"/>
              </w:rPr>
              <w:t>-12.50%</w:t>
            </w:r>
          </w:p>
        </w:tc>
      </w:tr>
      <w:tr w14:paraId="2FE13C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231" w:type="pct"/>
            <w:shd w:val="clear" w:color="auto" w:fill="FFFFFF"/>
            <w:noWrap w:val="0"/>
            <w:vAlign w:val="center"/>
          </w:tcPr>
          <w:p w14:paraId="67425F89">
            <w:pPr>
              <w:pStyle w:val="11"/>
              <w:bidi w:val="0"/>
              <w:jc w:val="both"/>
              <w:rPr>
                <w:rFonts w:hint="eastAsia"/>
                <w:color w:val="000000"/>
                <w:lang w:val="zh-CN"/>
              </w:rPr>
            </w:pPr>
            <w:r>
              <w:rPr>
                <w:rFonts w:hint="eastAsia"/>
                <w:color w:val="000000"/>
                <w:lang w:val="zh-CN"/>
              </w:rPr>
              <w:t>二氧化氮（ug/m3）</w:t>
            </w:r>
          </w:p>
        </w:tc>
        <w:tc>
          <w:tcPr>
            <w:tcW w:w="1268" w:type="pct"/>
            <w:shd w:val="clear" w:color="auto" w:fill="FFFFFF"/>
            <w:noWrap w:val="0"/>
            <w:tcMar>
              <w:left w:w="57" w:type="dxa"/>
              <w:right w:w="57" w:type="dxa"/>
            </w:tcMar>
            <w:vAlign w:val="center"/>
          </w:tcPr>
          <w:p w14:paraId="6E430B8F">
            <w:pPr>
              <w:pStyle w:val="11"/>
              <w:bidi w:val="0"/>
              <w:jc w:val="center"/>
              <w:rPr>
                <w:rFonts w:hint="eastAsia"/>
                <w:color w:val="000000"/>
                <w:lang w:val="zh-CN"/>
              </w:rPr>
            </w:pPr>
            <w:r>
              <w:rPr>
                <w:rFonts w:hint="eastAsia"/>
                <w:color w:val="000000"/>
                <w:lang w:val="zh-CN"/>
              </w:rPr>
              <w:t>20</w:t>
            </w:r>
          </w:p>
        </w:tc>
        <w:tc>
          <w:tcPr>
            <w:tcW w:w="1250" w:type="pct"/>
            <w:shd w:val="clear" w:color="auto" w:fill="FFFFFF"/>
            <w:noWrap w:val="0"/>
            <w:tcMar>
              <w:top w:w="0" w:type="dxa"/>
              <w:left w:w="227" w:type="dxa"/>
              <w:bottom w:w="0" w:type="dxa"/>
              <w:right w:w="57" w:type="dxa"/>
            </w:tcMar>
            <w:vAlign w:val="center"/>
          </w:tcPr>
          <w:p w14:paraId="3902F4A6">
            <w:pPr>
              <w:pStyle w:val="11"/>
              <w:bidi w:val="0"/>
              <w:jc w:val="center"/>
              <w:rPr>
                <w:rFonts w:hint="eastAsia"/>
                <w:color w:val="000000"/>
                <w:lang w:val="zh-CN"/>
              </w:rPr>
            </w:pPr>
            <w:r>
              <w:rPr>
                <w:rFonts w:hint="eastAsia"/>
                <w:color w:val="000000"/>
                <w:lang w:val="zh-CN"/>
              </w:rPr>
              <w:t>20</w:t>
            </w:r>
          </w:p>
        </w:tc>
        <w:tc>
          <w:tcPr>
            <w:tcW w:w="1250" w:type="pct"/>
            <w:shd w:val="clear" w:color="auto" w:fill="FFFFFF"/>
            <w:noWrap w:val="0"/>
            <w:tcMar>
              <w:top w:w="0" w:type="dxa"/>
              <w:bottom w:w="0" w:type="dxa"/>
              <w:right w:w="57" w:type="dxa"/>
            </w:tcMar>
            <w:vAlign w:val="center"/>
          </w:tcPr>
          <w:p w14:paraId="5A9C52CD">
            <w:pPr>
              <w:pStyle w:val="11"/>
              <w:bidi w:val="0"/>
              <w:jc w:val="center"/>
              <w:rPr>
                <w:rFonts w:hint="eastAsia"/>
                <w:color w:val="000000"/>
                <w:lang w:val="zh-CN"/>
              </w:rPr>
            </w:pPr>
            <w:r>
              <w:rPr>
                <w:rFonts w:hint="eastAsia"/>
                <w:color w:val="000000"/>
                <w:lang w:val="zh-CN"/>
              </w:rPr>
              <w:t>0.00%</w:t>
            </w:r>
          </w:p>
        </w:tc>
      </w:tr>
      <w:tr w14:paraId="5D7CBB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231" w:type="pct"/>
            <w:shd w:val="clear" w:color="auto" w:fill="FFFFFF"/>
            <w:noWrap w:val="0"/>
            <w:vAlign w:val="center"/>
          </w:tcPr>
          <w:p w14:paraId="2427024B">
            <w:pPr>
              <w:pStyle w:val="11"/>
              <w:bidi w:val="0"/>
              <w:jc w:val="both"/>
              <w:rPr>
                <w:rFonts w:hint="eastAsia"/>
                <w:color w:val="000000"/>
                <w:lang w:val="zh-CN"/>
              </w:rPr>
            </w:pPr>
            <w:r>
              <w:rPr>
                <w:rFonts w:hint="eastAsia"/>
                <w:color w:val="000000"/>
                <w:lang w:val="zh-CN"/>
              </w:rPr>
              <w:t>可吸入颗粒物（ug/m3）</w:t>
            </w:r>
          </w:p>
        </w:tc>
        <w:tc>
          <w:tcPr>
            <w:tcW w:w="1268" w:type="pct"/>
            <w:shd w:val="clear" w:color="auto" w:fill="FFFFFF"/>
            <w:noWrap w:val="0"/>
            <w:tcMar>
              <w:left w:w="57" w:type="dxa"/>
              <w:right w:w="57" w:type="dxa"/>
            </w:tcMar>
            <w:vAlign w:val="center"/>
          </w:tcPr>
          <w:p w14:paraId="099BFD99">
            <w:pPr>
              <w:pStyle w:val="11"/>
              <w:bidi w:val="0"/>
              <w:jc w:val="center"/>
              <w:rPr>
                <w:rFonts w:hint="eastAsia"/>
                <w:color w:val="000000"/>
                <w:lang w:val="zh-CN"/>
              </w:rPr>
            </w:pPr>
            <w:r>
              <w:rPr>
                <w:rFonts w:hint="eastAsia"/>
                <w:color w:val="000000"/>
                <w:lang w:val="zh-CN"/>
              </w:rPr>
              <w:t>52</w:t>
            </w:r>
          </w:p>
        </w:tc>
        <w:tc>
          <w:tcPr>
            <w:tcW w:w="1250" w:type="pct"/>
            <w:shd w:val="clear" w:color="auto" w:fill="FFFFFF"/>
            <w:noWrap w:val="0"/>
            <w:tcMar>
              <w:top w:w="0" w:type="dxa"/>
              <w:left w:w="227" w:type="dxa"/>
              <w:bottom w:w="0" w:type="dxa"/>
              <w:right w:w="57" w:type="dxa"/>
            </w:tcMar>
            <w:vAlign w:val="center"/>
          </w:tcPr>
          <w:p w14:paraId="7ABAA9EF">
            <w:pPr>
              <w:pStyle w:val="11"/>
              <w:bidi w:val="0"/>
              <w:jc w:val="center"/>
              <w:rPr>
                <w:rFonts w:hint="eastAsia"/>
                <w:color w:val="000000"/>
                <w:lang w:val="zh-CN"/>
              </w:rPr>
            </w:pPr>
            <w:r>
              <w:rPr>
                <w:rFonts w:hint="eastAsia"/>
                <w:color w:val="000000"/>
                <w:lang w:val="zh-CN"/>
              </w:rPr>
              <w:t>56</w:t>
            </w:r>
          </w:p>
        </w:tc>
        <w:tc>
          <w:tcPr>
            <w:tcW w:w="1250" w:type="pct"/>
            <w:shd w:val="clear" w:color="auto" w:fill="FFFFFF"/>
            <w:noWrap w:val="0"/>
            <w:tcMar>
              <w:top w:w="0" w:type="dxa"/>
              <w:bottom w:w="0" w:type="dxa"/>
              <w:right w:w="57" w:type="dxa"/>
            </w:tcMar>
            <w:vAlign w:val="center"/>
          </w:tcPr>
          <w:p w14:paraId="6EFD6577">
            <w:pPr>
              <w:pStyle w:val="11"/>
              <w:bidi w:val="0"/>
              <w:jc w:val="center"/>
              <w:rPr>
                <w:rFonts w:hint="eastAsia"/>
                <w:color w:val="000000"/>
                <w:lang w:val="zh-CN"/>
              </w:rPr>
            </w:pPr>
            <w:r>
              <w:rPr>
                <w:rFonts w:hint="eastAsia"/>
                <w:color w:val="000000"/>
                <w:lang w:val="zh-CN"/>
              </w:rPr>
              <w:t>7.69%</w:t>
            </w:r>
          </w:p>
        </w:tc>
      </w:tr>
      <w:tr w14:paraId="463FF7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231" w:type="pct"/>
            <w:shd w:val="clear" w:color="auto" w:fill="FFFFFF"/>
            <w:noWrap w:val="0"/>
            <w:vAlign w:val="center"/>
          </w:tcPr>
          <w:p w14:paraId="72697A89">
            <w:pPr>
              <w:pStyle w:val="11"/>
              <w:bidi w:val="0"/>
              <w:jc w:val="both"/>
              <w:rPr>
                <w:rFonts w:hint="eastAsia"/>
                <w:color w:val="000000"/>
                <w:lang w:val="zh-CN"/>
              </w:rPr>
            </w:pPr>
            <w:r>
              <w:rPr>
                <w:rFonts w:hint="eastAsia"/>
                <w:color w:val="000000"/>
                <w:lang w:val="zh-CN"/>
              </w:rPr>
              <w:t>细颗粒物（ug/m3）</w:t>
            </w:r>
          </w:p>
        </w:tc>
        <w:tc>
          <w:tcPr>
            <w:tcW w:w="1268" w:type="pct"/>
            <w:shd w:val="clear" w:color="auto" w:fill="FFFFFF"/>
            <w:noWrap w:val="0"/>
            <w:tcMar>
              <w:left w:w="57" w:type="dxa"/>
              <w:right w:w="57" w:type="dxa"/>
            </w:tcMar>
            <w:vAlign w:val="center"/>
          </w:tcPr>
          <w:p w14:paraId="6F145225">
            <w:pPr>
              <w:pStyle w:val="11"/>
              <w:bidi w:val="0"/>
              <w:jc w:val="center"/>
              <w:rPr>
                <w:rFonts w:hint="eastAsia"/>
                <w:color w:val="000000"/>
                <w:lang w:val="zh-CN"/>
              </w:rPr>
            </w:pPr>
            <w:r>
              <w:rPr>
                <w:rFonts w:hint="eastAsia"/>
                <w:color w:val="000000"/>
                <w:lang w:val="zh-CN"/>
              </w:rPr>
              <w:t>30</w:t>
            </w:r>
          </w:p>
        </w:tc>
        <w:tc>
          <w:tcPr>
            <w:tcW w:w="1250" w:type="pct"/>
            <w:shd w:val="clear" w:color="auto" w:fill="FFFFFF"/>
            <w:noWrap w:val="0"/>
            <w:tcMar>
              <w:top w:w="0" w:type="dxa"/>
              <w:left w:w="227" w:type="dxa"/>
              <w:bottom w:w="0" w:type="dxa"/>
              <w:right w:w="57" w:type="dxa"/>
            </w:tcMar>
            <w:vAlign w:val="center"/>
          </w:tcPr>
          <w:p w14:paraId="5024B4D3">
            <w:pPr>
              <w:pStyle w:val="11"/>
              <w:bidi w:val="0"/>
              <w:jc w:val="center"/>
              <w:rPr>
                <w:rFonts w:hint="eastAsia"/>
                <w:color w:val="000000"/>
                <w:lang w:val="zh-CN"/>
              </w:rPr>
            </w:pPr>
            <w:r>
              <w:rPr>
                <w:rFonts w:hint="eastAsia"/>
                <w:color w:val="000000"/>
                <w:lang w:val="zh-CN"/>
              </w:rPr>
              <w:t>29</w:t>
            </w:r>
          </w:p>
        </w:tc>
        <w:tc>
          <w:tcPr>
            <w:tcW w:w="1250" w:type="pct"/>
            <w:shd w:val="clear" w:color="auto" w:fill="FFFFFF"/>
            <w:noWrap w:val="0"/>
            <w:tcMar>
              <w:top w:w="0" w:type="dxa"/>
              <w:bottom w:w="0" w:type="dxa"/>
              <w:right w:w="57" w:type="dxa"/>
            </w:tcMar>
            <w:vAlign w:val="center"/>
          </w:tcPr>
          <w:p w14:paraId="3AA4F955">
            <w:pPr>
              <w:pStyle w:val="11"/>
              <w:bidi w:val="0"/>
              <w:jc w:val="center"/>
              <w:rPr>
                <w:rFonts w:hint="eastAsia"/>
                <w:color w:val="000000"/>
                <w:lang w:val="zh-CN"/>
              </w:rPr>
            </w:pPr>
            <w:r>
              <w:rPr>
                <w:rFonts w:hint="eastAsia"/>
                <w:color w:val="000000"/>
                <w:lang w:val="zh-CN"/>
              </w:rPr>
              <w:t>-3.33%</w:t>
            </w:r>
          </w:p>
        </w:tc>
      </w:tr>
      <w:tr w14:paraId="1A398C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231" w:type="pct"/>
            <w:shd w:val="clear" w:color="auto" w:fill="FFFFFF"/>
            <w:noWrap w:val="0"/>
            <w:vAlign w:val="center"/>
          </w:tcPr>
          <w:p w14:paraId="1A6358CE">
            <w:pPr>
              <w:pStyle w:val="11"/>
              <w:bidi w:val="0"/>
              <w:jc w:val="both"/>
              <w:rPr>
                <w:rFonts w:hint="eastAsia"/>
                <w:color w:val="000000"/>
                <w:lang w:val="zh-CN"/>
              </w:rPr>
            </w:pPr>
            <w:r>
              <w:rPr>
                <w:rFonts w:hint="eastAsia"/>
                <w:color w:val="000000"/>
                <w:lang w:val="zh-CN"/>
              </w:rPr>
              <w:t>CO_24h（mg/m3）</w:t>
            </w:r>
          </w:p>
        </w:tc>
        <w:tc>
          <w:tcPr>
            <w:tcW w:w="1268" w:type="pct"/>
            <w:shd w:val="clear" w:color="auto" w:fill="FFFFFF"/>
            <w:noWrap w:val="0"/>
            <w:tcMar>
              <w:left w:w="57" w:type="dxa"/>
              <w:right w:w="57" w:type="dxa"/>
            </w:tcMar>
            <w:vAlign w:val="center"/>
          </w:tcPr>
          <w:p w14:paraId="2B0471DF">
            <w:pPr>
              <w:pStyle w:val="11"/>
              <w:bidi w:val="0"/>
              <w:jc w:val="center"/>
              <w:rPr>
                <w:rFonts w:hint="eastAsia"/>
                <w:color w:val="000000"/>
                <w:lang w:val="zh-CN"/>
              </w:rPr>
            </w:pPr>
            <w:r>
              <w:rPr>
                <w:rFonts w:hint="eastAsia"/>
                <w:color w:val="000000"/>
                <w:lang w:val="zh-CN"/>
              </w:rPr>
              <w:t>1.5</w:t>
            </w:r>
          </w:p>
        </w:tc>
        <w:tc>
          <w:tcPr>
            <w:tcW w:w="1250" w:type="pct"/>
            <w:shd w:val="clear" w:color="auto" w:fill="FFFFFF"/>
            <w:noWrap w:val="0"/>
            <w:tcMar>
              <w:top w:w="0" w:type="dxa"/>
              <w:left w:w="227" w:type="dxa"/>
              <w:bottom w:w="0" w:type="dxa"/>
              <w:right w:w="57" w:type="dxa"/>
            </w:tcMar>
            <w:vAlign w:val="center"/>
          </w:tcPr>
          <w:p w14:paraId="6FCBB76E">
            <w:pPr>
              <w:pStyle w:val="11"/>
              <w:bidi w:val="0"/>
              <w:jc w:val="center"/>
              <w:rPr>
                <w:rFonts w:hint="eastAsia"/>
                <w:color w:val="000000"/>
                <w:lang w:val="zh-CN"/>
              </w:rPr>
            </w:pPr>
            <w:r>
              <w:rPr>
                <w:rFonts w:hint="eastAsia"/>
                <w:color w:val="000000"/>
                <w:lang w:val="zh-CN"/>
              </w:rPr>
              <w:t>1.0</w:t>
            </w:r>
          </w:p>
        </w:tc>
        <w:tc>
          <w:tcPr>
            <w:tcW w:w="1250" w:type="pct"/>
            <w:shd w:val="clear" w:color="auto" w:fill="FFFFFF"/>
            <w:noWrap w:val="0"/>
            <w:tcMar>
              <w:top w:w="0" w:type="dxa"/>
              <w:bottom w:w="0" w:type="dxa"/>
              <w:right w:w="57" w:type="dxa"/>
            </w:tcMar>
            <w:vAlign w:val="center"/>
          </w:tcPr>
          <w:p w14:paraId="11F954A0">
            <w:pPr>
              <w:pStyle w:val="11"/>
              <w:bidi w:val="0"/>
              <w:jc w:val="center"/>
              <w:rPr>
                <w:rFonts w:hint="eastAsia"/>
                <w:color w:val="000000"/>
                <w:lang w:val="zh-CN"/>
              </w:rPr>
            </w:pPr>
            <w:r>
              <w:rPr>
                <w:rFonts w:hint="eastAsia"/>
                <w:color w:val="000000"/>
                <w:lang w:val="zh-CN"/>
              </w:rPr>
              <w:t>-33.33%</w:t>
            </w:r>
          </w:p>
        </w:tc>
      </w:tr>
      <w:tr w14:paraId="12470B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231" w:type="pct"/>
            <w:shd w:val="clear" w:color="auto" w:fill="FFFFFF"/>
            <w:noWrap w:val="0"/>
            <w:vAlign w:val="center"/>
          </w:tcPr>
          <w:p w14:paraId="09EE0CE2">
            <w:pPr>
              <w:pStyle w:val="11"/>
              <w:bidi w:val="0"/>
              <w:jc w:val="both"/>
              <w:rPr>
                <w:rFonts w:hint="eastAsia"/>
                <w:color w:val="000000"/>
                <w:lang w:val="zh-CN"/>
              </w:rPr>
            </w:pPr>
            <w:r>
              <w:rPr>
                <w:rFonts w:hint="eastAsia"/>
                <w:color w:val="000000"/>
                <w:lang w:val="zh-CN"/>
              </w:rPr>
              <w:t>O3_8h（ug/m3）</w:t>
            </w:r>
          </w:p>
        </w:tc>
        <w:tc>
          <w:tcPr>
            <w:tcW w:w="1268" w:type="pct"/>
            <w:shd w:val="clear" w:color="auto" w:fill="FFFFFF"/>
            <w:noWrap w:val="0"/>
            <w:tcMar>
              <w:left w:w="57" w:type="dxa"/>
              <w:right w:w="57" w:type="dxa"/>
            </w:tcMar>
            <w:vAlign w:val="center"/>
          </w:tcPr>
          <w:p w14:paraId="359A2C1B">
            <w:pPr>
              <w:pStyle w:val="11"/>
              <w:bidi w:val="0"/>
              <w:jc w:val="center"/>
              <w:rPr>
                <w:rFonts w:hint="eastAsia"/>
                <w:color w:val="000000"/>
                <w:lang w:val="zh-CN"/>
              </w:rPr>
            </w:pPr>
            <w:r>
              <w:rPr>
                <w:rFonts w:hint="eastAsia"/>
                <w:color w:val="000000"/>
                <w:lang w:val="zh-CN"/>
              </w:rPr>
              <w:t>132</w:t>
            </w:r>
          </w:p>
        </w:tc>
        <w:tc>
          <w:tcPr>
            <w:tcW w:w="1250" w:type="pct"/>
            <w:shd w:val="clear" w:color="auto" w:fill="FFFFFF"/>
            <w:noWrap w:val="0"/>
            <w:tcMar>
              <w:top w:w="0" w:type="dxa"/>
              <w:left w:w="227" w:type="dxa"/>
              <w:bottom w:w="0" w:type="dxa"/>
              <w:right w:w="57" w:type="dxa"/>
            </w:tcMar>
            <w:vAlign w:val="center"/>
          </w:tcPr>
          <w:p w14:paraId="7B469AA4">
            <w:pPr>
              <w:pStyle w:val="11"/>
              <w:bidi w:val="0"/>
              <w:jc w:val="center"/>
              <w:rPr>
                <w:rFonts w:hint="eastAsia"/>
                <w:color w:val="000000"/>
                <w:lang w:val="zh-CN"/>
              </w:rPr>
            </w:pPr>
            <w:r>
              <w:rPr>
                <w:rFonts w:hint="eastAsia"/>
                <w:color w:val="000000"/>
                <w:lang w:val="zh-CN"/>
              </w:rPr>
              <w:t>126</w:t>
            </w:r>
          </w:p>
        </w:tc>
        <w:tc>
          <w:tcPr>
            <w:tcW w:w="1250" w:type="pct"/>
            <w:shd w:val="clear" w:color="auto" w:fill="FFFFFF"/>
            <w:noWrap w:val="0"/>
            <w:tcMar>
              <w:top w:w="0" w:type="dxa"/>
              <w:bottom w:w="0" w:type="dxa"/>
              <w:right w:w="57" w:type="dxa"/>
            </w:tcMar>
            <w:vAlign w:val="center"/>
          </w:tcPr>
          <w:p w14:paraId="408121A9">
            <w:pPr>
              <w:pStyle w:val="11"/>
              <w:bidi w:val="0"/>
              <w:jc w:val="center"/>
              <w:rPr>
                <w:rFonts w:hint="eastAsia"/>
                <w:color w:val="000000"/>
                <w:lang w:val="zh-CN"/>
              </w:rPr>
            </w:pPr>
            <w:r>
              <w:rPr>
                <w:rFonts w:hint="eastAsia"/>
                <w:color w:val="000000"/>
                <w:lang w:val="zh-CN"/>
              </w:rPr>
              <w:t>-4.54%</w:t>
            </w:r>
          </w:p>
        </w:tc>
      </w:tr>
      <w:tr w14:paraId="730FF0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231" w:type="pct"/>
            <w:shd w:val="clear" w:color="auto" w:fill="FFFFFF"/>
            <w:noWrap w:val="0"/>
            <w:vAlign w:val="center"/>
          </w:tcPr>
          <w:p w14:paraId="16C2AFA0">
            <w:pPr>
              <w:pStyle w:val="11"/>
              <w:bidi w:val="0"/>
              <w:jc w:val="both"/>
              <w:rPr>
                <w:rFonts w:hint="eastAsia"/>
                <w:color w:val="000000"/>
                <w:lang w:val="zh-CN"/>
              </w:rPr>
            </w:pPr>
            <w:r>
              <w:rPr>
                <w:rFonts w:hint="eastAsia"/>
                <w:color w:val="000000"/>
                <w:lang w:val="zh-CN"/>
              </w:rPr>
              <w:t>降尘（t/km2·月）</w:t>
            </w:r>
          </w:p>
        </w:tc>
        <w:tc>
          <w:tcPr>
            <w:tcW w:w="1268" w:type="pct"/>
            <w:shd w:val="clear" w:color="auto" w:fill="FFFFFF"/>
            <w:noWrap w:val="0"/>
            <w:tcMar>
              <w:left w:w="57" w:type="dxa"/>
              <w:right w:w="57" w:type="dxa"/>
            </w:tcMar>
            <w:vAlign w:val="center"/>
          </w:tcPr>
          <w:p w14:paraId="5BAC5604">
            <w:pPr>
              <w:pStyle w:val="11"/>
              <w:bidi w:val="0"/>
              <w:jc w:val="center"/>
              <w:rPr>
                <w:rFonts w:hint="eastAsia"/>
                <w:color w:val="000000"/>
                <w:lang w:val="zh-CN"/>
              </w:rPr>
            </w:pPr>
            <w:r>
              <w:rPr>
                <w:rFonts w:hint="eastAsia"/>
                <w:color w:val="000000"/>
                <w:lang w:val="zh-CN"/>
              </w:rPr>
              <w:t>3.9</w:t>
            </w:r>
          </w:p>
        </w:tc>
        <w:tc>
          <w:tcPr>
            <w:tcW w:w="1250" w:type="pct"/>
            <w:shd w:val="clear" w:color="auto" w:fill="FFFFFF"/>
            <w:noWrap w:val="0"/>
            <w:tcMar>
              <w:top w:w="0" w:type="dxa"/>
              <w:left w:w="227" w:type="dxa"/>
              <w:bottom w:w="0" w:type="dxa"/>
              <w:right w:w="57" w:type="dxa"/>
            </w:tcMar>
            <w:vAlign w:val="center"/>
          </w:tcPr>
          <w:p w14:paraId="29EE6248">
            <w:pPr>
              <w:pStyle w:val="11"/>
              <w:bidi w:val="0"/>
              <w:jc w:val="center"/>
              <w:rPr>
                <w:rFonts w:hint="eastAsia"/>
                <w:color w:val="000000"/>
                <w:lang w:val="zh-CN"/>
              </w:rPr>
            </w:pPr>
            <w:r>
              <w:rPr>
                <w:rFonts w:hint="eastAsia"/>
                <w:color w:val="000000"/>
                <w:lang w:val="zh-CN"/>
              </w:rPr>
              <w:t>3.72</w:t>
            </w:r>
          </w:p>
        </w:tc>
        <w:tc>
          <w:tcPr>
            <w:tcW w:w="1250" w:type="pct"/>
            <w:shd w:val="clear" w:color="auto" w:fill="FFFFFF"/>
            <w:noWrap w:val="0"/>
            <w:tcMar>
              <w:top w:w="0" w:type="dxa"/>
              <w:bottom w:w="0" w:type="dxa"/>
              <w:right w:w="57" w:type="dxa"/>
            </w:tcMar>
            <w:vAlign w:val="center"/>
          </w:tcPr>
          <w:p w14:paraId="438A1AA5">
            <w:pPr>
              <w:pStyle w:val="11"/>
              <w:bidi w:val="0"/>
              <w:jc w:val="center"/>
              <w:rPr>
                <w:rFonts w:hint="eastAsia"/>
                <w:color w:val="000000"/>
                <w:lang w:val="zh-CN"/>
              </w:rPr>
            </w:pPr>
            <w:r>
              <w:rPr>
                <w:rFonts w:hint="eastAsia"/>
                <w:color w:val="000000"/>
                <w:lang w:val="zh-CN"/>
              </w:rPr>
              <w:t>-4.62%</w:t>
            </w:r>
          </w:p>
        </w:tc>
      </w:tr>
      <w:tr w14:paraId="0207AF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231" w:type="pct"/>
            <w:shd w:val="clear" w:color="auto" w:fill="FFFFFF"/>
            <w:noWrap w:val="0"/>
            <w:vAlign w:val="center"/>
          </w:tcPr>
          <w:p w14:paraId="4BFA550C">
            <w:pPr>
              <w:pStyle w:val="11"/>
              <w:bidi w:val="0"/>
              <w:jc w:val="both"/>
              <w:rPr>
                <w:rFonts w:hint="eastAsia"/>
                <w:color w:val="000000"/>
                <w:lang w:val="zh-CN"/>
              </w:rPr>
            </w:pPr>
            <w:r>
              <w:rPr>
                <w:rFonts w:hint="eastAsia"/>
                <w:color w:val="000000"/>
                <w:lang w:val="zh-CN"/>
              </w:rPr>
              <w:t>降雨pH值（无量纲）</w:t>
            </w:r>
          </w:p>
        </w:tc>
        <w:tc>
          <w:tcPr>
            <w:tcW w:w="1268" w:type="pct"/>
            <w:shd w:val="clear" w:color="auto" w:fill="FFFFFF"/>
            <w:noWrap w:val="0"/>
            <w:tcMar>
              <w:left w:w="57" w:type="dxa"/>
              <w:right w:w="57" w:type="dxa"/>
            </w:tcMar>
            <w:vAlign w:val="center"/>
          </w:tcPr>
          <w:p w14:paraId="2031FB53">
            <w:pPr>
              <w:pStyle w:val="11"/>
              <w:bidi w:val="0"/>
              <w:jc w:val="center"/>
              <w:rPr>
                <w:rFonts w:hint="eastAsia"/>
                <w:color w:val="000000"/>
                <w:lang w:val="zh-CN"/>
              </w:rPr>
            </w:pPr>
            <w:r>
              <w:rPr>
                <w:rFonts w:hint="eastAsia"/>
                <w:color w:val="000000"/>
                <w:lang w:val="zh-CN"/>
              </w:rPr>
              <w:t>4.83</w:t>
            </w:r>
          </w:p>
        </w:tc>
        <w:tc>
          <w:tcPr>
            <w:tcW w:w="1250" w:type="pct"/>
            <w:shd w:val="clear" w:color="auto" w:fill="FFFFFF"/>
            <w:noWrap w:val="0"/>
            <w:tcMar>
              <w:top w:w="0" w:type="dxa"/>
              <w:left w:w="227" w:type="dxa"/>
              <w:bottom w:w="0" w:type="dxa"/>
              <w:right w:w="57" w:type="dxa"/>
            </w:tcMar>
            <w:vAlign w:val="center"/>
          </w:tcPr>
          <w:p w14:paraId="1008E7BC">
            <w:pPr>
              <w:pStyle w:val="11"/>
              <w:bidi w:val="0"/>
              <w:jc w:val="center"/>
              <w:rPr>
                <w:rFonts w:hint="eastAsia"/>
                <w:color w:val="000000"/>
                <w:lang w:val="zh-CN"/>
              </w:rPr>
            </w:pPr>
            <w:r>
              <w:rPr>
                <w:rFonts w:hint="eastAsia"/>
                <w:color w:val="000000"/>
                <w:lang w:val="zh-CN"/>
              </w:rPr>
              <w:t>4.83</w:t>
            </w:r>
          </w:p>
        </w:tc>
        <w:tc>
          <w:tcPr>
            <w:tcW w:w="1250" w:type="pct"/>
            <w:shd w:val="clear" w:color="auto" w:fill="FFFFFF"/>
            <w:noWrap w:val="0"/>
            <w:tcMar>
              <w:top w:w="0" w:type="dxa"/>
              <w:bottom w:w="0" w:type="dxa"/>
              <w:right w:w="57" w:type="dxa"/>
            </w:tcMar>
            <w:vAlign w:val="center"/>
          </w:tcPr>
          <w:p w14:paraId="5DAEA77D">
            <w:pPr>
              <w:pStyle w:val="11"/>
              <w:bidi w:val="0"/>
              <w:jc w:val="center"/>
              <w:rPr>
                <w:rFonts w:hint="eastAsia"/>
                <w:color w:val="000000"/>
                <w:lang w:val="zh-CN"/>
              </w:rPr>
            </w:pPr>
            <w:r>
              <w:rPr>
                <w:rFonts w:hint="eastAsia"/>
                <w:color w:val="000000"/>
                <w:lang w:val="zh-CN"/>
              </w:rPr>
              <w:t>0</w:t>
            </w:r>
          </w:p>
        </w:tc>
      </w:tr>
    </w:tbl>
    <w:p w14:paraId="4D453352">
      <w:pPr>
        <w:bidi w:val="0"/>
        <w:ind w:left="0" w:leftChars="0" w:firstLine="0" w:firstLineChars="0"/>
        <w:jc w:val="center"/>
        <w:rPr>
          <w:rFonts w:hint="eastAsia"/>
          <w:b/>
          <w:bCs/>
          <w:lang w:val="zh-CN"/>
        </w:rPr>
      </w:pPr>
      <w:r>
        <w:rPr>
          <w:rFonts w:hint="eastAsia"/>
          <w:b/>
          <w:bCs/>
          <w:lang w:val="zh-CN"/>
        </w:rPr>
        <w:t>表21</w:t>
      </w:r>
      <w:r>
        <w:rPr>
          <w:rFonts w:hint="eastAsia"/>
          <w:b/>
          <w:bCs/>
          <w:lang w:val="en-US" w:eastAsia="zh-CN"/>
        </w:rPr>
        <w:t xml:space="preserve">  </w:t>
      </w:r>
      <w:r>
        <w:rPr>
          <w:rFonts w:hint="eastAsia"/>
          <w:b/>
          <w:bCs/>
          <w:lang w:val="zh-CN"/>
        </w:rPr>
        <w:t>2018年南雄市城区（监测大楼）监测点位环境空气污染特征统计</w:t>
      </w:r>
    </w:p>
    <w:p w14:paraId="6EE18C92">
      <w:pPr>
        <w:bidi w:val="0"/>
        <w:jc w:val="right"/>
        <w:rPr>
          <w:rFonts w:hint="eastAsia"/>
          <w:lang w:val="zh-CN"/>
        </w:rPr>
      </w:pPr>
      <w:r>
        <w:rPr>
          <w:rFonts w:hint="eastAsia"/>
          <w:lang w:val="zh-CN"/>
        </w:rPr>
        <w:t>单位：ug/m3（其中CO：mg/m3；降尘：吨/（平方千米·月）</w:t>
      </w:r>
    </w:p>
    <w:tbl>
      <w:tblPr>
        <w:tblStyle w:val="7"/>
        <w:tblW w:w="4997" w:type="pct"/>
        <w:tblInd w:w="0" w:type="dxa"/>
        <w:tblLayout w:type="autofit"/>
        <w:tblCellMar>
          <w:top w:w="0" w:type="dxa"/>
          <w:left w:w="0" w:type="dxa"/>
          <w:bottom w:w="0" w:type="dxa"/>
          <w:right w:w="0" w:type="dxa"/>
        </w:tblCellMar>
      </w:tblPr>
      <w:tblGrid>
        <w:gridCol w:w="1083"/>
        <w:gridCol w:w="1585"/>
        <w:gridCol w:w="924"/>
        <w:gridCol w:w="924"/>
        <w:gridCol w:w="922"/>
        <w:gridCol w:w="924"/>
        <w:gridCol w:w="1203"/>
        <w:gridCol w:w="1117"/>
        <w:gridCol w:w="1058"/>
      </w:tblGrid>
      <w:tr w14:paraId="3FB6BE2E">
        <w:tblPrEx>
          <w:tblCellMar>
            <w:top w:w="0" w:type="dxa"/>
            <w:left w:w="0" w:type="dxa"/>
            <w:bottom w:w="0" w:type="dxa"/>
            <w:right w:w="0" w:type="dxa"/>
          </w:tblCellMar>
        </w:tblPrEx>
        <w:trPr>
          <w:trHeight w:val="566" w:hRule="atLeast"/>
          <w:tblHeader/>
        </w:trPr>
        <w:tc>
          <w:tcPr>
            <w:tcW w:w="556" w:type="pct"/>
            <w:tcBorders>
              <w:top w:val="single" w:color="auto" w:sz="4" w:space="0"/>
              <w:left w:val="nil"/>
              <w:bottom w:val="single" w:color="auto" w:sz="4" w:space="0"/>
              <w:right w:val="single" w:color="auto" w:sz="4" w:space="0"/>
            </w:tcBorders>
            <w:shd w:val="clear" w:color="auto" w:fill="FFFFFF"/>
            <w:noWrap w:val="0"/>
            <w:vAlign w:val="center"/>
          </w:tcPr>
          <w:p w14:paraId="10EB1B08">
            <w:pPr>
              <w:pStyle w:val="11"/>
              <w:bidi w:val="0"/>
              <w:jc w:val="center"/>
              <w:rPr>
                <w:rFonts w:hint="eastAsia"/>
                <w:b/>
                <w:bCs/>
                <w:color w:val="000000"/>
                <w:lang w:val="zh-CN"/>
              </w:rPr>
            </w:pPr>
            <w:r>
              <w:rPr>
                <w:rFonts w:hint="eastAsia"/>
                <w:b/>
                <w:bCs/>
                <w:color w:val="000000"/>
                <w:lang w:val="zh-CN"/>
              </w:rPr>
              <w:t>监测点位</w:t>
            </w:r>
          </w:p>
        </w:tc>
        <w:tc>
          <w:tcPr>
            <w:tcW w:w="812"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39AB89F6">
            <w:pPr>
              <w:pStyle w:val="11"/>
              <w:bidi w:val="0"/>
              <w:jc w:val="center"/>
              <w:rPr>
                <w:rFonts w:hint="eastAsia"/>
                <w:b/>
                <w:bCs/>
                <w:color w:val="000000"/>
                <w:lang w:val="zh-CN"/>
              </w:rPr>
            </w:pPr>
            <w:r>
              <w:rPr>
                <w:rFonts w:hint="eastAsia"/>
                <w:b/>
                <w:bCs/>
                <w:color w:val="000000"/>
                <w:lang w:val="zh-CN"/>
              </w:rPr>
              <w:t>监测项目</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0" w:type="dxa"/>
              <w:bottom w:w="0" w:type="dxa"/>
              <w:right w:w="0" w:type="dxa"/>
            </w:tcMar>
            <w:vAlign w:val="center"/>
          </w:tcPr>
          <w:p w14:paraId="10124070">
            <w:pPr>
              <w:pStyle w:val="11"/>
              <w:bidi w:val="0"/>
              <w:jc w:val="center"/>
              <w:rPr>
                <w:rFonts w:hint="eastAsia"/>
                <w:b/>
                <w:bCs/>
                <w:color w:val="000000"/>
                <w:lang w:val="zh-CN"/>
              </w:rPr>
            </w:pPr>
            <w:r>
              <w:rPr>
                <w:rFonts w:hint="eastAsia"/>
                <w:b/>
                <w:bCs/>
                <w:color w:val="000000"/>
                <w:lang w:val="zh-CN"/>
              </w:rPr>
              <w:t>二氧化硫</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tcMar>
            <w:vAlign w:val="center"/>
          </w:tcPr>
          <w:p w14:paraId="0FA4F84D">
            <w:pPr>
              <w:pStyle w:val="11"/>
              <w:bidi w:val="0"/>
              <w:jc w:val="center"/>
              <w:rPr>
                <w:rFonts w:hint="eastAsia"/>
                <w:b/>
                <w:bCs/>
                <w:color w:val="000000"/>
                <w:lang w:val="zh-CN"/>
              </w:rPr>
            </w:pPr>
            <w:r>
              <w:rPr>
                <w:rFonts w:hint="eastAsia"/>
                <w:b/>
                <w:bCs/>
                <w:color w:val="000000"/>
                <w:lang w:val="zh-CN"/>
              </w:rPr>
              <w:t>二氧化氮</w:t>
            </w:r>
          </w:p>
        </w:tc>
        <w:tc>
          <w:tcPr>
            <w:tcW w:w="473"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tcMar>
            <w:vAlign w:val="center"/>
          </w:tcPr>
          <w:p w14:paraId="35DDFAA8">
            <w:pPr>
              <w:pStyle w:val="11"/>
              <w:bidi w:val="0"/>
              <w:jc w:val="center"/>
              <w:rPr>
                <w:rFonts w:hint="eastAsia"/>
                <w:b/>
                <w:bCs/>
                <w:color w:val="000000"/>
                <w:lang w:val="zh-CN"/>
              </w:rPr>
            </w:pPr>
            <w:r>
              <w:rPr>
                <w:rFonts w:hint="eastAsia"/>
                <w:b/>
                <w:bCs/>
                <w:color w:val="000000"/>
                <w:lang w:val="zh-CN"/>
              </w:rPr>
              <w:t>可吸入颗粒物</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tcMar>
            <w:vAlign w:val="center"/>
          </w:tcPr>
          <w:p w14:paraId="72C22B6A">
            <w:pPr>
              <w:pStyle w:val="11"/>
              <w:bidi w:val="0"/>
              <w:jc w:val="center"/>
              <w:rPr>
                <w:rFonts w:hint="eastAsia"/>
                <w:b/>
                <w:bCs/>
                <w:color w:val="000000"/>
                <w:lang w:val="zh-CN"/>
              </w:rPr>
            </w:pPr>
            <w:r>
              <w:rPr>
                <w:rFonts w:hint="eastAsia"/>
                <w:b/>
                <w:bCs/>
                <w:color w:val="000000"/>
                <w:lang w:val="zh-CN"/>
              </w:rPr>
              <w:t>细颗粒物</w:t>
            </w:r>
          </w:p>
        </w:tc>
        <w:tc>
          <w:tcPr>
            <w:tcW w:w="617"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tcMar>
            <w:vAlign w:val="center"/>
          </w:tcPr>
          <w:p w14:paraId="1417B51E">
            <w:pPr>
              <w:pStyle w:val="11"/>
              <w:bidi w:val="0"/>
              <w:jc w:val="center"/>
              <w:rPr>
                <w:rFonts w:hint="eastAsia"/>
                <w:b/>
                <w:bCs/>
                <w:color w:val="000000"/>
                <w:lang w:val="zh-CN"/>
              </w:rPr>
            </w:pPr>
            <w:r>
              <w:rPr>
                <w:rFonts w:hint="eastAsia"/>
                <w:b/>
                <w:bCs/>
                <w:color w:val="000000"/>
                <w:lang w:val="zh-CN"/>
              </w:rPr>
              <w:t>CO_24h的第95百分位数</w:t>
            </w:r>
          </w:p>
        </w:tc>
        <w:tc>
          <w:tcPr>
            <w:tcW w:w="573"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tcMar>
            <w:vAlign w:val="center"/>
          </w:tcPr>
          <w:p w14:paraId="1EEE75D5">
            <w:pPr>
              <w:pStyle w:val="11"/>
              <w:bidi w:val="0"/>
              <w:jc w:val="center"/>
              <w:rPr>
                <w:rFonts w:hint="eastAsia"/>
                <w:b/>
                <w:bCs/>
                <w:color w:val="000000"/>
                <w:lang w:val="zh-CN"/>
              </w:rPr>
            </w:pPr>
            <w:r>
              <w:rPr>
                <w:rFonts w:hint="eastAsia"/>
                <w:b/>
                <w:bCs/>
                <w:color w:val="000000"/>
                <w:lang w:val="zh-CN"/>
              </w:rPr>
              <w:t>O3_8h的第90百分位数</w:t>
            </w:r>
          </w:p>
        </w:tc>
        <w:tc>
          <w:tcPr>
            <w:tcW w:w="543" w:type="pct"/>
            <w:tcBorders>
              <w:top w:val="single" w:color="auto" w:sz="4" w:space="0"/>
              <w:left w:val="single" w:color="auto" w:sz="4" w:space="0"/>
              <w:bottom w:val="single" w:color="auto" w:sz="4" w:space="0"/>
              <w:right w:val="nil"/>
            </w:tcBorders>
            <w:shd w:val="clear" w:color="auto" w:fill="FFFFFF"/>
            <w:noWrap w:val="0"/>
            <w:tcMar>
              <w:top w:w="0" w:type="dxa"/>
              <w:bottom w:w="0" w:type="dxa"/>
            </w:tcMar>
            <w:vAlign w:val="center"/>
          </w:tcPr>
          <w:p w14:paraId="22C520DF">
            <w:pPr>
              <w:pStyle w:val="11"/>
              <w:bidi w:val="0"/>
              <w:jc w:val="center"/>
              <w:rPr>
                <w:rFonts w:hint="eastAsia"/>
                <w:b/>
                <w:bCs/>
                <w:color w:val="000000"/>
                <w:lang w:val="zh-CN"/>
              </w:rPr>
            </w:pPr>
            <w:r>
              <w:rPr>
                <w:rFonts w:hint="eastAsia"/>
                <w:b/>
                <w:bCs/>
                <w:color w:val="000000"/>
                <w:lang w:val="zh-CN"/>
              </w:rPr>
              <w:t>综合污染指数</w:t>
            </w:r>
          </w:p>
        </w:tc>
      </w:tr>
      <w:tr w14:paraId="4F330D77">
        <w:tblPrEx>
          <w:tblCellMar>
            <w:top w:w="0" w:type="dxa"/>
            <w:left w:w="0" w:type="dxa"/>
            <w:bottom w:w="0" w:type="dxa"/>
            <w:right w:w="0" w:type="dxa"/>
          </w:tblCellMar>
        </w:tblPrEx>
        <w:trPr>
          <w:trHeight w:val="396" w:hRule="atLeast"/>
        </w:trPr>
        <w:tc>
          <w:tcPr>
            <w:tcW w:w="556" w:type="pct"/>
            <w:vMerge w:val="restart"/>
            <w:tcBorders>
              <w:top w:val="single" w:color="auto" w:sz="4" w:space="0"/>
              <w:left w:val="nil"/>
              <w:bottom w:val="single" w:color="auto" w:sz="4" w:space="0"/>
              <w:right w:val="single" w:color="auto" w:sz="4" w:space="0"/>
            </w:tcBorders>
            <w:shd w:val="clear" w:color="auto" w:fill="FFFFFF"/>
            <w:noWrap w:val="0"/>
            <w:vAlign w:val="center"/>
          </w:tcPr>
          <w:p w14:paraId="20CE215D">
            <w:pPr>
              <w:pStyle w:val="11"/>
              <w:bidi w:val="0"/>
              <w:jc w:val="center"/>
              <w:rPr>
                <w:rFonts w:hint="eastAsia"/>
                <w:color w:val="000000"/>
                <w:lang w:val="zh-CN"/>
              </w:rPr>
            </w:pPr>
            <w:r>
              <w:rPr>
                <w:rFonts w:hint="eastAsia"/>
                <w:color w:val="000000"/>
                <w:lang w:val="zh-CN"/>
              </w:rPr>
              <w:t>全市（监测大楼）</w:t>
            </w:r>
          </w:p>
        </w:tc>
        <w:tc>
          <w:tcPr>
            <w:tcW w:w="812"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10723BA3">
            <w:pPr>
              <w:pStyle w:val="11"/>
              <w:bidi w:val="0"/>
              <w:jc w:val="center"/>
              <w:rPr>
                <w:rFonts w:hint="eastAsia"/>
                <w:color w:val="000000"/>
                <w:lang w:val="zh-CN"/>
              </w:rPr>
            </w:pPr>
            <w:r>
              <w:rPr>
                <w:rFonts w:hint="eastAsia"/>
                <w:color w:val="000000"/>
                <w:lang w:val="zh-CN"/>
              </w:rPr>
              <w:t>年均浓度</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227" w:type="dxa"/>
              <w:bottom w:w="0" w:type="dxa"/>
              <w:right w:w="57" w:type="dxa"/>
            </w:tcMar>
            <w:vAlign w:val="center"/>
          </w:tcPr>
          <w:p w14:paraId="1E6D21D4">
            <w:pPr>
              <w:pStyle w:val="11"/>
              <w:bidi w:val="0"/>
              <w:jc w:val="center"/>
              <w:rPr>
                <w:rFonts w:hint="eastAsia"/>
                <w:color w:val="000000"/>
                <w:lang w:val="zh-CN"/>
              </w:rPr>
            </w:pPr>
            <w:r>
              <w:rPr>
                <w:rFonts w:hint="eastAsia"/>
                <w:color w:val="000000"/>
                <w:lang w:val="zh-CN"/>
              </w:rPr>
              <w:t>14</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6E7E27CE">
            <w:pPr>
              <w:pStyle w:val="11"/>
              <w:bidi w:val="0"/>
              <w:jc w:val="center"/>
              <w:rPr>
                <w:rFonts w:hint="eastAsia"/>
                <w:color w:val="000000"/>
                <w:lang w:val="zh-CN"/>
              </w:rPr>
            </w:pPr>
            <w:r>
              <w:rPr>
                <w:rFonts w:hint="eastAsia"/>
                <w:color w:val="000000"/>
                <w:lang w:val="zh-CN"/>
              </w:rPr>
              <w:t>20</w:t>
            </w:r>
          </w:p>
        </w:tc>
        <w:tc>
          <w:tcPr>
            <w:tcW w:w="473"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271396B2">
            <w:pPr>
              <w:pStyle w:val="11"/>
              <w:bidi w:val="0"/>
              <w:jc w:val="center"/>
              <w:rPr>
                <w:rFonts w:hint="eastAsia"/>
                <w:color w:val="000000"/>
                <w:lang w:val="zh-CN"/>
              </w:rPr>
            </w:pPr>
            <w:r>
              <w:rPr>
                <w:rFonts w:hint="eastAsia"/>
                <w:color w:val="000000"/>
                <w:lang w:val="zh-CN"/>
              </w:rPr>
              <w:t>56</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045636E7">
            <w:pPr>
              <w:pStyle w:val="11"/>
              <w:bidi w:val="0"/>
              <w:jc w:val="center"/>
              <w:rPr>
                <w:rFonts w:hint="eastAsia"/>
                <w:color w:val="000000"/>
                <w:lang w:val="zh-CN"/>
              </w:rPr>
            </w:pPr>
            <w:r>
              <w:rPr>
                <w:rFonts w:hint="eastAsia"/>
                <w:color w:val="000000"/>
                <w:lang w:val="zh-CN"/>
              </w:rPr>
              <w:t>29</w:t>
            </w:r>
          </w:p>
        </w:tc>
        <w:tc>
          <w:tcPr>
            <w:tcW w:w="617"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2435C701">
            <w:pPr>
              <w:pStyle w:val="11"/>
              <w:bidi w:val="0"/>
              <w:jc w:val="center"/>
              <w:rPr>
                <w:rFonts w:hint="eastAsia"/>
                <w:color w:val="000000"/>
                <w:lang w:val="zh-CN"/>
              </w:rPr>
            </w:pPr>
            <w:r>
              <w:rPr>
                <w:rFonts w:hint="eastAsia"/>
                <w:color w:val="000000"/>
                <w:lang w:val="zh-CN"/>
              </w:rPr>
              <w:t>1.5</w:t>
            </w:r>
          </w:p>
        </w:tc>
        <w:tc>
          <w:tcPr>
            <w:tcW w:w="573"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467A92A9">
            <w:pPr>
              <w:pStyle w:val="11"/>
              <w:bidi w:val="0"/>
              <w:jc w:val="center"/>
              <w:rPr>
                <w:rFonts w:hint="eastAsia"/>
                <w:color w:val="000000"/>
                <w:lang w:val="zh-CN"/>
              </w:rPr>
            </w:pPr>
            <w:r>
              <w:rPr>
                <w:rFonts w:hint="eastAsia"/>
                <w:color w:val="000000"/>
                <w:lang w:val="zh-CN"/>
              </w:rPr>
              <w:t>126</w:t>
            </w:r>
          </w:p>
        </w:tc>
        <w:tc>
          <w:tcPr>
            <w:tcW w:w="543" w:type="pct"/>
            <w:vMerge w:val="restart"/>
            <w:tcBorders>
              <w:top w:val="single" w:color="auto" w:sz="4" w:space="0"/>
              <w:left w:val="single" w:color="auto" w:sz="4" w:space="0"/>
              <w:bottom w:val="single" w:color="auto" w:sz="4" w:space="0"/>
              <w:right w:val="nil"/>
            </w:tcBorders>
            <w:shd w:val="clear" w:color="auto" w:fill="FFFFFF"/>
            <w:noWrap w:val="0"/>
            <w:tcMar>
              <w:top w:w="0" w:type="dxa"/>
              <w:bottom w:w="0" w:type="dxa"/>
              <w:right w:w="57" w:type="dxa"/>
            </w:tcMar>
            <w:vAlign w:val="center"/>
          </w:tcPr>
          <w:p w14:paraId="7925523B">
            <w:pPr>
              <w:pStyle w:val="11"/>
              <w:bidi w:val="0"/>
              <w:jc w:val="center"/>
              <w:rPr>
                <w:rFonts w:hint="eastAsia"/>
                <w:color w:val="000000"/>
                <w:lang w:val="zh-CN"/>
              </w:rPr>
            </w:pPr>
            <w:r>
              <w:rPr>
                <w:rFonts w:hint="eastAsia"/>
                <w:color w:val="000000"/>
                <w:lang w:val="zh-CN"/>
              </w:rPr>
              <w:t>3.52</w:t>
            </w:r>
          </w:p>
        </w:tc>
      </w:tr>
      <w:tr w14:paraId="65053296">
        <w:tblPrEx>
          <w:tblCellMar>
            <w:top w:w="0" w:type="dxa"/>
            <w:left w:w="0" w:type="dxa"/>
            <w:bottom w:w="0" w:type="dxa"/>
            <w:right w:w="0" w:type="dxa"/>
          </w:tblCellMar>
        </w:tblPrEx>
        <w:trPr>
          <w:trHeight w:val="396" w:hRule="atLeast"/>
        </w:trPr>
        <w:tc>
          <w:tcPr>
            <w:tcW w:w="556" w:type="pct"/>
            <w:vMerge w:val="continue"/>
            <w:tcBorders>
              <w:top w:val="single" w:color="auto" w:sz="4" w:space="0"/>
              <w:left w:val="nil"/>
              <w:bottom w:val="single" w:color="auto" w:sz="4" w:space="0"/>
              <w:right w:val="single" w:color="auto" w:sz="4" w:space="0"/>
            </w:tcBorders>
            <w:shd w:val="clear" w:color="auto" w:fill="FFFFFF"/>
            <w:noWrap w:val="0"/>
            <w:vAlign w:val="center"/>
          </w:tcPr>
          <w:p w14:paraId="15A22550">
            <w:pPr>
              <w:pStyle w:val="11"/>
              <w:bidi w:val="0"/>
              <w:jc w:val="center"/>
              <w:rPr>
                <w:rFonts w:hint="eastAsia"/>
                <w:color w:val="000000"/>
              </w:rPr>
            </w:pPr>
          </w:p>
        </w:tc>
        <w:tc>
          <w:tcPr>
            <w:tcW w:w="812"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043DE65B">
            <w:pPr>
              <w:pStyle w:val="11"/>
              <w:bidi w:val="0"/>
              <w:jc w:val="center"/>
              <w:rPr>
                <w:rFonts w:hint="eastAsia"/>
                <w:color w:val="000000"/>
                <w:lang w:val="zh-CN"/>
              </w:rPr>
            </w:pPr>
            <w:r>
              <w:rPr>
                <w:rFonts w:hint="eastAsia"/>
                <w:color w:val="000000"/>
                <w:lang w:val="zh-CN"/>
              </w:rPr>
              <w:t>污染分指数</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3B667CCA">
            <w:pPr>
              <w:pStyle w:val="11"/>
              <w:bidi w:val="0"/>
              <w:jc w:val="center"/>
              <w:rPr>
                <w:rFonts w:hint="eastAsia"/>
                <w:color w:val="000000"/>
                <w:lang w:val="zh-CN"/>
              </w:rPr>
            </w:pPr>
            <w:r>
              <w:rPr>
                <w:rFonts w:hint="eastAsia"/>
                <w:color w:val="000000"/>
                <w:lang w:val="zh-CN"/>
              </w:rPr>
              <w:t>0.23</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431B1636">
            <w:pPr>
              <w:pStyle w:val="11"/>
              <w:bidi w:val="0"/>
              <w:jc w:val="center"/>
              <w:rPr>
                <w:rFonts w:hint="eastAsia"/>
                <w:color w:val="000000"/>
                <w:lang w:val="zh-CN"/>
              </w:rPr>
            </w:pPr>
            <w:r>
              <w:rPr>
                <w:rFonts w:hint="eastAsia"/>
                <w:color w:val="000000"/>
                <w:lang w:val="zh-CN"/>
              </w:rPr>
              <w:t>0.50</w:t>
            </w:r>
          </w:p>
        </w:tc>
        <w:tc>
          <w:tcPr>
            <w:tcW w:w="473"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7C5DDBEF">
            <w:pPr>
              <w:pStyle w:val="11"/>
              <w:bidi w:val="0"/>
              <w:jc w:val="center"/>
              <w:rPr>
                <w:rFonts w:hint="eastAsia"/>
                <w:color w:val="000000"/>
                <w:lang w:val="zh-CN"/>
              </w:rPr>
            </w:pPr>
            <w:r>
              <w:rPr>
                <w:rFonts w:hint="eastAsia"/>
                <w:color w:val="000000"/>
                <w:lang w:val="zh-CN"/>
              </w:rPr>
              <w:t>0.80</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11BF41B9">
            <w:pPr>
              <w:pStyle w:val="11"/>
              <w:bidi w:val="0"/>
              <w:jc w:val="center"/>
              <w:rPr>
                <w:rFonts w:hint="eastAsia"/>
                <w:color w:val="000000"/>
                <w:lang w:val="zh-CN"/>
              </w:rPr>
            </w:pPr>
            <w:r>
              <w:rPr>
                <w:rFonts w:hint="eastAsia"/>
                <w:color w:val="000000"/>
                <w:lang w:val="zh-CN"/>
              </w:rPr>
              <w:t>0.83</w:t>
            </w:r>
          </w:p>
        </w:tc>
        <w:tc>
          <w:tcPr>
            <w:tcW w:w="617"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72384269">
            <w:pPr>
              <w:pStyle w:val="11"/>
              <w:bidi w:val="0"/>
              <w:jc w:val="center"/>
              <w:rPr>
                <w:rFonts w:hint="eastAsia"/>
                <w:color w:val="000000"/>
                <w:lang w:val="zh-CN"/>
              </w:rPr>
            </w:pPr>
            <w:r>
              <w:rPr>
                <w:rFonts w:hint="eastAsia"/>
                <w:color w:val="000000"/>
                <w:lang w:val="zh-CN"/>
              </w:rPr>
              <w:t>0.38</w:t>
            </w:r>
          </w:p>
        </w:tc>
        <w:tc>
          <w:tcPr>
            <w:tcW w:w="573"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5BB57C52">
            <w:pPr>
              <w:pStyle w:val="11"/>
              <w:bidi w:val="0"/>
              <w:jc w:val="center"/>
              <w:rPr>
                <w:rFonts w:hint="eastAsia"/>
                <w:color w:val="000000"/>
                <w:lang w:val="zh-CN"/>
              </w:rPr>
            </w:pPr>
            <w:r>
              <w:rPr>
                <w:rFonts w:hint="eastAsia"/>
                <w:color w:val="000000"/>
                <w:lang w:val="zh-CN"/>
              </w:rPr>
              <w:t>0.79</w:t>
            </w:r>
          </w:p>
        </w:tc>
        <w:tc>
          <w:tcPr>
            <w:tcW w:w="543" w:type="pct"/>
            <w:vMerge w:val="continue"/>
            <w:tcBorders>
              <w:top w:val="single" w:color="auto" w:sz="4" w:space="0"/>
              <w:left w:val="single" w:color="auto" w:sz="4" w:space="0"/>
              <w:bottom w:val="single" w:color="auto" w:sz="4" w:space="0"/>
              <w:right w:val="nil"/>
            </w:tcBorders>
            <w:shd w:val="clear" w:color="auto" w:fill="FFFFFF"/>
            <w:noWrap w:val="0"/>
            <w:vAlign w:val="center"/>
          </w:tcPr>
          <w:p w14:paraId="23F8E330">
            <w:pPr>
              <w:pStyle w:val="11"/>
              <w:bidi w:val="0"/>
              <w:jc w:val="center"/>
              <w:rPr>
                <w:rFonts w:hint="eastAsia"/>
                <w:color w:val="000000"/>
              </w:rPr>
            </w:pPr>
          </w:p>
        </w:tc>
      </w:tr>
      <w:tr w14:paraId="6803D304">
        <w:tblPrEx>
          <w:tblCellMar>
            <w:top w:w="0" w:type="dxa"/>
            <w:left w:w="0" w:type="dxa"/>
            <w:bottom w:w="0" w:type="dxa"/>
            <w:right w:w="0" w:type="dxa"/>
          </w:tblCellMar>
        </w:tblPrEx>
        <w:trPr>
          <w:trHeight w:val="396" w:hRule="atLeast"/>
        </w:trPr>
        <w:tc>
          <w:tcPr>
            <w:tcW w:w="556" w:type="pct"/>
            <w:vMerge w:val="continue"/>
            <w:tcBorders>
              <w:top w:val="single" w:color="auto" w:sz="4" w:space="0"/>
              <w:left w:val="nil"/>
              <w:bottom w:val="single" w:color="auto" w:sz="4" w:space="0"/>
              <w:right w:val="single" w:color="auto" w:sz="4" w:space="0"/>
            </w:tcBorders>
            <w:shd w:val="clear" w:color="auto" w:fill="FFFFFF"/>
            <w:noWrap w:val="0"/>
            <w:vAlign w:val="center"/>
          </w:tcPr>
          <w:p w14:paraId="15CD155C">
            <w:pPr>
              <w:pStyle w:val="11"/>
              <w:bidi w:val="0"/>
              <w:jc w:val="center"/>
              <w:rPr>
                <w:rFonts w:hint="eastAsia"/>
                <w:color w:val="000000"/>
              </w:rPr>
            </w:pPr>
          </w:p>
        </w:tc>
        <w:tc>
          <w:tcPr>
            <w:tcW w:w="812"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71F5F233">
            <w:pPr>
              <w:pStyle w:val="11"/>
              <w:bidi w:val="0"/>
              <w:jc w:val="center"/>
              <w:rPr>
                <w:rFonts w:hint="eastAsia"/>
                <w:color w:val="000000"/>
                <w:lang w:val="zh-CN"/>
              </w:rPr>
            </w:pPr>
            <w:r>
              <w:rPr>
                <w:rFonts w:hint="eastAsia"/>
                <w:color w:val="000000"/>
                <w:lang w:val="zh-CN"/>
              </w:rPr>
              <w:t>污染负荷（%）</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6E387927">
            <w:pPr>
              <w:pStyle w:val="11"/>
              <w:bidi w:val="0"/>
              <w:jc w:val="center"/>
              <w:rPr>
                <w:rFonts w:hint="eastAsia"/>
                <w:color w:val="000000"/>
                <w:lang w:val="zh-CN"/>
              </w:rPr>
            </w:pPr>
            <w:r>
              <w:rPr>
                <w:rFonts w:hint="eastAsia"/>
                <w:color w:val="000000"/>
                <w:lang w:val="zh-CN"/>
              </w:rPr>
              <w:t>6.62</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6FA4771E">
            <w:pPr>
              <w:pStyle w:val="11"/>
              <w:bidi w:val="0"/>
              <w:jc w:val="center"/>
              <w:rPr>
                <w:rFonts w:hint="eastAsia"/>
                <w:color w:val="000000"/>
                <w:lang w:val="zh-CN"/>
              </w:rPr>
            </w:pPr>
            <w:r>
              <w:rPr>
                <w:rFonts w:hint="eastAsia"/>
                <w:color w:val="000000"/>
                <w:lang w:val="zh-CN"/>
              </w:rPr>
              <w:t>14.19</w:t>
            </w:r>
          </w:p>
        </w:tc>
        <w:tc>
          <w:tcPr>
            <w:tcW w:w="473"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65F22C87">
            <w:pPr>
              <w:pStyle w:val="11"/>
              <w:bidi w:val="0"/>
              <w:jc w:val="center"/>
              <w:rPr>
                <w:rFonts w:hint="eastAsia"/>
                <w:color w:val="000000"/>
                <w:lang w:val="zh-CN"/>
              </w:rPr>
            </w:pPr>
            <w:r>
              <w:rPr>
                <w:rFonts w:hint="eastAsia"/>
                <w:color w:val="000000"/>
                <w:lang w:val="zh-CN"/>
              </w:rPr>
              <w:t>22.70</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03EABD49">
            <w:pPr>
              <w:pStyle w:val="11"/>
              <w:bidi w:val="0"/>
              <w:jc w:val="center"/>
              <w:rPr>
                <w:rFonts w:hint="eastAsia"/>
                <w:color w:val="000000"/>
                <w:lang w:val="zh-CN"/>
              </w:rPr>
            </w:pPr>
            <w:r>
              <w:rPr>
                <w:rFonts w:hint="eastAsia"/>
                <w:color w:val="000000"/>
                <w:lang w:val="zh-CN"/>
              </w:rPr>
              <w:t>23.51</w:t>
            </w:r>
          </w:p>
        </w:tc>
        <w:tc>
          <w:tcPr>
            <w:tcW w:w="617"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4900ADD1">
            <w:pPr>
              <w:pStyle w:val="11"/>
              <w:bidi w:val="0"/>
              <w:jc w:val="center"/>
              <w:rPr>
                <w:rFonts w:hint="eastAsia"/>
                <w:color w:val="000000"/>
                <w:lang w:val="zh-CN"/>
              </w:rPr>
            </w:pPr>
            <w:r>
              <w:rPr>
                <w:rFonts w:hint="eastAsia"/>
                <w:color w:val="000000"/>
                <w:lang w:val="zh-CN"/>
              </w:rPr>
              <w:t>10.64</w:t>
            </w:r>
          </w:p>
        </w:tc>
        <w:tc>
          <w:tcPr>
            <w:tcW w:w="573"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57" w:type="dxa"/>
              <w:bottom w:w="0" w:type="dxa"/>
              <w:right w:w="57" w:type="dxa"/>
            </w:tcMar>
            <w:vAlign w:val="center"/>
          </w:tcPr>
          <w:p w14:paraId="0CCE8120">
            <w:pPr>
              <w:pStyle w:val="11"/>
              <w:bidi w:val="0"/>
              <w:jc w:val="center"/>
              <w:rPr>
                <w:rFonts w:hint="eastAsia"/>
                <w:color w:val="000000"/>
                <w:lang w:val="zh-CN"/>
              </w:rPr>
            </w:pPr>
            <w:r>
              <w:rPr>
                <w:rFonts w:hint="eastAsia"/>
                <w:color w:val="000000"/>
                <w:lang w:val="zh-CN"/>
              </w:rPr>
              <w:t>22.34</w:t>
            </w:r>
          </w:p>
        </w:tc>
        <w:tc>
          <w:tcPr>
            <w:tcW w:w="543" w:type="pct"/>
            <w:vMerge w:val="continue"/>
            <w:tcBorders>
              <w:top w:val="single" w:color="auto" w:sz="4" w:space="0"/>
              <w:left w:val="single" w:color="auto" w:sz="4" w:space="0"/>
              <w:bottom w:val="single" w:color="auto" w:sz="4" w:space="0"/>
              <w:right w:val="nil"/>
            </w:tcBorders>
            <w:shd w:val="clear" w:color="auto" w:fill="FFFFFF"/>
            <w:noWrap w:val="0"/>
            <w:vAlign w:val="center"/>
          </w:tcPr>
          <w:p w14:paraId="49840191">
            <w:pPr>
              <w:pStyle w:val="11"/>
              <w:bidi w:val="0"/>
              <w:jc w:val="center"/>
              <w:rPr>
                <w:rFonts w:hint="eastAsia"/>
                <w:color w:val="000000"/>
              </w:rPr>
            </w:pPr>
          </w:p>
        </w:tc>
      </w:tr>
      <w:tr w14:paraId="51D8BAB7">
        <w:tblPrEx>
          <w:tblCellMar>
            <w:top w:w="0" w:type="dxa"/>
            <w:left w:w="0" w:type="dxa"/>
            <w:bottom w:w="0" w:type="dxa"/>
            <w:right w:w="0" w:type="dxa"/>
          </w:tblCellMar>
        </w:tblPrEx>
        <w:trPr>
          <w:trHeight w:val="396" w:hRule="atLeast"/>
        </w:trPr>
        <w:tc>
          <w:tcPr>
            <w:tcW w:w="1369" w:type="pct"/>
            <w:gridSpan w:val="2"/>
            <w:tcBorders>
              <w:top w:val="single" w:color="auto" w:sz="4" w:space="0"/>
              <w:left w:val="nil"/>
              <w:bottom w:val="single" w:color="auto" w:sz="4" w:space="0"/>
              <w:right w:val="single" w:color="auto" w:sz="4" w:space="0"/>
            </w:tcBorders>
            <w:shd w:val="clear" w:color="auto" w:fill="FFFFFF"/>
            <w:noWrap w:val="0"/>
            <w:vAlign w:val="center"/>
          </w:tcPr>
          <w:p w14:paraId="19AF7DD5">
            <w:pPr>
              <w:pStyle w:val="11"/>
              <w:bidi w:val="0"/>
              <w:jc w:val="center"/>
              <w:rPr>
                <w:rFonts w:hint="eastAsia"/>
                <w:color w:val="000000"/>
                <w:lang w:val="zh-CN"/>
              </w:rPr>
            </w:pPr>
            <w:r>
              <w:rPr>
                <w:rFonts w:hint="eastAsia"/>
                <w:color w:val="000000"/>
                <w:lang w:val="zh-CN"/>
              </w:rPr>
              <w:t>指标污染程度次序</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339B9D6A">
            <w:pPr>
              <w:pStyle w:val="11"/>
              <w:bidi w:val="0"/>
              <w:jc w:val="center"/>
              <w:rPr>
                <w:rFonts w:hint="eastAsia"/>
                <w:color w:val="000000"/>
                <w:lang w:val="zh-CN"/>
              </w:rPr>
            </w:pPr>
            <w:r>
              <w:rPr>
                <w:rFonts w:hint="eastAsia"/>
                <w:color w:val="000000"/>
                <w:lang w:val="zh-CN"/>
              </w:rPr>
              <w:t>6</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227" w:type="dxa"/>
              <w:bottom w:w="0" w:type="dxa"/>
              <w:right w:w="57" w:type="dxa"/>
            </w:tcMar>
            <w:vAlign w:val="center"/>
          </w:tcPr>
          <w:p w14:paraId="0A28C1C3">
            <w:pPr>
              <w:pStyle w:val="11"/>
              <w:bidi w:val="0"/>
              <w:jc w:val="center"/>
              <w:rPr>
                <w:rFonts w:hint="eastAsia"/>
                <w:color w:val="000000"/>
                <w:lang w:val="zh-CN"/>
              </w:rPr>
            </w:pPr>
            <w:r>
              <w:rPr>
                <w:rFonts w:hint="eastAsia"/>
                <w:color w:val="000000"/>
                <w:lang w:val="zh-CN"/>
              </w:rPr>
              <w:t>4</w:t>
            </w:r>
          </w:p>
        </w:tc>
        <w:tc>
          <w:tcPr>
            <w:tcW w:w="473"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24A8D6ED">
            <w:pPr>
              <w:pStyle w:val="11"/>
              <w:bidi w:val="0"/>
              <w:jc w:val="center"/>
              <w:rPr>
                <w:rFonts w:hint="eastAsia"/>
                <w:color w:val="000000"/>
                <w:lang w:val="zh-CN"/>
              </w:rPr>
            </w:pPr>
            <w:r>
              <w:rPr>
                <w:rFonts w:hint="eastAsia"/>
                <w:color w:val="000000"/>
                <w:lang w:val="zh-CN"/>
              </w:rPr>
              <w:t>2</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321A3F7F">
            <w:pPr>
              <w:pStyle w:val="11"/>
              <w:bidi w:val="0"/>
              <w:jc w:val="center"/>
              <w:rPr>
                <w:rFonts w:hint="eastAsia"/>
                <w:color w:val="000000"/>
                <w:lang w:val="zh-CN"/>
              </w:rPr>
            </w:pPr>
            <w:r>
              <w:rPr>
                <w:rFonts w:hint="eastAsia"/>
                <w:color w:val="000000"/>
                <w:lang w:val="zh-CN"/>
              </w:rPr>
              <w:t>1</w:t>
            </w:r>
          </w:p>
        </w:tc>
        <w:tc>
          <w:tcPr>
            <w:tcW w:w="617"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2F271774">
            <w:pPr>
              <w:pStyle w:val="11"/>
              <w:bidi w:val="0"/>
              <w:jc w:val="center"/>
              <w:rPr>
                <w:rFonts w:hint="eastAsia"/>
                <w:color w:val="000000"/>
                <w:lang w:val="zh-CN"/>
              </w:rPr>
            </w:pPr>
            <w:r>
              <w:rPr>
                <w:rFonts w:hint="eastAsia"/>
                <w:color w:val="000000"/>
                <w:lang w:val="zh-CN"/>
              </w:rPr>
              <w:t>5</w:t>
            </w:r>
          </w:p>
        </w:tc>
        <w:tc>
          <w:tcPr>
            <w:tcW w:w="573"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66EDBC62">
            <w:pPr>
              <w:pStyle w:val="11"/>
              <w:bidi w:val="0"/>
              <w:jc w:val="center"/>
              <w:rPr>
                <w:rFonts w:hint="eastAsia"/>
                <w:color w:val="000000"/>
                <w:lang w:val="zh-CN"/>
              </w:rPr>
            </w:pPr>
            <w:r>
              <w:rPr>
                <w:rFonts w:hint="eastAsia"/>
                <w:color w:val="000000"/>
                <w:lang w:val="zh-CN"/>
              </w:rPr>
              <w:t>3</w:t>
            </w:r>
          </w:p>
        </w:tc>
        <w:tc>
          <w:tcPr>
            <w:tcW w:w="543" w:type="pct"/>
            <w:tcBorders>
              <w:top w:val="single" w:color="auto" w:sz="4" w:space="0"/>
              <w:left w:val="single" w:color="auto" w:sz="4" w:space="0"/>
              <w:bottom w:val="single" w:color="auto" w:sz="4" w:space="0"/>
              <w:right w:val="nil"/>
            </w:tcBorders>
            <w:shd w:val="clear" w:color="auto" w:fill="FFFFFF"/>
            <w:noWrap w:val="0"/>
            <w:tcMar>
              <w:top w:w="0" w:type="dxa"/>
              <w:bottom w:w="0" w:type="dxa"/>
              <w:right w:w="57" w:type="dxa"/>
            </w:tcMar>
            <w:vAlign w:val="center"/>
          </w:tcPr>
          <w:p w14:paraId="73B7EBF3">
            <w:pPr>
              <w:pStyle w:val="11"/>
              <w:bidi w:val="0"/>
              <w:jc w:val="center"/>
              <w:rPr>
                <w:rFonts w:hint="eastAsia"/>
                <w:color w:val="000000"/>
                <w:lang w:val="zh-CN"/>
              </w:rPr>
            </w:pPr>
            <w:r>
              <w:rPr>
                <w:rFonts w:hint="eastAsia"/>
                <w:color w:val="000000"/>
                <w:lang w:val="zh-CN"/>
              </w:rPr>
              <w:t>-</w:t>
            </w:r>
          </w:p>
        </w:tc>
      </w:tr>
      <w:tr w14:paraId="0668C9D8">
        <w:tblPrEx>
          <w:tblCellMar>
            <w:top w:w="0" w:type="dxa"/>
            <w:left w:w="0" w:type="dxa"/>
            <w:bottom w:w="0" w:type="dxa"/>
            <w:right w:w="0" w:type="dxa"/>
          </w:tblCellMar>
        </w:tblPrEx>
        <w:trPr>
          <w:trHeight w:val="396" w:hRule="atLeast"/>
        </w:trPr>
        <w:tc>
          <w:tcPr>
            <w:tcW w:w="1369" w:type="pct"/>
            <w:gridSpan w:val="2"/>
            <w:tcBorders>
              <w:top w:val="single" w:color="auto" w:sz="4" w:space="0"/>
              <w:left w:val="nil"/>
              <w:bottom w:val="single" w:color="auto" w:sz="4" w:space="0"/>
              <w:right w:val="single" w:color="auto" w:sz="4" w:space="0"/>
            </w:tcBorders>
            <w:shd w:val="clear" w:color="auto" w:fill="FFFFFF"/>
            <w:noWrap w:val="0"/>
            <w:vAlign w:val="center"/>
          </w:tcPr>
          <w:p w14:paraId="2FA7370E">
            <w:pPr>
              <w:pStyle w:val="11"/>
              <w:bidi w:val="0"/>
              <w:jc w:val="center"/>
              <w:rPr>
                <w:rFonts w:hint="eastAsia"/>
                <w:color w:val="000000"/>
                <w:lang w:val="zh-CN"/>
              </w:rPr>
            </w:pPr>
            <w:r>
              <w:rPr>
                <w:rFonts w:hint="eastAsia"/>
                <w:color w:val="000000"/>
                <w:lang w:val="zh-CN"/>
              </w:rPr>
              <w:t>评价标准</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left w:w="57" w:type="dxa"/>
              <w:right w:w="57" w:type="dxa"/>
            </w:tcMar>
            <w:vAlign w:val="center"/>
          </w:tcPr>
          <w:p w14:paraId="724A25E5">
            <w:pPr>
              <w:pStyle w:val="11"/>
              <w:bidi w:val="0"/>
              <w:jc w:val="center"/>
              <w:rPr>
                <w:rFonts w:hint="eastAsia"/>
                <w:color w:val="000000"/>
                <w:lang w:val="zh-CN"/>
              </w:rPr>
            </w:pPr>
            <w:r>
              <w:rPr>
                <w:rFonts w:hint="eastAsia"/>
                <w:color w:val="000000"/>
                <w:lang w:val="zh-CN"/>
              </w:rPr>
              <w:t>60</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top w:w="0" w:type="dxa"/>
              <w:left w:w="227" w:type="dxa"/>
              <w:bottom w:w="0" w:type="dxa"/>
              <w:right w:w="57" w:type="dxa"/>
            </w:tcMar>
            <w:vAlign w:val="center"/>
          </w:tcPr>
          <w:p w14:paraId="1C6704D6">
            <w:pPr>
              <w:pStyle w:val="11"/>
              <w:bidi w:val="0"/>
              <w:jc w:val="center"/>
              <w:rPr>
                <w:rFonts w:hint="eastAsia"/>
                <w:color w:val="000000"/>
                <w:lang w:val="zh-CN"/>
              </w:rPr>
            </w:pPr>
            <w:r>
              <w:rPr>
                <w:rFonts w:hint="eastAsia"/>
                <w:color w:val="000000"/>
                <w:lang w:val="zh-CN"/>
              </w:rPr>
              <w:t>40</w:t>
            </w:r>
          </w:p>
        </w:tc>
        <w:tc>
          <w:tcPr>
            <w:tcW w:w="473"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265869D8">
            <w:pPr>
              <w:pStyle w:val="11"/>
              <w:bidi w:val="0"/>
              <w:jc w:val="center"/>
              <w:rPr>
                <w:rFonts w:hint="eastAsia"/>
                <w:color w:val="000000"/>
                <w:lang w:val="zh-CN"/>
              </w:rPr>
            </w:pPr>
            <w:r>
              <w:rPr>
                <w:rFonts w:hint="eastAsia"/>
                <w:color w:val="000000"/>
                <w:lang w:val="zh-CN"/>
              </w:rPr>
              <w:t>70</w:t>
            </w:r>
          </w:p>
        </w:tc>
        <w:tc>
          <w:tcPr>
            <w:tcW w:w="474"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5A31D728">
            <w:pPr>
              <w:pStyle w:val="11"/>
              <w:bidi w:val="0"/>
              <w:jc w:val="center"/>
              <w:rPr>
                <w:rFonts w:hint="eastAsia"/>
                <w:color w:val="000000"/>
                <w:lang w:val="zh-CN"/>
              </w:rPr>
            </w:pPr>
            <w:r>
              <w:rPr>
                <w:rFonts w:hint="eastAsia"/>
                <w:color w:val="000000"/>
                <w:lang w:val="zh-CN"/>
              </w:rPr>
              <w:t>35</w:t>
            </w:r>
          </w:p>
        </w:tc>
        <w:tc>
          <w:tcPr>
            <w:tcW w:w="617"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191599FB">
            <w:pPr>
              <w:pStyle w:val="11"/>
              <w:bidi w:val="0"/>
              <w:jc w:val="center"/>
              <w:rPr>
                <w:rFonts w:hint="eastAsia"/>
                <w:color w:val="000000"/>
                <w:lang w:val="zh-CN"/>
              </w:rPr>
            </w:pPr>
            <w:r>
              <w:rPr>
                <w:rFonts w:hint="eastAsia"/>
                <w:color w:val="000000"/>
                <w:lang w:val="zh-CN"/>
              </w:rPr>
              <w:t>4</w:t>
            </w:r>
          </w:p>
        </w:tc>
        <w:tc>
          <w:tcPr>
            <w:tcW w:w="573" w:type="pct"/>
            <w:tcBorders>
              <w:top w:val="single" w:color="auto" w:sz="4" w:space="0"/>
              <w:left w:val="single" w:color="auto" w:sz="4" w:space="0"/>
              <w:bottom w:val="single" w:color="auto" w:sz="4" w:space="0"/>
              <w:right w:val="single" w:color="auto" w:sz="4" w:space="0"/>
            </w:tcBorders>
            <w:shd w:val="clear" w:color="auto" w:fill="FFFFFF"/>
            <w:noWrap w:val="0"/>
            <w:tcMar>
              <w:top w:w="0" w:type="dxa"/>
              <w:bottom w:w="0" w:type="dxa"/>
              <w:right w:w="57" w:type="dxa"/>
            </w:tcMar>
            <w:vAlign w:val="center"/>
          </w:tcPr>
          <w:p w14:paraId="32359694">
            <w:pPr>
              <w:pStyle w:val="11"/>
              <w:bidi w:val="0"/>
              <w:jc w:val="center"/>
              <w:rPr>
                <w:rFonts w:hint="eastAsia"/>
                <w:color w:val="000000"/>
                <w:lang w:val="zh-CN"/>
              </w:rPr>
            </w:pPr>
            <w:r>
              <w:rPr>
                <w:rFonts w:hint="eastAsia"/>
                <w:color w:val="000000"/>
                <w:lang w:val="zh-CN"/>
              </w:rPr>
              <w:t>160</w:t>
            </w:r>
          </w:p>
        </w:tc>
        <w:tc>
          <w:tcPr>
            <w:tcW w:w="543" w:type="pct"/>
            <w:tcBorders>
              <w:top w:val="single" w:color="auto" w:sz="4" w:space="0"/>
              <w:left w:val="single" w:color="auto" w:sz="4" w:space="0"/>
              <w:bottom w:val="single" w:color="auto" w:sz="4" w:space="0"/>
              <w:right w:val="nil"/>
            </w:tcBorders>
            <w:shd w:val="clear" w:color="auto" w:fill="FFFFFF"/>
            <w:noWrap w:val="0"/>
            <w:tcMar>
              <w:top w:w="0" w:type="dxa"/>
              <w:bottom w:w="0" w:type="dxa"/>
              <w:right w:w="57" w:type="dxa"/>
            </w:tcMar>
            <w:vAlign w:val="center"/>
          </w:tcPr>
          <w:p w14:paraId="54731C5C">
            <w:pPr>
              <w:pStyle w:val="11"/>
              <w:bidi w:val="0"/>
              <w:jc w:val="center"/>
              <w:rPr>
                <w:rFonts w:hint="eastAsia"/>
                <w:color w:val="000000"/>
                <w:lang w:val="zh-CN"/>
              </w:rPr>
            </w:pPr>
            <w:r>
              <w:rPr>
                <w:rFonts w:hint="eastAsia"/>
                <w:color w:val="000000"/>
                <w:lang w:val="zh-CN"/>
              </w:rPr>
              <w:t>-</w:t>
            </w:r>
          </w:p>
        </w:tc>
      </w:tr>
    </w:tbl>
    <w:p w14:paraId="448BC4BE">
      <w:pPr>
        <w:bidi w:val="0"/>
        <w:ind w:left="0" w:leftChars="0" w:firstLine="0" w:firstLineChars="0"/>
        <w:jc w:val="center"/>
        <w:rPr>
          <w:rFonts w:hint="eastAsia"/>
          <w:b/>
          <w:bCs/>
          <w:lang w:val="zh-CN"/>
        </w:rPr>
      </w:pPr>
      <w:r>
        <w:rPr>
          <w:rFonts w:hint="eastAsia"/>
          <w:b/>
          <w:bCs/>
          <w:lang w:val="zh-CN"/>
        </w:rPr>
        <w:t>表22</w:t>
      </w:r>
      <w:r>
        <w:rPr>
          <w:rFonts w:hint="eastAsia"/>
          <w:b/>
          <w:bCs/>
          <w:lang w:val="en-US" w:eastAsia="zh-CN"/>
        </w:rPr>
        <w:t xml:space="preserve">  </w:t>
      </w:r>
      <w:r>
        <w:rPr>
          <w:rFonts w:hint="eastAsia"/>
          <w:b/>
          <w:bCs/>
          <w:lang w:val="zh-CN"/>
        </w:rPr>
        <w:t>2018年南雄市空气降水其他指标季度监测情况</w:t>
      </w:r>
    </w:p>
    <w:p w14:paraId="372C7E58">
      <w:pPr>
        <w:bidi w:val="0"/>
        <w:jc w:val="right"/>
        <w:rPr>
          <w:rFonts w:hint="eastAsia"/>
          <w:lang w:val="zh-CN"/>
        </w:rPr>
      </w:pPr>
      <w:r>
        <w:rPr>
          <w:rFonts w:hint="eastAsia"/>
          <w:lang w:val="zh-CN"/>
        </w:rPr>
        <w:t>单位：mg/L（电导率除外：us/cm）</w:t>
      </w:r>
    </w:p>
    <w:tbl>
      <w:tblPr>
        <w:tblStyle w:val="7"/>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622"/>
        <w:gridCol w:w="1622"/>
        <w:gridCol w:w="1624"/>
        <w:gridCol w:w="1624"/>
        <w:gridCol w:w="1624"/>
        <w:gridCol w:w="1624"/>
      </w:tblGrid>
      <w:tr w14:paraId="29A753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6" w:hRule="atLeast"/>
        </w:trPr>
        <w:tc>
          <w:tcPr>
            <w:tcW w:w="832" w:type="pct"/>
            <w:tcBorders>
              <w:tl2br w:val="single" w:color="000000" w:themeColor="text1" w:sz="4" w:space="0"/>
            </w:tcBorders>
            <w:shd w:val="clear" w:color="auto" w:fill="FFFFFF"/>
            <w:noWrap w:val="0"/>
            <w:vAlign w:val="center"/>
          </w:tcPr>
          <w:p w14:paraId="47806E0C">
            <w:pPr>
              <w:pStyle w:val="11"/>
              <w:bidi w:val="0"/>
              <w:ind w:firstLine="1054" w:firstLineChars="500"/>
              <w:jc w:val="center"/>
              <w:rPr>
                <w:rFonts w:hint="eastAsia"/>
                <w:b/>
                <w:bCs/>
                <w:color w:val="000000"/>
                <w:lang w:val="zh-CN"/>
              </w:rPr>
            </w:pPr>
            <w:r>
              <w:rPr>
                <w:rFonts w:hint="eastAsia"/>
                <w:b/>
                <w:bCs/>
                <w:color w:val="000000"/>
                <w:lang w:val="zh-CN"/>
              </w:rPr>
              <w:t>项目</w:t>
            </w:r>
          </w:p>
          <w:p w14:paraId="2405504B">
            <w:pPr>
              <w:pStyle w:val="11"/>
              <w:bidi w:val="0"/>
              <w:jc w:val="center"/>
              <w:rPr>
                <w:rFonts w:hint="eastAsia"/>
                <w:b/>
                <w:bCs/>
                <w:color w:val="000000"/>
                <w:lang w:val="zh-CN"/>
              </w:rPr>
            </w:pPr>
            <w:r>
              <w:rPr>
                <w:rFonts w:hint="eastAsia"/>
                <w:b/>
                <w:bCs/>
                <w:color w:val="000000"/>
                <w:lang w:val="zh-CN"/>
              </w:rPr>
              <w:t>季度</w:t>
            </w:r>
          </w:p>
        </w:tc>
        <w:tc>
          <w:tcPr>
            <w:tcW w:w="832" w:type="pct"/>
            <w:shd w:val="clear" w:color="auto" w:fill="FFFFFF"/>
            <w:noWrap w:val="0"/>
            <w:tcMar>
              <w:left w:w="57" w:type="dxa"/>
              <w:right w:w="57" w:type="dxa"/>
            </w:tcMar>
            <w:vAlign w:val="center"/>
          </w:tcPr>
          <w:p w14:paraId="01ED0E4A">
            <w:pPr>
              <w:pStyle w:val="11"/>
              <w:bidi w:val="0"/>
              <w:jc w:val="center"/>
              <w:rPr>
                <w:rFonts w:hint="eastAsia"/>
                <w:b/>
                <w:bCs/>
                <w:color w:val="000000"/>
                <w:lang w:val="zh-CN"/>
              </w:rPr>
            </w:pPr>
            <w:r>
              <w:rPr>
                <w:rFonts w:hint="eastAsia"/>
                <w:b/>
                <w:bCs/>
                <w:color w:val="000000"/>
                <w:lang w:val="zh-CN"/>
              </w:rPr>
              <w:t>电导率</w:t>
            </w:r>
          </w:p>
        </w:tc>
        <w:tc>
          <w:tcPr>
            <w:tcW w:w="833" w:type="pct"/>
            <w:shd w:val="clear" w:color="auto" w:fill="FFFFFF"/>
            <w:noWrap w:val="0"/>
            <w:tcMar>
              <w:top w:w="0" w:type="dxa"/>
              <w:left w:w="0" w:type="dxa"/>
              <w:bottom w:w="0" w:type="dxa"/>
              <w:right w:w="0" w:type="dxa"/>
            </w:tcMar>
            <w:vAlign w:val="center"/>
          </w:tcPr>
          <w:p w14:paraId="330532D7">
            <w:pPr>
              <w:pStyle w:val="11"/>
              <w:bidi w:val="0"/>
              <w:jc w:val="center"/>
              <w:rPr>
                <w:rFonts w:hint="eastAsia"/>
                <w:b/>
                <w:bCs/>
                <w:color w:val="000000"/>
                <w:lang w:val="zh-CN"/>
              </w:rPr>
            </w:pPr>
            <w:r>
              <w:rPr>
                <w:rFonts w:hint="eastAsia"/>
                <w:b/>
                <w:bCs/>
                <w:color w:val="000000"/>
                <w:lang w:val="zh-CN"/>
              </w:rPr>
              <w:t>硫酸根</w:t>
            </w:r>
          </w:p>
        </w:tc>
        <w:tc>
          <w:tcPr>
            <w:tcW w:w="833" w:type="pct"/>
            <w:shd w:val="clear" w:color="auto" w:fill="FFFFFF"/>
            <w:noWrap w:val="0"/>
            <w:tcMar>
              <w:top w:w="0" w:type="dxa"/>
              <w:bottom w:w="0" w:type="dxa"/>
            </w:tcMar>
            <w:vAlign w:val="center"/>
          </w:tcPr>
          <w:p w14:paraId="15617F9E">
            <w:pPr>
              <w:pStyle w:val="11"/>
              <w:bidi w:val="0"/>
              <w:jc w:val="center"/>
              <w:rPr>
                <w:rFonts w:hint="eastAsia"/>
                <w:b/>
                <w:bCs/>
                <w:color w:val="000000"/>
                <w:lang w:val="zh-CN"/>
              </w:rPr>
            </w:pPr>
            <w:r>
              <w:rPr>
                <w:rFonts w:hint="eastAsia"/>
                <w:b/>
                <w:bCs/>
                <w:color w:val="000000"/>
                <w:lang w:val="zh-CN"/>
              </w:rPr>
              <w:t>硝酸根</w:t>
            </w:r>
          </w:p>
        </w:tc>
        <w:tc>
          <w:tcPr>
            <w:tcW w:w="833" w:type="pct"/>
            <w:shd w:val="clear" w:color="auto" w:fill="FFFFFF"/>
            <w:noWrap w:val="0"/>
            <w:tcMar>
              <w:top w:w="0" w:type="dxa"/>
              <w:bottom w:w="0" w:type="dxa"/>
            </w:tcMar>
            <w:vAlign w:val="center"/>
          </w:tcPr>
          <w:p w14:paraId="0E2313BC">
            <w:pPr>
              <w:pStyle w:val="11"/>
              <w:bidi w:val="0"/>
              <w:jc w:val="center"/>
              <w:rPr>
                <w:rFonts w:hint="eastAsia"/>
                <w:b/>
                <w:bCs/>
                <w:color w:val="000000"/>
                <w:lang w:val="zh-CN"/>
              </w:rPr>
            </w:pPr>
            <w:r>
              <w:rPr>
                <w:rFonts w:hint="eastAsia"/>
                <w:b/>
                <w:bCs/>
                <w:color w:val="000000"/>
                <w:lang w:val="zh-CN"/>
              </w:rPr>
              <w:t>氯离子</w:t>
            </w:r>
          </w:p>
        </w:tc>
        <w:tc>
          <w:tcPr>
            <w:tcW w:w="833" w:type="pct"/>
            <w:shd w:val="clear" w:color="auto" w:fill="FFFFFF"/>
            <w:noWrap w:val="0"/>
            <w:tcMar>
              <w:top w:w="0" w:type="dxa"/>
              <w:bottom w:w="0" w:type="dxa"/>
            </w:tcMar>
            <w:vAlign w:val="center"/>
          </w:tcPr>
          <w:p w14:paraId="7C79EE25">
            <w:pPr>
              <w:pStyle w:val="11"/>
              <w:bidi w:val="0"/>
              <w:jc w:val="center"/>
              <w:rPr>
                <w:rFonts w:hint="eastAsia"/>
                <w:b/>
                <w:bCs/>
                <w:color w:val="000000"/>
                <w:lang w:val="zh-CN"/>
              </w:rPr>
            </w:pPr>
            <w:r>
              <w:rPr>
                <w:rFonts w:hint="eastAsia"/>
                <w:b/>
                <w:bCs/>
                <w:color w:val="000000"/>
                <w:lang w:val="zh-CN"/>
              </w:rPr>
              <w:t>氟离子</w:t>
            </w:r>
          </w:p>
        </w:tc>
      </w:tr>
      <w:tr w14:paraId="7D279B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832" w:type="pct"/>
            <w:shd w:val="clear" w:color="auto" w:fill="FFFFFF"/>
            <w:noWrap w:val="0"/>
            <w:tcMar>
              <w:top w:w="0" w:type="dxa"/>
              <w:left w:w="57" w:type="dxa"/>
              <w:bottom w:w="0" w:type="dxa"/>
              <w:right w:w="57" w:type="dxa"/>
            </w:tcMar>
            <w:vAlign w:val="center"/>
          </w:tcPr>
          <w:p w14:paraId="6BA2F88F">
            <w:pPr>
              <w:pStyle w:val="11"/>
              <w:bidi w:val="0"/>
              <w:jc w:val="center"/>
              <w:rPr>
                <w:rFonts w:hint="eastAsia"/>
                <w:color w:val="000000"/>
                <w:lang w:val="zh-CN"/>
              </w:rPr>
            </w:pPr>
            <w:r>
              <w:rPr>
                <w:rFonts w:hint="eastAsia"/>
                <w:color w:val="000000"/>
                <w:lang w:val="zh-CN"/>
              </w:rPr>
              <w:t>第一季度</w:t>
            </w:r>
          </w:p>
        </w:tc>
        <w:tc>
          <w:tcPr>
            <w:tcW w:w="832" w:type="pct"/>
            <w:shd w:val="clear" w:color="auto" w:fill="FFFFFF"/>
            <w:noWrap w:val="0"/>
            <w:tcMar>
              <w:top w:w="0" w:type="dxa"/>
              <w:left w:w="57" w:type="dxa"/>
              <w:bottom w:w="0" w:type="dxa"/>
              <w:right w:w="57" w:type="dxa"/>
            </w:tcMar>
            <w:vAlign w:val="center"/>
          </w:tcPr>
          <w:p w14:paraId="1597D7B6">
            <w:pPr>
              <w:pStyle w:val="11"/>
              <w:bidi w:val="0"/>
              <w:jc w:val="center"/>
              <w:rPr>
                <w:rFonts w:hint="eastAsia"/>
                <w:color w:val="000000"/>
                <w:lang w:val="zh-CN"/>
              </w:rPr>
            </w:pPr>
            <w:r>
              <w:rPr>
                <w:rFonts w:hint="eastAsia"/>
                <w:color w:val="000000"/>
                <w:lang w:val="zh-CN"/>
              </w:rPr>
              <w:t>1.81</w:t>
            </w:r>
          </w:p>
        </w:tc>
        <w:tc>
          <w:tcPr>
            <w:tcW w:w="833" w:type="pct"/>
            <w:shd w:val="clear" w:color="auto" w:fill="FFFFFF"/>
            <w:noWrap w:val="0"/>
            <w:tcMar>
              <w:top w:w="0" w:type="dxa"/>
              <w:left w:w="57" w:type="dxa"/>
              <w:bottom w:w="0" w:type="dxa"/>
              <w:right w:w="57" w:type="dxa"/>
            </w:tcMar>
            <w:vAlign w:val="center"/>
          </w:tcPr>
          <w:p w14:paraId="6C6599B2">
            <w:pPr>
              <w:pStyle w:val="11"/>
              <w:bidi w:val="0"/>
              <w:jc w:val="center"/>
              <w:rPr>
                <w:rFonts w:hint="eastAsia"/>
                <w:color w:val="000000"/>
                <w:lang w:val="zh-CN"/>
              </w:rPr>
            </w:pPr>
            <w:r>
              <w:rPr>
                <w:rFonts w:hint="eastAsia"/>
                <w:color w:val="000000"/>
                <w:lang w:val="zh-CN"/>
              </w:rPr>
              <w:t>3.35</w:t>
            </w:r>
          </w:p>
        </w:tc>
        <w:tc>
          <w:tcPr>
            <w:tcW w:w="833" w:type="pct"/>
            <w:shd w:val="clear" w:color="auto" w:fill="FFFFFF"/>
            <w:noWrap w:val="0"/>
            <w:tcMar>
              <w:top w:w="0" w:type="dxa"/>
              <w:left w:w="57" w:type="dxa"/>
              <w:bottom w:w="0" w:type="dxa"/>
              <w:right w:w="57" w:type="dxa"/>
            </w:tcMar>
            <w:vAlign w:val="center"/>
          </w:tcPr>
          <w:p w14:paraId="38C7FFF3">
            <w:pPr>
              <w:pStyle w:val="11"/>
              <w:bidi w:val="0"/>
              <w:jc w:val="center"/>
              <w:rPr>
                <w:rFonts w:hint="eastAsia"/>
                <w:color w:val="000000"/>
                <w:lang w:val="zh-CN"/>
              </w:rPr>
            </w:pPr>
            <w:r>
              <w:rPr>
                <w:rFonts w:hint="eastAsia"/>
                <w:color w:val="000000"/>
                <w:lang w:val="zh-CN"/>
              </w:rPr>
              <w:t>8.87</w:t>
            </w:r>
          </w:p>
        </w:tc>
        <w:tc>
          <w:tcPr>
            <w:tcW w:w="833" w:type="pct"/>
            <w:shd w:val="clear" w:color="auto" w:fill="FFFFFF"/>
            <w:noWrap w:val="0"/>
            <w:tcMar>
              <w:top w:w="0" w:type="dxa"/>
              <w:left w:w="57" w:type="dxa"/>
              <w:bottom w:w="0" w:type="dxa"/>
              <w:right w:w="57" w:type="dxa"/>
            </w:tcMar>
            <w:vAlign w:val="center"/>
          </w:tcPr>
          <w:p w14:paraId="24AA9704">
            <w:pPr>
              <w:pStyle w:val="11"/>
              <w:bidi w:val="0"/>
              <w:jc w:val="center"/>
              <w:rPr>
                <w:rFonts w:hint="eastAsia"/>
                <w:color w:val="000000"/>
                <w:lang w:val="zh-CN"/>
              </w:rPr>
            </w:pPr>
            <w:r>
              <w:rPr>
                <w:rFonts w:hint="eastAsia"/>
                <w:color w:val="000000"/>
                <w:lang w:val="zh-CN"/>
              </w:rPr>
              <w:t>0.294</w:t>
            </w:r>
          </w:p>
        </w:tc>
        <w:tc>
          <w:tcPr>
            <w:tcW w:w="833" w:type="pct"/>
            <w:shd w:val="clear" w:color="auto" w:fill="FFFFFF"/>
            <w:noWrap w:val="0"/>
            <w:tcMar>
              <w:top w:w="0" w:type="dxa"/>
              <w:left w:w="57" w:type="dxa"/>
              <w:bottom w:w="0" w:type="dxa"/>
              <w:right w:w="57" w:type="dxa"/>
            </w:tcMar>
            <w:vAlign w:val="center"/>
          </w:tcPr>
          <w:p w14:paraId="139520DE">
            <w:pPr>
              <w:pStyle w:val="11"/>
              <w:bidi w:val="0"/>
              <w:jc w:val="center"/>
              <w:rPr>
                <w:rFonts w:hint="eastAsia"/>
                <w:color w:val="000000"/>
                <w:lang w:val="zh-CN"/>
              </w:rPr>
            </w:pPr>
            <w:r>
              <w:rPr>
                <w:rFonts w:hint="eastAsia"/>
                <w:color w:val="000000"/>
                <w:lang w:val="zh-CN"/>
              </w:rPr>
              <w:t>0.706</w:t>
            </w:r>
          </w:p>
        </w:tc>
      </w:tr>
      <w:tr w14:paraId="5F8770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832" w:type="pct"/>
            <w:shd w:val="clear" w:color="auto" w:fill="FFFFFF"/>
            <w:noWrap w:val="0"/>
            <w:tcMar>
              <w:top w:w="0" w:type="dxa"/>
              <w:left w:w="57" w:type="dxa"/>
              <w:bottom w:w="0" w:type="dxa"/>
              <w:right w:w="57" w:type="dxa"/>
            </w:tcMar>
            <w:vAlign w:val="center"/>
          </w:tcPr>
          <w:p w14:paraId="36FC554C">
            <w:pPr>
              <w:pStyle w:val="11"/>
              <w:bidi w:val="0"/>
              <w:jc w:val="center"/>
              <w:rPr>
                <w:rFonts w:hint="eastAsia"/>
                <w:color w:val="000000"/>
                <w:lang w:val="zh-CN"/>
              </w:rPr>
            </w:pPr>
            <w:r>
              <w:rPr>
                <w:rFonts w:hint="eastAsia"/>
                <w:color w:val="000000"/>
                <w:lang w:val="zh-CN"/>
              </w:rPr>
              <w:t>第二季度</w:t>
            </w:r>
          </w:p>
        </w:tc>
        <w:tc>
          <w:tcPr>
            <w:tcW w:w="832" w:type="pct"/>
            <w:shd w:val="clear" w:color="auto" w:fill="FFFFFF"/>
            <w:noWrap w:val="0"/>
            <w:tcMar>
              <w:top w:w="0" w:type="dxa"/>
              <w:left w:w="57" w:type="dxa"/>
              <w:bottom w:w="0" w:type="dxa"/>
              <w:right w:w="57" w:type="dxa"/>
            </w:tcMar>
            <w:vAlign w:val="center"/>
          </w:tcPr>
          <w:p w14:paraId="7C6330E4">
            <w:pPr>
              <w:pStyle w:val="11"/>
              <w:bidi w:val="0"/>
              <w:jc w:val="center"/>
              <w:rPr>
                <w:rFonts w:hint="eastAsia"/>
                <w:color w:val="000000"/>
                <w:lang w:val="zh-CN"/>
              </w:rPr>
            </w:pPr>
            <w:r>
              <w:rPr>
                <w:rFonts w:hint="eastAsia"/>
                <w:color w:val="000000"/>
                <w:lang w:val="zh-CN"/>
              </w:rPr>
              <w:t>1.48</w:t>
            </w:r>
          </w:p>
        </w:tc>
        <w:tc>
          <w:tcPr>
            <w:tcW w:w="833" w:type="pct"/>
            <w:shd w:val="clear" w:color="auto" w:fill="FFFFFF"/>
            <w:noWrap w:val="0"/>
            <w:tcMar>
              <w:top w:w="0" w:type="dxa"/>
              <w:left w:w="57" w:type="dxa"/>
              <w:bottom w:w="0" w:type="dxa"/>
              <w:right w:w="57" w:type="dxa"/>
            </w:tcMar>
            <w:vAlign w:val="center"/>
          </w:tcPr>
          <w:p w14:paraId="041C067A">
            <w:pPr>
              <w:pStyle w:val="11"/>
              <w:bidi w:val="0"/>
              <w:jc w:val="center"/>
              <w:rPr>
                <w:rFonts w:hint="eastAsia"/>
                <w:color w:val="000000"/>
                <w:lang w:val="zh-CN"/>
              </w:rPr>
            </w:pPr>
            <w:r>
              <w:rPr>
                <w:rFonts w:hint="eastAsia"/>
                <w:color w:val="000000"/>
                <w:lang w:val="zh-CN"/>
              </w:rPr>
              <w:t>3.39</w:t>
            </w:r>
          </w:p>
        </w:tc>
        <w:tc>
          <w:tcPr>
            <w:tcW w:w="833" w:type="pct"/>
            <w:shd w:val="clear" w:color="auto" w:fill="FFFFFF"/>
            <w:noWrap w:val="0"/>
            <w:tcMar>
              <w:top w:w="0" w:type="dxa"/>
              <w:left w:w="57" w:type="dxa"/>
              <w:bottom w:w="0" w:type="dxa"/>
              <w:right w:w="57" w:type="dxa"/>
            </w:tcMar>
            <w:vAlign w:val="center"/>
          </w:tcPr>
          <w:p w14:paraId="5134751B">
            <w:pPr>
              <w:pStyle w:val="11"/>
              <w:bidi w:val="0"/>
              <w:jc w:val="center"/>
              <w:rPr>
                <w:rFonts w:hint="eastAsia"/>
                <w:color w:val="000000"/>
                <w:lang w:val="zh-CN"/>
              </w:rPr>
            </w:pPr>
            <w:r>
              <w:rPr>
                <w:rFonts w:hint="eastAsia"/>
                <w:color w:val="000000"/>
                <w:lang w:val="zh-CN"/>
              </w:rPr>
              <w:t>1.12</w:t>
            </w:r>
          </w:p>
        </w:tc>
        <w:tc>
          <w:tcPr>
            <w:tcW w:w="833" w:type="pct"/>
            <w:shd w:val="clear" w:color="auto" w:fill="FFFFFF"/>
            <w:noWrap w:val="0"/>
            <w:tcMar>
              <w:top w:w="0" w:type="dxa"/>
              <w:left w:w="57" w:type="dxa"/>
              <w:bottom w:w="0" w:type="dxa"/>
              <w:right w:w="57" w:type="dxa"/>
            </w:tcMar>
            <w:vAlign w:val="center"/>
          </w:tcPr>
          <w:p w14:paraId="744A0935">
            <w:pPr>
              <w:pStyle w:val="11"/>
              <w:bidi w:val="0"/>
              <w:jc w:val="center"/>
              <w:rPr>
                <w:rFonts w:hint="eastAsia"/>
                <w:color w:val="000000"/>
                <w:lang w:val="zh-CN"/>
              </w:rPr>
            </w:pPr>
            <w:r>
              <w:rPr>
                <w:rFonts w:hint="eastAsia"/>
                <w:color w:val="000000"/>
                <w:lang w:val="zh-CN"/>
              </w:rPr>
              <w:t>0.615</w:t>
            </w:r>
          </w:p>
        </w:tc>
        <w:tc>
          <w:tcPr>
            <w:tcW w:w="833" w:type="pct"/>
            <w:shd w:val="clear" w:color="auto" w:fill="FFFFFF"/>
            <w:noWrap w:val="0"/>
            <w:tcMar>
              <w:top w:w="0" w:type="dxa"/>
              <w:left w:w="57" w:type="dxa"/>
              <w:bottom w:w="0" w:type="dxa"/>
              <w:right w:w="57" w:type="dxa"/>
            </w:tcMar>
            <w:vAlign w:val="center"/>
          </w:tcPr>
          <w:p w14:paraId="1726C801">
            <w:pPr>
              <w:pStyle w:val="11"/>
              <w:bidi w:val="0"/>
              <w:jc w:val="center"/>
              <w:rPr>
                <w:rFonts w:hint="eastAsia"/>
                <w:color w:val="000000"/>
                <w:lang w:val="zh-CN"/>
              </w:rPr>
            </w:pPr>
            <w:r>
              <w:rPr>
                <w:rFonts w:hint="eastAsia"/>
                <w:color w:val="000000"/>
                <w:lang w:val="zh-CN"/>
              </w:rPr>
              <w:t>0.574</w:t>
            </w:r>
          </w:p>
        </w:tc>
      </w:tr>
      <w:tr w14:paraId="74519D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832" w:type="pct"/>
            <w:shd w:val="clear" w:color="auto" w:fill="FFFFFF"/>
            <w:noWrap w:val="0"/>
            <w:tcMar>
              <w:top w:w="0" w:type="dxa"/>
              <w:left w:w="57" w:type="dxa"/>
              <w:bottom w:w="0" w:type="dxa"/>
              <w:right w:w="57" w:type="dxa"/>
            </w:tcMar>
            <w:vAlign w:val="center"/>
          </w:tcPr>
          <w:p w14:paraId="722CF2F4">
            <w:pPr>
              <w:pStyle w:val="11"/>
              <w:bidi w:val="0"/>
              <w:jc w:val="center"/>
              <w:rPr>
                <w:rFonts w:hint="eastAsia"/>
                <w:color w:val="000000"/>
                <w:lang w:val="zh-CN"/>
              </w:rPr>
            </w:pPr>
            <w:r>
              <w:rPr>
                <w:rFonts w:hint="eastAsia"/>
                <w:color w:val="000000"/>
                <w:lang w:val="zh-CN"/>
              </w:rPr>
              <w:t>第三季度</w:t>
            </w:r>
          </w:p>
        </w:tc>
        <w:tc>
          <w:tcPr>
            <w:tcW w:w="832" w:type="pct"/>
            <w:shd w:val="clear" w:color="auto" w:fill="FFFFFF"/>
            <w:noWrap w:val="0"/>
            <w:tcMar>
              <w:top w:w="0" w:type="dxa"/>
              <w:left w:w="57" w:type="dxa"/>
              <w:bottom w:w="0" w:type="dxa"/>
              <w:right w:w="57" w:type="dxa"/>
            </w:tcMar>
            <w:vAlign w:val="center"/>
          </w:tcPr>
          <w:p w14:paraId="48826F2C">
            <w:pPr>
              <w:pStyle w:val="11"/>
              <w:bidi w:val="0"/>
              <w:jc w:val="center"/>
              <w:rPr>
                <w:rFonts w:hint="eastAsia"/>
                <w:color w:val="000000"/>
                <w:lang w:val="zh-CN"/>
              </w:rPr>
            </w:pPr>
            <w:r>
              <w:rPr>
                <w:rFonts w:hint="eastAsia"/>
                <w:color w:val="000000"/>
                <w:lang w:val="zh-CN"/>
              </w:rPr>
              <w:t>1.39</w:t>
            </w:r>
          </w:p>
        </w:tc>
        <w:tc>
          <w:tcPr>
            <w:tcW w:w="833" w:type="pct"/>
            <w:shd w:val="clear" w:color="auto" w:fill="FFFFFF"/>
            <w:noWrap w:val="0"/>
            <w:tcMar>
              <w:top w:w="0" w:type="dxa"/>
              <w:left w:w="57" w:type="dxa"/>
              <w:bottom w:w="0" w:type="dxa"/>
              <w:right w:w="57" w:type="dxa"/>
            </w:tcMar>
            <w:vAlign w:val="center"/>
          </w:tcPr>
          <w:p w14:paraId="412FF037">
            <w:pPr>
              <w:pStyle w:val="11"/>
              <w:bidi w:val="0"/>
              <w:jc w:val="center"/>
              <w:rPr>
                <w:rFonts w:hint="eastAsia"/>
                <w:color w:val="000000"/>
                <w:lang w:val="zh-CN"/>
              </w:rPr>
            </w:pPr>
            <w:r>
              <w:rPr>
                <w:rFonts w:hint="eastAsia"/>
                <w:color w:val="000000"/>
                <w:lang w:val="zh-CN"/>
              </w:rPr>
              <w:t>3.47</w:t>
            </w:r>
          </w:p>
        </w:tc>
        <w:tc>
          <w:tcPr>
            <w:tcW w:w="833" w:type="pct"/>
            <w:shd w:val="clear" w:color="auto" w:fill="FFFFFF"/>
            <w:noWrap w:val="0"/>
            <w:tcMar>
              <w:top w:w="0" w:type="dxa"/>
              <w:left w:w="57" w:type="dxa"/>
              <w:bottom w:w="0" w:type="dxa"/>
              <w:right w:w="57" w:type="dxa"/>
            </w:tcMar>
            <w:vAlign w:val="center"/>
          </w:tcPr>
          <w:p w14:paraId="5FCD4CF0">
            <w:pPr>
              <w:pStyle w:val="11"/>
              <w:bidi w:val="0"/>
              <w:jc w:val="center"/>
              <w:rPr>
                <w:rFonts w:hint="eastAsia"/>
                <w:color w:val="000000"/>
                <w:lang w:val="zh-CN"/>
              </w:rPr>
            </w:pPr>
            <w:r>
              <w:rPr>
                <w:rFonts w:hint="eastAsia"/>
                <w:color w:val="000000"/>
                <w:lang w:val="zh-CN"/>
              </w:rPr>
              <w:t>1.69</w:t>
            </w:r>
          </w:p>
        </w:tc>
        <w:tc>
          <w:tcPr>
            <w:tcW w:w="833" w:type="pct"/>
            <w:shd w:val="clear" w:color="auto" w:fill="FFFFFF"/>
            <w:noWrap w:val="0"/>
            <w:tcMar>
              <w:top w:w="0" w:type="dxa"/>
              <w:left w:w="57" w:type="dxa"/>
              <w:bottom w:w="0" w:type="dxa"/>
              <w:right w:w="57" w:type="dxa"/>
            </w:tcMar>
            <w:vAlign w:val="center"/>
          </w:tcPr>
          <w:p w14:paraId="58606012">
            <w:pPr>
              <w:pStyle w:val="11"/>
              <w:bidi w:val="0"/>
              <w:jc w:val="center"/>
              <w:rPr>
                <w:rFonts w:hint="eastAsia"/>
                <w:color w:val="000000"/>
                <w:lang w:val="zh-CN"/>
              </w:rPr>
            </w:pPr>
            <w:r>
              <w:rPr>
                <w:rFonts w:hint="eastAsia"/>
                <w:color w:val="000000"/>
                <w:lang w:val="zh-CN"/>
              </w:rPr>
              <w:t>0.354</w:t>
            </w:r>
          </w:p>
        </w:tc>
        <w:tc>
          <w:tcPr>
            <w:tcW w:w="833" w:type="pct"/>
            <w:shd w:val="clear" w:color="auto" w:fill="FFFFFF"/>
            <w:noWrap w:val="0"/>
            <w:tcMar>
              <w:top w:w="0" w:type="dxa"/>
              <w:left w:w="57" w:type="dxa"/>
              <w:bottom w:w="0" w:type="dxa"/>
              <w:right w:w="57" w:type="dxa"/>
            </w:tcMar>
            <w:vAlign w:val="center"/>
          </w:tcPr>
          <w:p w14:paraId="4C8E1FCB">
            <w:pPr>
              <w:pStyle w:val="11"/>
              <w:bidi w:val="0"/>
              <w:jc w:val="center"/>
              <w:rPr>
                <w:rFonts w:hint="eastAsia"/>
                <w:color w:val="000000"/>
                <w:lang w:val="zh-CN"/>
              </w:rPr>
            </w:pPr>
            <w:r>
              <w:rPr>
                <w:rFonts w:hint="eastAsia"/>
                <w:color w:val="000000"/>
                <w:lang w:val="zh-CN"/>
              </w:rPr>
              <w:t>0.144</w:t>
            </w:r>
          </w:p>
        </w:tc>
      </w:tr>
      <w:tr w14:paraId="0451B4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832" w:type="pct"/>
            <w:shd w:val="clear" w:color="auto" w:fill="FFFFFF"/>
            <w:noWrap w:val="0"/>
            <w:tcMar>
              <w:top w:w="0" w:type="dxa"/>
              <w:left w:w="57" w:type="dxa"/>
              <w:bottom w:w="0" w:type="dxa"/>
              <w:right w:w="57" w:type="dxa"/>
            </w:tcMar>
            <w:vAlign w:val="center"/>
          </w:tcPr>
          <w:p w14:paraId="3E21D88D">
            <w:pPr>
              <w:pStyle w:val="11"/>
              <w:bidi w:val="0"/>
              <w:jc w:val="center"/>
              <w:rPr>
                <w:rFonts w:hint="eastAsia"/>
                <w:color w:val="000000"/>
                <w:lang w:val="zh-CN"/>
              </w:rPr>
            </w:pPr>
            <w:r>
              <w:rPr>
                <w:rFonts w:hint="eastAsia"/>
                <w:color w:val="000000"/>
                <w:lang w:val="zh-CN"/>
              </w:rPr>
              <w:t>第四季度</w:t>
            </w:r>
          </w:p>
        </w:tc>
        <w:tc>
          <w:tcPr>
            <w:tcW w:w="832" w:type="pct"/>
            <w:shd w:val="clear" w:color="auto" w:fill="FFFFFF"/>
            <w:noWrap w:val="0"/>
            <w:tcMar>
              <w:top w:w="0" w:type="dxa"/>
              <w:left w:w="57" w:type="dxa"/>
              <w:bottom w:w="0" w:type="dxa"/>
              <w:right w:w="57" w:type="dxa"/>
            </w:tcMar>
            <w:vAlign w:val="center"/>
          </w:tcPr>
          <w:p w14:paraId="3D7F5444">
            <w:pPr>
              <w:pStyle w:val="11"/>
              <w:bidi w:val="0"/>
              <w:jc w:val="center"/>
              <w:rPr>
                <w:rFonts w:hint="eastAsia"/>
                <w:color w:val="000000"/>
                <w:lang w:val="zh-CN"/>
              </w:rPr>
            </w:pPr>
            <w:r>
              <w:rPr>
                <w:rFonts w:hint="eastAsia"/>
                <w:color w:val="000000"/>
                <w:lang w:val="zh-CN"/>
              </w:rPr>
              <w:t>-</w:t>
            </w:r>
          </w:p>
        </w:tc>
        <w:tc>
          <w:tcPr>
            <w:tcW w:w="833" w:type="pct"/>
            <w:shd w:val="clear" w:color="auto" w:fill="FFFFFF"/>
            <w:noWrap w:val="0"/>
            <w:tcMar>
              <w:top w:w="0" w:type="dxa"/>
              <w:left w:w="57" w:type="dxa"/>
              <w:bottom w:w="0" w:type="dxa"/>
              <w:right w:w="57" w:type="dxa"/>
            </w:tcMar>
            <w:vAlign w:val="center"/>
          </w:tcPr>
          <w:p w14:paraId="31762284">
            <w:pPr>
              <w:pStyle w:val="11"/>
              <w:bidi w:val="0"/>
              <w:jc w:val="center"/>
              <w:rPr>
                <w:rFonts w:hint="eastAsia"/>
                <w:color w:val="000000"/>
                <w:lang w:val="zh-CN"/>
              </w:rPr>
            </w:pPr>
            <w:r>
              <w:rPr>
                <w:rFonts w:hint="eastAsia"/>
                <w:color w:val="000000"/>
                <w:lang w:val="zh-CN"/>
              </w:rPr>
              <w:t>-</w:t>
            </w:r>
          </w:p>
        </w:tc>
        <w:tc>
          <w:tcPr>
            <w:tcW w:w="833" w:type="pct"/>
            <w:shd w:val="clear" w:color="auto" w:fill="FFFFFF"/>
            <w:noWrap w:val="0"/>
            <w:tcMar>
              <w:top w:w="0" w:type="dxa"/>
              <w:left w:w="57" w:type="dxa"/>
              <w:bottom w:w="0" w:type="dxa"/>
              <w:right w:w="57" w:type="dxa"/>
            </w:tcMar>
            <w:vAlign w:val="center"/>
          </w:tcPr>
          <w:p w14:paraId="6B36BDA6">
            <w:pPr>
              <w:pStyle w:val="11"/>
              <w:bidi w:val="0"/>
              <w:jc w:val="center"/>
              <w:rPr>
                <w:rFonts w:hint="eastAsia"/>
                <w:color w:val="000000"/>
                <w:lang w:val="zh-CN"/>
              </w:rPr>
            </w:pPr>
            <w:r>
              <w:rPr>
                <w:rFonts w:hint="eastAsia"/>
                <w:color w:val="000000"/>
                <w:lang w:val="zh-CN"/>
              </w:rPr>
              <w:t>-</w:t>
            </w:r>
          </w:p>
        </w:tc>
        <w:tc>
          <w:tcPr>
            <w:tcW w:w="833" w:type="pct"/>
            <w:shd w:val="clear" w:color="auto" w:fill="FFFFFF"/>
            <w:noWrap w:val="0"/>
            <w:tcMar>
              <w:top w:w="0" w:type="dxa"/>
              <w:left w:w="57" w:type="dxa"/>
              <w:bottom w:w="0" w:type="dxa"/>
              <w:right w:w="57" w:type="dxa"/>
            </w:tcMar>
            <w:vAlign w:val="center"/>
          </w:tcPr>
          <w:p w14:paraId="3C90266A">
            <w:pPr>
              <w:pStyle w:val="11"/>
              <w:bidi w:val="0"/>
              <w:jc w:val="center"/>
              <w:rPr>
                <w:rFonts w:hint="eastAsia"/>
                <w:color w:val="000000"/>
                <w:lang w:val="zh-CN"/>
              </w:rPr>
            </w:pPr>
            <w:r>
              <w:rPr>
                <w:rFonts w:hint="eastAsia"/>
                <w:color w:val="000000"/>
                <w:lang w:val="zh-CN"/>
              </w:rPr>
              <w:t>-</w:t>
            </w:r>
          </w:p>
        </w:tc>
        <w:tc>
          <w:tcPr>
            <w:tcW w:w="833" w:type="pct"/>
            <w:shd w:val="clear" w:color="auto" w:fill="FFFFFF"/>
            <w:noWrap w:val="0"/>
            <w:tcMar>
              <w:top w:w="0" w:type="dxa"/>
              <w:left w:w="57" w:type="dxa"/>
              <w:bottom w:w="0" w:type="dxa"/>
              <w:right w:w="57" w:type="dxa"/>
            </w:tcMar>
            <w:vAlign w:val="center"/>
          </w:tcPr>
          <w:p w14:paraId="578E2509">
            <w:pPr>
              <w:pStyle w:val="11"/>
              <w:bidi w:val="0"/>
              <w:jc w:val="center"/>
              <w:rPr>
                <w:rFonts w:hint="eastAsia"/>
                <w:color w:val="000000"/>
                <w:lang w:val="zh-CN"/>
              </w:rPr>
            </w:pPr>
            <w:r>
              <w:rPr>
                <w:rFonts w:hint="eastAsia"/>
                <w:color w:val="000000"/>
                <w:lang w:val="zh-CN"/>
              </w:rPr>
              <w:t>-</w:t>
            </w:r>
          </w:p>
        </w:tc>
      </w:tr>
      <w:tr w14:paraId="6CBDE9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832" w:type="pct"/>
            <w:shd w:val="clear" w:color="auto" w:fill="FFFFFF"/>
            <w:noWrap w:val="0"/>
            <w:tcMar>
              <w:top w:w="0" w:type="dxa"/>
              <w:left w:w="57" w:type="dxa"/>
              <w:bottom w:w="0" w:type="dxa"/>
              <w:right w:w="57" w:type="dxa"/>
            </w:tcMar>
            <w:vAlign w:val="center"/>
          </w:tcPr>
          <w:p w14:paraId="553E0321">
            <w:pPr>
              <w:pStyle w:val="11"/>
              <w:bidi w:val="0"/>
              <w:jc w:val="center"/>
              <w:rPr>
                <w:rFonts w:hint="eastAsia"/>
                <w:color w:val="000000"/>
                <w:lang w:val="zh-CN"/>
              </w:rPr>
            </w:pPr>
            <w:r>
              <w:rPr>
                <w:rFonts w:hint="eastAsia"/>
                <w:color w:val="000000"/>
                <w:lang w:val="zh-CN"/>
              </w:rPr>
              <w:t>年均值</w:t>
            </w:r>
          </w:p>
        </w:tc>
        <w:tc>
          <w:tcPr>
            <w:tcW w:w="832" w:type="pct"/>
            <w:shd w:val="clear" w:color="auto" w:fill="FFFFFF"/>
            <w:noWrap w:val="0"/>
            <w:tcMar>
              <w:top w:w="0" w:type="dxa"/>
              <w:left w:w="57" w:type="dxa"/>
              <w:bottom w:w="0" w:type="dxa"/>
              <w:right w:w="57" w:type="dxa"/>
            </w:tcMar>
            <w:vAlign w:val="center"/>
          </w:tcPr>
          <w:p w14:paraId="4EFF6952">
            <w:pPr>
              <w:pStyle w:val="11"/>
              <w:bidi w:val="0"/>
              <w:jc w:val="center"/>
              <w:rPr>
                <w:rFonts w:hint="eastAsia"/>
                <w:color w:val="000000"/>
                <w:lang w:val="zh-CN"/>
              </w:rPr>
            </w:pPr>
            <w:r>
              <w:rPr>
                <w:rFonts w:hint="eastAsia"/>
                <w:color w:val="000000"/>
                <w:lang w:val="zh-CN"/>
              </w:rPr>
              <w:t>1.49</w:t>
            </w:r>
          </w:p>
        </w:tc>
        <w:tc>
          <w:tcPr>
            <w:tcW w:w="833" w:type="pct"/>
            <w:shd w:val="clear" w:color="auto" w:fill="FFFFFF"/>
            <w:noWrap w:val="0"/>
            <w:tcMar>
              <w:top w:w="0" w:type="dxa"/>
              <w:left w:w="57" w:type="dxa"/>
              <w:bottom w:w="0" w:type="dxa"/>
              <w:right w:w="57" w:type="dxa"/>
            </w:tcMar>
            <w:vAlign w:val="center"/>
          </w:tcPr>
          <w:p w14:paraId="6E1860DD">
            <w:pPr>
              <w:pStyle w:val="11"/>
              <w:bidi w:val="0"/>
              <w:jc w:val="center"/>
              <w:rPr>
                <w:rFonts w:hint="eastAsia"/>
                <w:color w:val="000000"/>
                <w:lang w:val="zh-CN"/>
              </w:rPr>
            </w:pPr>
            <w:r>
              <w:rPr>
                <w:rFonts w:hint="eastAsia"/>
                <w:color w:val="000000"/>
                <w:lang w:val="zh-CN"/>
              </w:rPr>
              <w:t>3.41</w:t>
            </w:r>
          </w:p>
        </w:tc>
        <w:tc>
          <w:tcPr>
            <w:tcW w:w="833" w:type="pct"/>
            <w:shd w:val="clear" w:color="auto" w:fill="FFFFFF"/>
            <w:noWrap w:val="0"/>
            <w:tcMar>
              <w:top w:w="0" w:type="dxa"/>
              <w:left w:w="57" w:type="dxa"/>
              <w:bottom w:w="0" w:type="dxa"/>
              <w:right w:w="57" w:type="dxa"/>
            </w:tcMar>
            <w:vAlign w:val="center"/>
          </w:tcPr>
          <w:p w14:paraId="0AD620C7">
            <w:pPr>
              <w:pStyle w:val="11"/>
              <w:bidi w:val="0"/>
              <w:jc w:val="center"/>
              <w:rPr>
                <w:rFonts w:hint="eastAsia"/>
                <w:color w:val="000000"/>
                <w:lang w:val="zh-CN"/>
              </w:rPr>
            </w:pPr>
            <w:r>
              <w:rPr>
                <w:rFonts w:hint="eastAsia"/>
                <w:color w:val="000000"/>
                <w:lang w:val="zh-CN"/>
              </w:rPr>
              <w:t>3.50</w:t>
            </w:r>
          </w:p>
        </w:tc>
        <w:tc>
          <w:tcPr>
            <w:tcW w:w="833" w:type="pct"/>
            <w:shd w:val="clear" w:color="auto" w:fill="FFFFFF"/>
            <w:noWrap w:val="0"/>
            <w:tcMar>
              <w:top w:w="0" w:type="dxa"/>
              <w:left w:w="57" w:type="dxa"/>
              <w:bottom w:w="0" w:type="dxa"/>
              <w:right w:w="57" w:type="dxa"/>
            </w:tcMar>
            <w:vAlign w:val="center"/>
          </w:tcPr>
          <w:p w14:paraId="440B90D6">
            <w:pPr>
              <w:pStyle w:val="11"/>
              <w:bidi w:val="0"/>
              <w:jc w:val="center"/>
              <w:rPr>
                <w:rFonts w:hint="eastAsia"/>
                <w:color w:val="000000"/>
                <w:lang w:val="zh-CN"/>
              </w:rPr>
            </w:pPr>
            <w:r>
              <w:rPr>
                <w:rFonts w:hint="eastAsia"/>
                <w:color w:val="000000"/>
                <w:lang w:val="zh-CN"/>
              </w:rPr>
              <w:t>0.380</w:t>
            </w:r>
          </w:p>
        </w:tc>
        <w:tc>
          <w:tcPr>
            <w:tcW w:w="833" w:type="pct"/>
            <w:shd w:val="clear" w:color="auto" w:fill="FFFFFF"/>
            <w:noWrap w:val="0"/>
            <w:tcMar>
              <w:top w:w="0" w:type="dxa"/>
              <w:left w:w="57" w:type="dxa"/>
              <w:bottom w:w="0" w:type="dxa"/>
              <w:right w:w="57" w:type="dxa"/>
            </w:tcMar>
            <w:vAlign w:val="center"/>
          </w:tcPr>
          <w:p w14:paraId="11E584B5">
            <w:pPr>
              <w:pStyle w:val="11"/>
              <w:bidi w:val="0"/>
              <w:jc w:val="center"/>
              <w:rPr>
                <w:rFonts w:hint="eastAsia"/>
                <w:color w:val="000000"/>
                <w:lang w:val="zh-CN"/>
              </w:rPr>
            </w:pPr>
            <w:r>
              <w:rPr>
                <w:rFonts w:hint="eastAsia"/>
                <w:color w:val="000000"/>
                <w:lang w:val="zh-CN"/>
              </w:rPr>
              <w:t>0.388</w:t>
            </w:r>
          </w:p>
        </w:tc>
      </w:tr>
    </w:tbl>
    <w:p w14:paraId="41F42989">
      <w:pPr>
        <w:bidi w:val="0"/>
        <w:ind w:left="0" w:leftChars="0" w:firstLine="0" w:firstLineChars="0"/>
        <w:jc w:val="center"/>
        <w:rPr>
          <w:rFonts w:hint="eastAsia"/>
          <w:b/>
          <w:bCs/>
          <w:lang w:val="zh-CN"/>
        </w:rPr>
      </w:pPr>
      <w:r>
        <w:rPr>
          <w:rFonts w:hint="eastAsia"/>
          <w:b/>
          <w:bCs/>
          <w:lang w:val="zh-CN"/>
        </w:rPr>
        <w:t>表23</w:t>
      </w:r>
      <w:r>
        <w:rPr>
          <w:rFonts w:hint="eastAsia"/>
          <w:b/>
          <w:bCs/>
          <w:lang w:val="en-US" w:eastAsia="zh-CN"/>
        </w:rPr>
        <w:t xml:space="preserve">  </w:t>
      </w:r>
      <w:r>
        <w:rPr>
          <w:rFonts w:hint="eastAsia"/>
          <w:b/>
          <w:bCs/>
          <w:lang w:val="zh-CN"/>
        </w:rPr>
        <w:t>2018年南雄市城区道路交通噪声（昼间）监测结果统计表</w:t>
      </w:r>
    </w:p>
    <w:tbl>
      <w:tblPr>
        <w:tblStyle w:val="7"/>
        <w:tblW w:w="4998"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808"/>
        <w:gridCol w:w="2308"/>
        <w:gridCol w:w="1754"/>
        <w:gridCol w:w="1053"/>
        <w:gridCol w:w="2195"/>
        <w:gridCol w:w="1624"/>
      </w:tblGrid>
      <w:tr w14:paraId="63F17BD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trPr>
        <w:tc>
          <w:tcPr>
            <w:tcW w:w="415" w:type="pct"/>
            <w:vMerge w:val="restart"/>
            <w:shd w:val="clear" w:color="auto" w:fill="FFFFFF"/>
            <w:noWrap w:val="0"/>
            <w:tcMar>
              <w:top w:w="0" w:type="dxa"/>
              <w:left w:w="0" w:type="dxa"/>
              <w:bottom w:w="0" w:type="dxa"/>
              <w:right w:w="0" w:type="dxa"/>
            </w:tcMar>
            <w:vAlign w:val="center"/>
          </w:tcPr>
          <w:p w14:paraId="3EA101E3">
            <w:pPr>
              <w:pStyle w:val="11"/>
              <w:bidi w:val="0"/>
              <w:jc w:val="center"/>
              <w:rPr>
                <w:rFonts w:hint="eastAsia"/>
                <w:b/>
                <w:bCs/>
                <w:color w:val="000000"/>
                <w:lang w:val="zh-CN"/>
              </w:rPr>
            </w:pPr>
            <w:r>
              <w:rPr>
                <w:rFonts w:hint="eastAsia"/>
                <w:b/>
                <w:bCs/>
                <w:color w:val="000000"/>
                <w:lang w:val="zh-CN"/>
              </w:rPr>
              <w:t>序号</w:t>
            </w:r>
          </w:p>
        </w:tc>
        <w:tc>
          <w:tcPr>
            <w:tcW w:w="1184" w:type="pct"/>
            <w:vMerge w:val="restart"/>
            <w:shd w:val="clear" w:color="auto" w:fill="FFFFFF"/>
            <w:noWrap w:val="0"/>
            <w:tcMar>
              <w:top w:w="0" w:type="dxa"/>
              <w:left w:w="0" w:type="dxa"/>
              <w:bottom w:w="0" w:type="dxa"/>
              <w:right w:w="0" w:type="dxa"/>
            </w:tcMar>
            <w:vAlign w:val="center"/>
          </w:tcPr>
          <w:p w14:paraId="1E4DA327">
            <w:pPr>
              <w:pStyle w:val="11"/>
              <w:bidi w:val="0"/>
              <w:jc w:val="center"/>
              <w:rPr>
                <w:rFonts w:hint="eastAsia"/>
                <w:b/>
                <w:bCs/>
                <w:color w:val="000000"/>
                <w:lang w:val="zh-CN"/>
              </w:rPr>
            </w:pPr>
            <w:r>
              <w:rPr>
                <w:rFonts w:hint="eastAsia"/>
                <w:b/>
                <w:bCs/>
                <w:color w:val="000000"/>
                <w:lang w:val="zh-CN"/>
              </w:rPr>
              <w:t>路段名称</w:t>
            </w:r>
          </w:p>
        </w:tc>
        <w:tc>
          <w:tcPr>
            <w:tcW w:w="900" w:type="pct"/>
            <w:vMerge w:val="restart"/>
            <w:shd w:val="clear" w:color="auto" w:fill="FFFFFF"/>
            <w:noWrap w:val="0"/>
            <w:tcMar>
              <w:top w:w="0" w:type="dxa"/>
              <w:left w:w="0" w:type="dxa"/>
              <w:bottom w:w="0" w:type="dxa"/>
              <w:right w:w="0" w:type="dxa"/>
            </w:tcMar>
            <w:vAlign w:val="center"/>
          </w:tcPr>
          <w:p w14:paraId="095C6C54">
            <w:pPr>
              <w:pStyle w:val="11"/>
              <w:bidi w:val="0"/>
              <w:jc w:val="center"/>
              <w:rPr>
                <w:rFonts w:hint="eastAsia"/>
                <w:b/>
                <w:bCs/>
                <w:color w:val="000000"/>
                <w:lang w:val="zh-CN"/>
              </w:rPr>
            </w:pPr>
            <w:r>
              <w:rPr>
                <w:rFonts w:hint="eastAsia"/>
                <w:b/>
                <w:bCs/>
                <w:color w:val="000000"/>
                <w:lang w:val="zh-CN"/>
              </w:rPr>
              <w:t>路段长度（m）</w:t>
            </w:r>
          </w:p>
        </w:tc>
        <w:tc>
          <w:tcPr>
            <w:tcW w:w="540" w:type="pct"/>
            <w:vMerge w:val="restart"/>
            <w:shd w:val="clear" w:color="auto" w:fill="FFFFFF"/>
            <w:noWrap w:val="0"/>
            <w:tcMar>
              <w:top w:w="0" w:type="dxa"/>
              <w:left w:w="0" w:type="dxa"/>
              <w:bottom w:w="0" w:type="dxa"/>
              <w:right w:w="0" w:type="dxa"/>
            </w:tcMar>
            <w:vAlign w:val="center"/>
          </w:tcPr>
          <w:p w14:paraId="6526FCBB">
            <w:pPr>
              <w:pStyle w:val="11"/>
              <w:bidi w:val="0"/>
              <w:jc w:val="center"/>
              <w:rPr>
                <w:rFonts w:hint="eastAsia"/>
                <w:b/>
                <w:bCs/>
                <w:color w:val="000000"/>
                <w:lang w:val="zh-CN"/>
              </w:rPr>
            </w:pPr>
            <w:r>
              <w:rPr>
                <w:rFonts w:hint="eastAsia"/>
                <w:b/>
                <w:bCs/>
                <w:color w:val="000000"/>
                <w:lang w:val="zh-CN"/>
              </w:rPr>
              <w:t>路段宽度</w:t>
            </w:r>
          </w:p>
        </w:tc>
        <w:tc>
          <w:tcPr>
            <w:tcW w:w="1126" w:type="pct"/>
            <w:vMerge w:val="restart"/>
            <w:shd w:val="clear" w:color="auto" w:fill="FFFFFF"/>
            <w:noWrap w:val="0"/>
            <w:tcMar>
              <w:top w:w="0" w:type="dxa"/>
              <w:left w:w="0" w:type="dxa"/>
              <w:bottom w:w="0" w:type="dxa"/>
              <w:right w:w="0" w:type="dxa"/>
            </w:tcMar>
            <w:vAlign w:val="center"/>
          </w:tcPr>
          <w:p w14:paraId="4705585B">
            <w:pPr>
              <w:pStyle w:val="11"/>
              <w:bidi w:val="0"/>
              <w:jc w:val="center"/>
              <w:rPr>
                <w:rFonts w:hint="eastAsia"/>
                <w:b/>
                <w:bCs/>
                <w:color w:val="000000"/>
                <w:lang w:val="zh-CN"/>
              </w:rPr>
            </w:pPr>
            <w:r>
              <w:rPr>
                <w:rFonts w:hint="eastAsia"/>
                <w:b/>
                <w:bCs/>
                <w:color w:val="000000"/>
                <w:lang w:val="zh-CN"/>
              </w:rPr>
              <w:t>平均车流量（辆/小时）</w:t>
            </w:r>
          </w:p>
        </w:tc>
        <w:tc>
          <w:tcPr>
            <w:tcW w:w="833" w:type="pct"/>
            <w:shd w:val="clear" w:color="auto" w:fill="FFFFFF"/>
            <w:noWrap w:val="0"/>
            <w:tcMar>
              <w:top w:w="0" w:type="dxa"/>
              <w:left w:w="0" w:type="dxa"/>
              <w:bottom w:w="0" w:type="dxa"/>
              <w:right w:w="0" w:type="dxa"/>
            </w:tcMar>
            <w:vAlign w:val="center"/>
          </w:tcPr>
          <w:p w14:paraId="7AC3EF56">
            <w:pPr>
              <w:pStyle w:val="11"/>
              <w:bidi w:val="0"/>
              <w:jc w:val="center"/>
              <w:rPr>
                <w:rFonts w:hint="eastAsia"/>
                <w:b/>
                <w:bCs/>
                <w:color w:val="000000"/>
                <w:lang w:val="zh-CN"/>
              </w:rPr>
            </w:pPr>
            <w:r>
              <w:rPr>
                <w:rFonts w:hint="eastAsia"/>
                <w:b/>
                <w:bCs/>
                <w:color w:val="000000"/>
                <w:lang w:val="zh-CN"/>
              </w:rPr>
              <w:t>等效声级</w:t>
            </w:r>
          </w:p>
        </w:tc>
      </w:tr>
      <w:tr w14:paraId="50AE6C9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trPr>
        <w:tc>
          <w:tcPr>
            <w:tcW w:w="415" w:type="pct"/>
            <w:vMerge w:val="continue"/>
            <w:shd w:val="clear" w:color="auto" w:fill="FFFFFF"/>
            <w:noWrap w:val="0"/>
            <w:vAlign w:val="center"/>
          </w:tcPr>
          <w:p w14:paraId="3062F513">
            <w:pPr>
              <w:pStyle w:val="11"/>
              <w:bidi w:val="0"/>
              <w:jc w:val="center"/>
              <w:rPr>
                <w:rFonts w:hint="eastAsia"/>
                <w:color w:val="000000"/>
              </w:rPr>
            </w:pPr>
          </w:p>
        </w:tc>
        <w:tc>
          <w:tcPr>
            <w:tcW w:w="1184" w:type="pct"/>
            <w:vMerge w:val="continue"/>
            <w:shd w:val="clear" w:color="auto" w:fill="FFFFFF"/>
            <w:noWrap w:val="0"/>
            <w:vAlign w:val="center"/>
          </w:tcPr>
          <w:p w14:paraId="628299B7">
            <w:pPr>
              <w:pStyle w:val="11"/>
              <w:bidi w:val="0"/>
              <w:jc w:val="center"/>
              <w:rPr>
                <w:rFonts w:hint="eastAsia"/>
                <w:color w:val="000000"/>
              </w:rPr>
            </w:pPr>
          </w:p>
        </w:tc>
        <w:tc>
          <w:tcPr>
            <w:tcW w:w="900" w:type="pct"/>
            <w:vMerge w:val="continue"/>
            <w:shd w:val="clear" w:color="auto" w:fill="FFFFFF"/>
            <w:noWrap w:val="0"/>
            <w:vAlign w:val="center"/>
          </w:tcPr>
          <w:p w14:paraId="151084D1">
            <w:pPr>
              <w:pStyle w:val="11"/>
              <w:bidi w:val="0"/>
              <w:jc w:val="center"/>
              <w:rPr>
                <w:rFonts w:hint="eastAsia"/>
                <w:color w:val="000000"/>
              </w:rPr>
            </w:pPr>
          </w:p>
        </w:tc>
        <w:tc>
          <w:tcPr>
            <w:tcW w:w="540" w:type="pct"/>
            <w:vMerge w:val="continue"/>
            <w:shd w:val="clear" w:color="auto" w:fill="FFFFFF"/>
            <w:noWrap w:val="0"/>
            <w:vAlign w:val="center"/>
          </w:tcPr>
          <w:p w14:paraId="2F11E049">
            <w:pPr>
              <w:pStyle w:val="11"/>
              <w:bidi w:val="0"/>
              <w:jc w:val="center"/>
              <w:rPr>
                <w:rFonts w:hint="eastAsia"/>
                <w:color w:val="000000"/>
              </w:rPr>
            </w:pPr>
          </w:p>
        </w:tc>
        <w:tc>
          <w:tcPr>
            <w:tcW w:w="1126" w:type="pct"/>
            <w:vMerge w:val="continue"/>
            <w:shd w:val="clear" w:color="auto" w:fill="FFFFFF"/>
            <w:noWrap w:val="0"/>
            <w:vAlign w:val="center"/>
          </w:tcPr>
          <w:p w14:paraId="66FEB9D9">
            <w:pPr>
              <w:pStyle w:val="11"/>
              <w:bidi w:val="0"/>
              <w:jc w:val="center"/>
              <w:rPr>
                <w:rFonts w:hint="eastAsia"/>
                <w:color w:val="000000"/>
              </w:rPr>
            </w:pPr>
          </w:p>
        </w:tc>
        <w:tc>
          <w:tcPr>
            <w:tcW w:w="833" w:type="pct"/>
            <w:shd w:val="clear" w:color="auto" w:fill="FFFFFF"/>
            <w:noWrap w:val="0"/>
            <w:tcMar>
              <w:top w:w="0" w:type="dxa"/>
              <w:left w:w="0" w:type="dxa"/>
              <w:bottom w:w="0" w:type="dxa"/>
              <w:right w:w="0" w:type="dxa"/>
            </w:tcMar>
            <w:vAlign w:val="center"/>
          </w:tcPr>
          <w:p w14:paraId="313CDF82">
            <w:pPr>
              <w:pStyle w:val="11"/>
              <w:bidi w:val="0"/>
              <w:jc w:val="center"/>
              <w:rPr>
                <w:rFonts w:hint="eastAsia"/>
                <w:color w:val="000000"/>
                <w:lang w:val="zh-CN"/>
              </w:rPr>
            </w:pPr>
            <w:r>
              <w:rPr>
                <w:rFonts w:hint="eastAsia"/>
                <w:color w:val="000000"/>
                <w:lang w:val="zh-CN"/>
              </w:rPr>
              <w:t>[dB（A）]</w:t>
            </w:r>
          </w:p>
        </w:tc>
      </w:tr>
      <w:tr w14:paraId="2C56D33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415" w:type="pct"/>
            <w:shd w:val="clear" w:color="auto" w:fill="FFFFFF"/>
            <w:noWrap w:val="0"/>
            <w:tcMar>
              <w:top w:w="0" w:type="dxa"/>
              <w:left w:w="57" w:type="dxa"/>
              <w:bottom w:w="0" w:type="dxa"/>
              <w:right w:w="57" w:type="dxa"/>
            </w:tcMar>
            <w:vAlign w:val="center"/>
          </w:tcPr>
          <w:p w14:paraId="575AF83D">
            <w:pPr>
              <w:pStyle w:val="11"/>
              <w:bidi w:val="0"/>
              <w:jc w:val="center"/>
              <w:rPr>
                <w:rFonts w:hint="eastAsia"/>
                <w:color w:val="000000"/>
                <w:lang w:val="zh-CN"/>
              </w:rPr>
            </w:pPr>
            <w:r>
              <w:rPr>
                <w:rFonts w:hint="eastAsia"/>
                <w:color w:val="000000"/>
                <w:lang w:val="zh-CN"/>
              </w:rPr>
              <w:t>1</w:t>
            </w:r>
          </w:p>
        </w:tc>
        <w:tc>
          <w:tcPr>
            <w:tcW w:w="1184" w:type="pct"/>
            <w:shd w:val="clear" w:color="auto" w:fill="FFFFFF"/>
            <w:noWrap w:val="0"/>
            <w:tcMar>
              <w:top w:w="0" w:type="dxa"/>
              <w:left w:w="57" w:type="dxa"/>
              <w:bottom w:w="0" w:type="dxa"/>
              <w:right w:w="57" w:type="dxa"/>
            </w:tcMar>
            <w:vAlign w:val="center"/>
          </w:tcPr>
          <w:p w14:paraId="4C122B50">
            <w:pPr>
              <w:pStyle w:val="11"/>
              <w:bidi w:val="0"/>
              <w:jc w:val="center"/>
              <w:rPr>
                <w:rFonts w:hint="eastAsia"/>
                <w:color w:val="000000"/>
                <w:lang w:val="zh-CN"/>
              </w:rPr>
            </w:pPr>
            <w:r>
              <w:rPr>
                <w:rFonts w:hint="eastAsia"/>
                <w:color w:val="000000"/>
                <w:lang w:val="zh-CN"/>
              </w:rPr>
              <w:t>雄东路（主）</w:t>
            </w:r>
          </w:p>
        </w:tc>
        <w:tc>
          <w:tcPr>
            <w:tcW w:w="900" w:type="pct"/>
            <w:shd w:val="clear" w:color="auto" w:fill="FFFFFF"/>
            <w:noWrap w:val="0"/>
            <w:tcMar>
              <w:top w:w="0" w:type="dxa"/>
              <w:left w:w="57" w:type="dxa"/>
              <w:bottom w:w="0" w:type="dxa"/>
              <w:right w:w="57" w:type="dxa"/>
            </w:tcMar>
            <w:vAlign w:val="center"/>
          </w:tcPr>
          <w:p w14:paraId="756972F9">
            <w:pPr>
              <w:pStyle w:val="11"/>
              <w:bidi w:val="0"/>
              <w:jc w:val="center"/>
              <w:rPr>
                <w:rFonts w:hint="eastAsia"/>
                <w:color w:val="000000"/>
                <w:lang w:val="zh-CN"/>
              </w:rPr>
            </w:pPr>
            <w:r>
              <w:rPr>
                <w:rFonts w:hint="eastAsia"/>
                <w:color w:val="000000"/>
                <w:lang w:val="zh-CN"/>
              </w:rPr>
              <w:t>2300</w:t>
            </w:r>
          </w:p>
        </w:tc>
        <w:tc>
          <w:tcPr>
            <w:tcW w:w="540" w:type="pct"/>
            <w:shd w:val="clear" w:color="auto" w:fill="FFFFFF"/>
            <w:noWrap w:val="0"/>
            <w:tcMar>
              <w:top w:w="0" w:type="dxa"/>
              <w:left w:w="57" w:type="dxa"/>
              <w:bottom w:w="0" w:type="dxa"/>
              <w:right w:w="57" w:type="dxa"/>
            </w:tcMar>
            <w:vAlign w:val="center"/>
          </w:tcPr>
          <w:p w14:paraId="2E2B9DF7">
            <w:pPr>
              <w:pStyle w:val="11"/>
              <w:bidi w:val="0"/>
              <w:jc w:val="center"/>
              <w:rPr>
                <w:rFonts w:hint="eastAsia"/>
                <w:color w:val="000000"/>
                <w:lang w:val="zh-CN"/>
              </w:rPr>
            </w:pPr>
            <w:r>
              <w:rPr>
                <w:rFonts w:hint="eastAsia"/>
                <w:color w:val="000000"/>
                <w:lang w:val="zh-CN"/>
              </w:rPr>
              <w:t>25</w:t>
            </w:r>
          </w:p>
        </w:tc>
        <w:tc>
          <w:tcPr>
            <w:tcW w:w="1126" w:type="pct"/>
            <w:shd w:val="clear" w:color="auto" w:fill="FFFFFF"/>
            <w:noWrap w:val="0"/>
            <w:tcMar>
              <w:top w:w="0" w:type="dxa"/>
              <w:left w:w="57" w:type="dxa"/>
              <w:bottom w:w="0" w:type="dxa"/>
              <w:right w:w="57" w:type="dxa"/>
            </w:tcMar>
            <w:vAlign w:val="center"/>
          </w:tcPr>
          <w:p w14:paraId="7D3487FF">
            <w:pPr>
              <w:pStyle w:val="11"/>
              <w:bidi w:val="0"/>
              <w:jc w:val="center"/>
              <w:rPr>
                <w:rFonts w:hint="eastAsia"/>
                <w:color w:val="000000"/>
                <w:lang w:val="zh-CN"/>
              </w:rPr>
            </w:pPr>
            <w:r>
              <w:rPr>
                <w:rFonts w:hint="eastAsia"/>
                <w:color w:val="000000"/>
                <w:lang w:val="zh-CN"/>
              </w:rPr>
              <w:t>2070</w:t>
            </w:r>
          </w:p>
        </w:tc>
        <w:tc>
          <w:tcPr>
            <w:tcW w:w="833" w:type="pct"/>
            <w:shd w:val="clear" w:color="auto" w:fill="FFFFFF"/>
            <w:noWrap w:val="0"/>
            <w:tcMar>
              <w:top w:w="0" w:type="dxa"/>
              <w:left w:w="57" w:type="dxa"/>
              <w:bottom w:w="0" w:type="dxa"/>
              <w:right w:w="57" w:type="dxa"/>
            </w:tcMar>
            <w:vAlign w:val="center"/>
          </w:tcPr>
          <w:p w14:paraId="284FC8B5">
            <w:pPr>
              <w:pStyle w:val="11"/>
              <w:bidi w:val="0"/>
              <w:jc w:val="center"/>
              <w:rPr>
                <w:rFonts w:hint="eastAsia"/>
                <w:color w:val="000000"/>
                <w:lang w:val="zh-CN"/>
              </w:rPr>
            </w:pPr>
            <w:r>
              <w:rPr>
                <w:rFonts w:hint="eastAsia"/>
                <w:color w:val="000000"/>
                <w:lang w:val="zh-CN"/>
              </w:rPr>
              <w:t>68.7</w:t>
            </w:r>
          </w:p>
        </w:tc>
      </w:tr>
      <w:tr w14:paraId="4CF2F92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415" w:type="pct"/>
            <w:shd w:val="clear" w:color="auto" w:fill="FFFFFF"/>
            <w:noWrap w:val="0"/>
            <w:tcMar>
              <w:top w:w="0" w:type="dxa"/>
              <w:left w:w="57" w:type="dxa"/>
              <w:bottom w:w="0" w:type="dxa"/>
              <w:right w:w="57" w:type="dxa"/>
            </w:tcMar>
            <w:vAlign w:val="center"/>
          </w:tcPr>
          <w:p w14:paraId="71C0881A">
            <w:pPr>
              <w:pStyle w:val="11"/>
              <w:bidi w:val="0"/>
              <w:jc w:val="center"/>
              <w:rPr>
                <w:rFonts w:hint="eastAsia"/>
                <w:color w:val="000000"/>
                <w:lang w:val="zh-CN"/>
              </w:rPr>
            </w:pPr>
            <w:r>
              <w:rPr>
                <w:rFonts w:hint="eastAsia"/>
                <w:color w:val="000000"/>
                <w:lang w:val="zh-CN"/>
              </w:rPr>
              <w:t>2</w:t>
            </w:r>
          </w:p>
        </w:tc>
        <w:tc>
          <w:tcPr>
            <w:tcW w:w="1184" w:type="pct"/>
            <w:shd w:val="clear" w:color="auto" w:fill="FFFFFF"/>
            <w:noWrap w:val="0"/>
            <w:tcMar>
              <w:top w:w="0" w:type="dxa"/>
              <w:left w:w="57" w:type="dxa"/>
              <w:bottom w:w="0" w:type="dxa"/>
              <w:right w:w="57" w:type="dxa"/>
            </w:tcMar>
            <w:vAlign w:val="center"/>
          </w:tcPr>
          <w:p w14:paraId="2F0EA37C">
            <w:pPr>
              <w:pStyle w:val="11"/>
              <w:bidi w:val="0"/>
              <w:jc w:val="center"/>
              <w:rPr>
                <w:rFonts w:hint="eastAsia"/>
                <w:color w:val="000000"/>
                <w:lang w:val="zh-CN"/>
              </w:rPr>
            </w:pPr>
            <w:r>
              <w:rPr>
                <w:rFonts w:hint="eastAsia"/>
                <w:color w:val="000000"/>
                <w:lang w:val="zh-CN"/>
              </w:rPr>
              <w:t>雄中路东段（主）</w:t>
            </w:r>
          </w:p>
        </w:tc>
        <w:tc>
          <w:tcPr>
            <w:tcW w:w="900" w:type="pct"/>
            <w:shd w:val="clear" w:color="auto" w:fill="FFFFFF"/>
            <w:noWrap w:val="0"/>
            <w:tcMar>
              <w:top w:w="0" w:type="dxa"/>
              <w:left w:w="57" w:type="dxa"/>
              <w:bottom w:w="0" w:type="dxa"/>
              <w:right w:w="57" w:type="dxa"/>
            </w:tcMar>
            <w:vAlign w:val="center"/>
          </w:tcPr>
          <w:p w14:paraId="09FD8C84">
            <w:pPr>
              <w:pStyle w:val="11"/>
              <w:bidi w:val="0"/>
              <w:jc w:val="center"/>
              <w:rPr>
                <w:rFonts w:hint="eastAsia"/>
                <w:color w:val="000000"/>
                <w:lang w:val="zh-CN"/>
              </w:rPr>
            </w:pPr>
            <w:r>
              <w:rPr>
                <w:rFonts w:hint="eastAsia"/>
                <w:color w:val="000000"/>
                <w:lang w:val="zh-CN"/>
              </w:rPr>
              <w:t>2000</w:t>
            </w:r>
          </w:p>
        </w:tc>
        <w:tc>
          <w:tcPr>
            <w:tcW w:w="540" w:type="pct"/>
            <w:shd w:val="clear" w:color="auto" w:fill="FFFFFF"/>
            <w:noWrap w:val="0"/>
            <w:tcMar>
              <w:top w:w="0" w:type="dxa"/>
              <w:left w:w="57" w:type="dxa"/>
              <w:bottom w:w="0" w:type="dxa"/>
              <w:right w:w="57" w:type="dxa"/>
            </w:tcMar>
            <w:vAlign w:val="center"/>
          </w:tcPr>
          <w:p w14:paraId="33AAC765">
            <w:pPr>
              <w:pStyle w:val="11"/>
              <w:bidi w:val="0"/>
              <w:jc w:val="center"/>
              <w:rPr>
                <w:rFonts w:hint="eastAsia"/>
                <w:color w:val="000000"/>
                <w:lang w:val="zh-CN"/>
              </w:rPr>
            </w:pPr>
            <w:r>
              <w:rPr>
                <w:rFonts w:hint="eastAsia"/>
                <w:color w:val="000000"/>
                <w:lang w:val="zh-CN"/>
              </w:rPr>
              <w:t>25</w:t>
            </w:r>
          </w:p>
        </w:tc>
        <w:tc>
          <w:tcPr>
            <w:tcW w:w="1126" w:type="pct"/>
            <w:shd w:val="clear" w:color="auto" w:fill="FFFFFF"/>
            <w:noWrap w:val="0"/>
            <w:tcMar>
              <w:top w:w="0" w:type="dxa"/>
              <w:left w:w="57" w:type="dxa"/>
              <w:bottom w:w="0" w:type="dxa"/>
              <w:right w:w="57" w:type="dxa"/>
            </w:tcMar>
            <w:vAlign w:val="center"/>
          </w:tcPr>
          <w:p w14:paraId="0734A2C0">
            <w:pPr>
              <w:pStyle w:val="11"/>
              <w:bidi w:val="0"/>
              <w:jc w:val="center"/>
              <w:rPr>
                <w:rFonts w:hint="eastAsia"/>
                <w:color w:val="000000"/>
                <w:lang w:val="zh-CN"/>
              </w:rPr>
            </w:pPr>
            <w:r>
              <w:rPr>
                <w:rFonts w:hint="eastAsia"/>
                <w:color w:val="000000"/>
                <w:lang w:val="zh-CN"/>
              </w:rPr>
              <w:t>1350</w:t>
            </w:r>
          </w:p>
        </w:tc>
        <w:tc>
          <w:tcPr>
            <w:tcW w:w="833" w:type="pct"/>
            <w:shd w:val="clear" w:color="auto" w:fill="FFFFFF"/>
            <w:noWrap w:val="0"/>
            <w:tcMar>
              <w:top w:w="0" w:type="dxa"/>
              <w:left w:w="57" w:type="dxa"/>
              <w:bottom w:w="0" w:type="dxa"/>
              <w:right w:w="57" w:type="dxa"/>
            </w:tcMar>
            <w:vAlign w:val="center"/>
          </w:tcPr>
          <w:p w14:paraId="373B27B2">
            <w:pPr>
              <w:pStyle w:val="11"/>
              <w:bidi w:val="0"/>
              <w:jc w:val="center"/>
              <w:rPr>
                <w:rFonts w:hint="eastAsia"/>
                <w:color w:val="000000"/>
                <w:lang w:val="zh-CN"/>
              </w:rPr>
            </w:pPr>
            <w:r>
              <w:rPr>
                <w:rFonts w:hint="eastAsia"/>
                <w:color w:val="000000"/>
                <w:lang w:val="zh-CN"/>
              </w:rPr>
              <w:t>65.7</w:t>
            </w:r>
          </w:p>
        </w:tc>
      </w:tr>
      <w:tr w14:paraId="2119292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415" w:type="pct"/>
            <w:shd w:val="clear" w:color="auto" w:fill="FFFFFF"/>
            <w:noWrap w:val="0"/>
            <w:tcMar>
              <w:top w:w="0" w:type="dxa"/>
              <w:left w:w="57" w:type="dxa"/>
              <w:bottom w:w="0" w:type="dxa"/>
              <w:right w:w="57" w:type="dxa"/>
            </w:tcMar>
            <w:vAlign w:val="center"/>
          </w:tcPr>
          <w:p w14:paraId="1AA36520">
            <w:pPr>
              <w:pStyle w:val="11"/>
              <w:bidi w:val="0"/>
              <w:jc w:val="center"/>
              <w:rPr>
                <w:rFonts w:hint="eastAsia"/>
                <w:color w:val="000000"/>
                <w:lang w:val="zh-CN"/>
              </w:rPr>
            </w:pPr>
            <w:r>
              <w:rPr>
                <w:rFonts w:hint="eastAsia"/>
                <w:color w:val="000000"/>
                <w:lang w:val="zh-CN"/>
              </w:rPr>
              <w:t>3</w:t>
            </w:r>
          </w:p>
        </w:tc>
        <w:tc>
          <w:tcPr>
            <w:tcW w:w="1184" w:type="pct"/>
            <w:shd w:val="clear" w:color="auto" w:fill="FFFFFF"/>
            <w:noWrap w:val="0"/>
            <w:tcMar>
              <w:top w:w="0" w:type="dxa"/>
              <w:left w:w="57" w:type="dxa"/>
              <w:bottom w:w="0" w:type="dxa"/>
              <w:right w:w="57" w:type="dxa"/>
            </w:tcMar>
            <w:vAlign w:val="center"/>
          </w:tcPr>
          <w:p w14:paraId="7C88BE11">
            <w:pPr>
              <w:pStyle w:val="11"/>
              <w:bidi w:val="0"/>
              <w:jc w:val="center"/>
              <w:rPr>
                <w:rFonts w:hint="eastAsia"/>
                <w:color w:val="000000"/>
                <w:lang w:val="zh-CN"/>
              </w:rPr>
            </w:pPr>
            <w:r>
              <w:rPr>
                <w:rFonts w:hint="eastAsia"/>
                <w:color w:val="000000"/>
                <w:lang w:val="zh-CN"/>
              </w:rPr>
              <w:t>雄中路西段（主）</w:t>
            </w:r>
          </w:p>
        </w:tc>
        <w:tc>
          <w:tcPr>
            <w:tcW w:w="900" w:type="pct"/>
            <w:shd w:val="clear" w:color="auto" w:fill="FFFFFF"/>
            <w:noWrap w:val="0"/>
            <w:tcMar>
              <w:top w:w="0" w:type="dxa"/>
              <w:left w:w="57" w:type="dxa"/>
              <w:bottom w:w="0" w:type="dxa"/>
              <w:right w:w="57" w:type="dxa"/>
            </w:tcMar>
            <w:vAlign w:val="center"/>
          </w:tcPr>
          <w:p w14:paraId="6D12EFFE">
            <w:pPr>
              <w:pStyle w:val="11"/>
              <w:bidi w:val="0"/>
              <w:jc w:val="center"/>
              <w:rPr>
                <w:rFonts w:hint="eastAsia"/>
                <w:color w:val="000000"/>
                <w:lang w:val="zh-CN"/>
              </w:rPr>
            </w:pPr>
            <w:r>
              <w:rPr>
                <w:rFonts w:hint="eastAsia"/>
                <w:color w:val="000000"/>
                <w:lang w:val="zh-CN"/>
              </w:rPr>
              <w:t>1300</w:t>
            </w:r>
          </w:p>
        </w:tc>
        <w:tc>
          <w:tcPr>
            <w:tcW w:w="540" w:type="pct"/>
            <w:shd w:val="clear" w:color="auto" w:fill="FFFFFF"/>
            <w:noWrap w:val="0"/>
            <w:tcMar>
              <w:top w:w="0" w:type="dxa"/>
              <w:left w:w="57" w:type="dxa"/>
              <w:bottom w:w="0" w:type="dxa"/>
              <w:right w:w="57" w:type="dxa"/>
            </w:tcMar>
            <w:vAlign w:val="center"/>
          </w:tcPr>
          <w:p w14:paraId="2B292C47">
            <w:pPr>
              <w:pStyle w:val="11"/>
              <w:bidi w:val="0"/>
              <w:jc w:val="center"/>
              <w:rPr>
                <w:rFonts w:hint="eastAsia"/>
                <w:color w:val="000000"/>
                <w:lang w:val="zh-CN"/>
              </w:rPr>
            </w:pPr>
            <w:r>
              <w:rPr>
                <w:rFonts w:hint="eastAsia"/>
                <w:color w:val="000000"/>
                <w:lang w:val="zh-CN"/>
              </w:rPr>
              <w:t>25</w:t>
            </w:r>
          </w:p>
        </w:tc>
        <w:tc>
          <w:tcPr>
            <w:tcW w:w="1126" w:type="pct"/>
            <w:shd w:val="clear" w:color="auto" w:fill="FFFFFF"/>
            <w:noWrap w:val="0"/>
            <w:tcMar>
              <w:top w:w="0" w:type="dxa"/>
              <w:left w:w="57" w:type="dxa"/>
              <w:bottom w:w="0" w:type="dxa"/>
              <w:right w:w="57" w:type="dxa"/>
            </w:tcMar>
            <w:vAlign w:val="center"/>
          </w:tcPr>
          <w:p w14:paraId="18DFF762">
            <w:pPr>
              <w:pStyle w:val="11"/>
              <w:bidi w:val="0"/>
              <w:jc w:val="center"/>
              <w:rPr>
                <w:rFonts w:hint="eastAsia"/>
                <w:color w:val="000000"/>
                <w:lang w:val="zh-CN"/>
              </w:rPr>
            </w:pPr>
            <w:r>
              <w:rPr>
                <w:rFonts w:hint="eastAsia"/>
                <w:color w:val="000000"/>
                <w:lang w:val="zh-CN"/>
              </w:rPr>
              <w:t>1605</w:t>
            </w:r>
          </w:p>
        </w:tc>
        <w:tc>
          <w:tcPr>
            <w:tcW w:w="833" w:type="pct"/>
            <w:shd w:val="clear" w:color="auto" w:fill="FFFFFF"/>
            <w:noWrap w:val="0"/>
            <w:tcMar>
              <w:top w:w="0" w:type="dxa"/>
              <w:left w:w="57" w:type="dxa"/>
              <w:bottom w:w="0" w:type="dxa"/>
              <w:right w:w="57" w:type="dxa"/>
            </w:tcMar>
            <w:vAlign w:val="center"/>
          </w:tcPr>
          <w:p w14:paraId="2E8C5C48">
            <w:pPr>
              <w:pStyle w:val="11"/>
              <w:bidi w:val="0"/>
              <w:jc w:val="center"/>
              <w:rPr>
                <w:rFonts w:hint="eastAsia"/>
                <w:color w:val="000000"/>
                <w:lang w:val="zh-CN"/>
              </w:rPr>
            </w:pPr>
            <w:r>
              <w:rPr>
                <w:rFonts w:hint="eastAsia"/>
                <w:color w:val="000000"/>
                <w:lang w:val="zh-CN"/>
              </w:rPr>
              <w:t>66.4</w:t>
            </w:r>
          </w:p>
        </w:tc>
      </w:tr>
      <w:tr w14:paraId="1851FC2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415" w:type="pct"/>
            <w:shd w:val="clear" w:color="auto" w:fill="FFFFFF"/>
            <w:noWrap w:val="0"/>
            <w:tcMar>
              <w:top w:w="0" w:type="dxa"/>
              <w:left w:w="57" w:type="dxa"/>
              <w:bottom w:w="0" w:type="dxa"/>
              <w:right w:w="57" w:type="dxa"/>
            </w:tcMar>
            <w:vAlign w:val="center"/>
          </w:tcPr>
          <w:p w14:paraId="71602398">
            <w:pPr>
              <w:pStyle w:val="11"/>
              <w:bidi w:val="0"/>
              <w:jc w:val="center"/>
              <w:rPr>
                <w:rFonts w:hint="eastAsia"/>
                <w:color w:val="000000"/>
                <w:lang w:val="zh-CN"/>
              </w:rPr>
            </w:pPr>
            <w:r>
              <w:rPr>
                <w:rFonts w:hint="eastAsia"/>
                <w:color w:val="000000"/>
                <w:lang w:val="zh-CN"/>
              </w:rPr>
              <w:t>4</w:t>
            </w:r>
          </w:p>
        </w:tc>
        <w:tc>
          <w:tcPr>
            <w:tcW w:w="1184" w:type="pct"/>
            <w:shd w:val="clear" w:color="auto" w:fill="FFFFFF"/>
            <w:noWrap w:val="0"/>
            <w:tcMar>
              <w:top w:w="0" w:type="dxa"/>
              <w:left w:w="57" w:type="dxa"/>
              <w:bottom w:w="0" w:type="dxa"/>
              <w:right w:w="57" w:type="dxa"/>
            </w:tcMar>
            <w:vAlign w:val="center"/>
          </w:tcPr>
          <w:p w14:paraId="30D9E161">
            <w:pPr>
              <w:pStyle w:val="11"/>
              <w:bidi w:val="0"/>
              <w:jc w:val="center"/>
              <w:rPr>
                <w:rFonts w:hint="eastAsia"/>
                <w:color w:val="000000"/>
                <w:lang w:val="zh-CN"/>
              </w:rPr>
            </w:pPr>
            <w:r>
              <w:rPr>
                <w:rFonts w:hint="eastAsia"/>
                <w:color w:val="000000"/>
                <w:lang w:val="zh-CN"/>
              </w:rPr>
              <w:t>雄南路（主）</w:t>
            </w:r>
          </w:p>
        </w:tc>
        <w:tc>
          <w:tcPr>
            <w:tcW w:w="900" w:type="pct"/>
            <w:shd w:val="clear" w:color="auto" w:fill="FFFFFF"/>
            <w:noWrap w:val="0"/>
            <w:tcMar>
              <w:top w:w="0" w:type="dxa"/>
              <w:left w:w="57" w:type="dxa"/>
              <w:bottom w:w="0" w:type="dxa"/>
              <w:right w:w="57" w:type="dxa"/>
            </w:tcMar>
            <w:vAlign w:val="center"/>
          </w:tcPr>
          <w:p w14:paraId="7B455AA0">
            <w:pPr>
              <w:pStyle w:val="11"/>
              <w:bidi w:val="0"/>
              <w:jc w:val="center"/>
              <w:rPr>
                <w:rFonts w:hint="eastAsia"/>
                <w:color w:val="000000"/>
                <w:lang w:val="zh-CN"/>
              </w:rPr>
            </w:pPr>
            <w:r>
              <w:rPr>
                <w:rFonts w:hint="eastAsia"/>
                <w:color w:val="000000"/>
                <w:lang w:val="zh-CN"/>
              </w:rPr>
              <w:t>3600</w:t>
            </w:r>
          </w:p>
        </w:tc>
        <w:tc>
          <w:tcPr>
            <w:tcW w:w="540" w:type="pct"/>
            <w:shd w:val="clear" w:color="auto" w:fill="FFFFFF"/>
            <w:noWrap w:val="0"/>
            <w:tcMar>
              <w:top w:w="0" w:type="dxa"/>
              <w:left w:w="57" w:type="dxa"/>
              <w:bottom w:w="0" w:type="dxa"/>
              <w:right w:w="57" w:type="dxa"/>
            </w:tcMar>
            <w:vAlign w:val="center"/>
          </w:tcPr>
          <w:p w14:paraId="26947310">
            <w:pPr>
              <w:pStyle w:val="11"/>
              <w:bidi w:val="0"/>
              <w:jc w:val="center"/>
              <w:rPr>
                <w:rFonts w:hint="eastAsia"/>
                <w:color w:val="000000"/>
                <w:lang w:val="zh-CN"/>
              </w:rPr>
            </w:pPr>
            <w:r>
              <w:rPr>
                <w:rFonts w:hint="eastAsia"/>
                <w:color w:val="000000"/>
                <w:lang w:val="zh-CN"/>
              </w:rPr>
              <w:t>25</w:t>
            </w:r>
          </w:p>
        </w:tc>
        <w:tc>
          <w:tcPr>
            <w:tcW w:w="1126" w:type="pct"/>
            <w:shd w:val="clear" w:color="auto" w:fill="FFFFFF"/>
            <w:noWrap w:val="0"/>
            <w:tcMar>
              <w:top w:w="0" w:type="dxa"/>
              <w:left w:w="57" w:type="dxa"/>
              <w:bottom w:w="0" w:type="dxa"/>
              <w:right w:w="57" w:type="dxa"/>
            </w:tcMar>
            <w:vAlign w:val="center"/>
          </w:tcPr>
          <w:p w14:paraId="16E5E974">
            <w:pPr>
              <w:pStyle w:val="11"/>
              <w:bidi w:val="0"/>
              <w:jc w:val="center"/>
              <w:rPr>
                <w:rFonts w:hint="eastAsia"/>
                <w:color w:val="000000"/>
                <w:lang w:val="zh-CN"/>
              </w:rPr>
            </w:pPr>
            <w:r>
              <w:rPr>
                <w:rFonts w:hint="eastAsia"/>
                <w:color w:val="000000"/>
                <w:lang w:val="zh-CN"/>
              </w:rPr>
              <w:t>720</w:t>
            </w:r>
          </w:p>
        </w:tc>
        <w:tc>
          <w:tcPr>
            <w:tcW w:w="833" w:type="pct"/>
            <w:shd w:val="clear" w:color="auto" w:fill="FFFFFF"/>
            <w:noWrap w:val="0"/>
            <w:tcMar>
              <w:top w:w="0" w:type="dxa"/>
              <w:left w:w="57" w:type="dxa"/>
              <w:bottom w:w="0" w:type="dxa"/>
              <w:right w:w="57" w:type="dxa"/>
            </w:tcMar>
            <w:vAlign w:val="center"/>
          </w:tcPr>
          <w:p w14:paraId="6E2FE3E4">
            <w:pPr>
              <w:pStyle w:val="11"/>
              <w:bidi w:val="0"/>
              <w:jc w:val="center"/>
              <w:rPr>
                <w:rFonts w:hint="eastAsia"/>
                <w:color w:val="000000"/>
                <w:lang w:val="zh-CN"/>
              </w:rPr>
            </w:pPr>
            <w:r>
              <w:rPr>
                <w:rFonts w:hint="eastAsia"/>
                <w:color w:val="000000"/>
                <w:lang w:val="zh-CN"/>
              </w:rPr>
              <w:t>62.3</w:t>
            </w:r>
          </w:p>
        </w:tc>
      </w:tr>
      <w:tr w14:paraId="6596484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415" w:type="pct"/>
            <w:shd w:val="clear" w:color="auto" w:fill="FFFFFF"/>
            <w:noWrap w:val="0"/>
            <w:tcMar>
              <w:top w:w="0" w:type="dxa"/>
              <w:left w:w="57" w:type="dxa"/>
              <w:bottom w:w="0" w:type="dxa"/>
              <w:right w:w="57" w:type="dxa"/>
            </w:tcMar>
            <w:vAlign w:val="center"/>
          </w:tcPr>
          <w:p w14:paraId="02E63FC4">
            <w:pPr>
              <w:pStyle w:val="11"/>
              <w:bidi w:val="0"/>
              <w:jc w:val="center"/>
              <w:rPr>
                <w:rFonts w:hint="eastAsia"/>
                <w:color w:val="000000"/>
                <w:lang w:val="zh-CN"/>
              </w:rPr>
            </w:pPr>
            <w:r>
              <w:rPr>
                <w:rFonts w:hint="eastAsia"/>
                <w:color w:val="000000"/>
                <w:lang w:val="zh-CN"/>
              </w:rPr>
              <w:t>5</w:t>
            </w:r>
          </w:p>
        </w:tc>
        <w:tc>
          <w:tcPr>
            <w:tcW w:w="1184" w:type="pct"/>
            <w:shd w:val="clear" w:color="auto" w:fill="FFFFFF"/>
            <w:noWrap w:val="0"/>
            <w:tcMar>
              <w:top w:w="0" w:type="dxa"/>
              <w:left w:w="57" w:type="dxa"/>
              <w:bottom w:w="0" w:type="dxa"/>
              <w:right w:w="57" w:type="dxa"/>
            </w:tcMar>
            <w:vAlign w:val="center"/>
          </w:tcPr>
          <w:p w14:paraId="158FA16A">
            <w:pPr>
              <w:pStyle w:val="11"/>
              <w:bidi w:val="0"/>
              <w:jc w:val="center"/>
              <w:rPr>
                <w:rFonts w:hint="eastAsia"/>
                <w:color w:val="000000"/>
                <w:lang w:val="zh-CN"/>
              </w:rPr>
            </w:pPr>
            <w:r>
              <w:rPr>
                <w:rFonts w:hint="eastAsia"/>
                <w:color w:val="000000"/>
                <w:lang w:val="zh-CN"/>
              </w:rPr>
              <w:t>光明路（次）</w:t>
            </w:r>
          </w:p>
        </w:tc>
        <w:tc>
          <w:tcPr>
            <w:tcW w:w="900" w:type="pct"/>
            <w:shd w:val="clear" w:color="auto" w:fill="FFFFFF"/>
            <w:noWrap w:val="0"/>
            <w:tcMar>
              <w:top w:w="0" w:type="dxa"/>
              <w:left w:w="57" w:type="dxa"/>
              <w:bottom w:w="0" w:type="dxa"/>
              <w:right w:w="57" w:type="dxa"/>
            </w:tcMar>
            <w:vAlign w:val="center"/>
          </w:tcPr>
          <w:p w14:paraId="5183EBA2">
            <w:pPr>
              <w:pStyle w:val="11"/>
              <w:bidi w:val="0"/>
              <w:jc w:val="center"/>
              <w:rPr>
                <w:rFonts w:hint="eastAsia"/>
                <w:color w:val="000000"/>
                <w:lang w:val="zh-CN"/>
              </w:rPr>
            </w:pPr>
            <w:r>
              <w:rPr>
                <w:rFonts w:hint="eastAsia"/>
                <w:color w:val="000000"/>
                <w:lang w:val="zh-CN"/>
              </w:rPr>
              <w:t>1430</w:t>
            </w:r>
          </w:p>
        </w:tc>
        <w:tc>
          <w:tcPr>
            <w:tcW w:w="540" w:type="pct"/>
            <w:shd w:val="clear" w:color="auto" w:fill="FFFFFF"/>
            <w:noWrap w:val="0"/>
            <w:tcMar>
              <w:top w:w="0" w:type="dxa"/>
              <w:left w:w="57" w:type="dxa"/>
              <w:bottom w:w="0" w:type="dxa"/>
              <w:right w:w="57" w:type="dxa"/>
            </w:tcMar>
            <w:vAlign w:val="center"/>
          </w:tcPr>
          <w:p w14:paraId="6F1FA442">
            <w:pPr>
              <w:pStyle w:val="11"/>
              <w:bidi w:val="0"/>
              <w:jc w:val="center"/>
              <w:rPr>
                <w:rFonts w:hint="eastAsia"/>
                <w:color w:val="000000"/>
                <w:lang w:val="zh-CN"/>
              </w:rPr>
            </w:pPr>
            <w:r>
              <w:rPr>
                <w:rFonts w:hint="eastAsia"/>
                <w:color w:val="000000"/>
                <w:lang w:val="zh-CN"/>
              </w:rPr>
              <w:t>19</w:t>
            </w:r>
          </w:p>
        </w:tc>
        <w:tc>
          <w:tcPr>
            <w:tcW w:w="1126" w:type="pct"/>
            <w:shd w:val="clear" w:color="auto" w:fill="FFFFFF"/>
            <w:noWrap w:val="0"/>
            <w:tcMar>
              <w:top w:w="0" w:type="dxa"/>
              <w:left w:w="57" w:type="dxa"/>
              <w:bottom w:w="0" w:type="dxa"/>
              <w:right w:w="57" w:type="dxa"/>
            </w:tcMar>
            <w:vAlign w:val="center"/>
          </w:tcPr>
          <w:p w14:paraId="5367907A">
            <w:pPr>
              <w:pStyle w:val="11"/>
              <w:bidi w:val="0"/>
              <w:jc w:val="center"/>
              <w:rPr>
                <w:rFonts w:hint="eastAsia"/>
                <w:color w:val="000000"/>
                <w:lang w:val="zh-CN"/>
              </w:rPr>
            </w:pPr>
            <w:r>
              <w:rPr>
                <w:rFonts w:hint="eastAsia"/>
                <w:color w:val="000000"/>
                <w:lang w:val="zh-CN"/>
              </w:rPr>
              <w:t>1458</w:t>
            </w:r>
          </w:p>
        </w:tc>
        <w:tc>
          <w:tcPr>
            <w:tcW w:w="833" w:type="pct"/>
            <w:shd w:val="clear" w:color="auto" w:fill="FFFFFF"/>
            <w:noWrap w:val="0"/>
            <w:tcMar>
              <w:top w:w="0" w:type="dxa"/>
              <w:left w:w="57" w:type="dxa"/>
              <w:bottom w:w="0" w:type="dxa"/>
              <w:right w:w="57" w:type="dxa"/>
            </w:tcMar>
            <w:vAlign w:val="center"/>
          </w:tcPr>
          <w:p w14:paraId="065F94B5">
            <w:pPr>
              <w:pStyle w:val="11"/>
              <w:bidi w:val="0"/>
              <w:jc w:val="center"/>
              <w:rPr>
                <w:rFonts w:hint="eastAsia"/>
                <w:color w:val="000000"/>
                <w:lang w:val="zh-CN"/>
              </w:rPr>
            </w:pPr>
            <w:r>
              <w:rPr>
                <w:rFonts w:hint="eastAsia"/>
                <w:color w:val="000000"/>
                <w:lang w:val="zh-CN"/>
              </w:rPr>
              <w:t>67.9</w:t>
            </w:r>
          </w:p>
        </w:tc>
      </w:tr>
      <w:tr w14:paraId="01A6EBD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415" w:type="pct"/>
            <w:shd w:val="clear" w:color="auto" w:fill="FFFFFF"/>
            <w:noWrap w:val="0"/>
            <w:tcMar>
              <w:top w:w="0" w:type="dxa"/>
              <w:left w:w="57" w:type="dxa"/>
              <w:bottom w:w="0" w:type="dxa"/>
              <w:right w:w="57" w:type="dxa"/>
            </w:tcMar>
            <w:vAlign w:val="center"/>
          </w:tcPr>
          <w:p w14:paraId="2106AF0E">
            <w:pPr>
              <w:pStyle w:val="11"/>
              <w:bidi w:val="0"/>
              <w:jc w:val="center"/>
              <w:rPr>
                <w:rFonts w:hint="eastAsia"/>
                <w:color w:val="000000"/>
                <w:lang w:val="zh-CN"/>
              </w:rPr>
            </w:pPr>
            <w:r>
              <w:rPr>
                <w:rFonts w:hint="eastAsia"/>
                <w:color w:val="000000"/>
                <w:lang w:val="zh-CN"/>
              </w:rPr>
              <w:t>6</w:t>
            </w:r>
          </w:p>
        </w:tc>
        <w:tc>
          <w:tcPr>
            <w:tcW w:w="1184" w:type="pct"/>
            <w:shd w:val="clear" w:color="auto" w:fill="FFFFFF"/>
            <w:noWrap w:val="0"/>
            <w:tcMar>
              <w:top w:w="0" w:type="dxa"/>
              <w:left w:w="57" w:type="dxa"/>
              <w:bottom w:w="0" w:type="dxa"/>
              <w:right w:w="57" w:type="dxa"/>
            </w:tcMar>
            <w:vAlign w:val="center"/>
          </w:tcPr>
          <w:p w14:paraId="6E30CA4D">
            <w:pPr>
              <w:pStyle w:val="11"/>
              <w:bidi w:val="0"/>
              <w:jc w:val="center"/>
              <w:rPr>
                <w:rFonts w:hint="eastAsia"/>
                <w:color w:val="000000"/>
                <w:lang w:val="zh-CN"/>
              </w:rPr>
            </w:pPr>
            <w:r>
              <w:rPr>
                <w:rFonts w:hint="eastAsia"/>
                <w:color w:val="000000"/>
                <w:lang w:val="zh-CN"/>
              </w:rPr>
              <w:t>环城路（次）</w:t>
            </w:r>
          </w:p>
        </w:tc>
        <w:tc>
          <w:tcPr>
            <w:tcW w:w="900" w:type="pct"/>
            <w:shd w:val="clear" w:color="auto" w:fill="FFFFFF"/>
            <w:noWrap w:val="0"/>
            <w:tcMar>
              <w:top w:w="0" w:type="dxa"/>
              <w:left w:w="57" w:type="dxa"/>
              <w:bottom w:w="0" w:type="dxa"/>
              <w:right w:w="57" w:type="dxa"/>
            </w:tcMar>
            <w:vAlign w:val="center"/>
          </w:tcPr>
          <w:p w14:paraId="3669DF3B">
            <w:pPr>
              <w:pStyle w:val="11"/>
              <w:bidi w:val="0"/>
              <w:jc w:val="center"/>
              <w:rPr>
                <w:rFonts w:hint="eastAsia"/>
                <w:color w:val="000000"/>
                <w:lang w:val="zh-CN"/>
              </w:rPr>
            </w:pPr>
            <w:r>
              <w:rPr>
                <w:rFonts w:hint="eastAsia"/>
                <w:color w:val="000000"/>
                <w:lang w:val="zh-CN"/>
              </w:rPr>
              <w:t>2500</w:t>
            </w:r>
          </w:p>
        </w:tc>
        <w:tc>
          <w:tcPr>
            <w:tcW w:w="540" w:type="pct"/>
            <w:shd w:val="clear" w:color="auto" w:fill="FFFFFF"/>
            <w:noWrap w:val="0"/>
            <w:tcMar>
              <w:top w:w="0" w:type="dxa"/>
              <w:left w:w="57" w:type="dxa"/>
              <w:bottom w:w="0" w:type="dxa"/>
              <w:right w:w="57" w:type="dxa"/>
            </w:tcMar>
            <w:vAlign w:val="center"/>
          </w:tcPr>
          <w:p w14:paraId="252C999D">
            <w:pPr>
              <w:pStyle w:val="11"/>
              <w:bidi w:val="0"/>
              <w:jc w:val="center"/>
              <w:rPr>
                <w:rFonts w:hint="eastAsia"/>
                <w:color w:val="000000"/>
                <w:lang w:val="zh-CN"/>
              </w:rPr>
            </w:pPr>
            <w:r>
              <w:rPr>
                <w:rFonts w:hint="eastAsia"/>
                <w:color w:val="000000"/>
                <w:lang w:val="zh-CN"/>
              </w:rPr>
              <w:t>20</w:t>
            </w:r>
          </w:p>
        </w:tc>
        <w:tc>
          <w:tcPr>
            <w:tcW w:w="1126" w:type="pct"/>
            <w:shd w:val="clear" w:color="auto" w:fill="FFFFFF"/>
            <w:noWrap w:val="0"/>
            <w:tcMar>
              <w:top w:w="0" w:type="dxa"/>
              <w:left w:w="57" w:type="dxa"/>
              <w:bottom w:w="0" w:type="dxa"/>
              <w:right w:w="57" w:type="dxa"/>
            </w:tcMar>
            <w:vAlign w:val="center"/>
          </w:tcPr>
          <w:p w14:paraId="0226CA4B">
            <w:pPr>
              <w:pStyle w:val="11"/>
              <w:bidi w:val="0"/>
              <w:jc w:val="center"/>
              <w:rPr>
                <w:rFonts w:hint="eastAsia"/>
                <w:color w:val="000000"/>
                <w:lang w:val="zh-CN"/>
              </w:rPr>
            </w:pPr>
            <w:r>
              <w:rPr>
                <w:rFonts w:hint="eastAsia"/>
                <w:color w:val="000000"/>
                <w:lang w:val="zh-CN"/>
              </w:rPr>
              <w:t>1050</w:t>
            </w:r>
          </w:p>
        </w:tc>
        <w:tc>
          <w:tcPr>
            <w:tcW w:w="833" w:type="pct"/>
            <w:shd w:val="clear" w:color="auto" w:fill="FFFFFF"/>
            <w:noWrap w:val="0"/>
            <w:tcMar>
              <w:top w:w="0" w:type="dxa"/>
              <w:left w:w="57" w:type="dxa"/>
              <w:bottom w:w="0" w:type="dxa"/>
              <w:right w:w="57" w:type="dxa"/>
            </w:tcMar>
            <w:vAlign w:val="center"/>
          </w:tcPr>
          <w:p w14:paraId="521D475E">
            <w:pPr>
              <w:pStyle w:val="11"/>
              <w:bidi w:val="0"/>
              <w:jc w:val="center"/>
              <w:rPr>
                <w:rFonts w:hint="eastAsia"/>
                <w:color w:val="000000"/>
                <w:lang w:val="zh-CN"/>
              </w:rPr>
            </w:pPr>
            <w:r>
              <w:rPr>
                <w:rFonts w:hint="eastAsia"/>
                <w:color w:val="000000"/>
                <w:lang w:val="zh-CN"/>
              </w:rPr>
              <w:t>65.2</w:t>
            </w:r>
          </w:p>
        </w:tc>
      </w:tr>
      <w:tr w14:paraId="62C17FD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415" w:type="pct"/>
            <w:shd w:val="clear" w:color="auto" w:fill="FFFFFF"/>
            <w:noWrap w:val="0"/>
            <w:tcMar>
              <w:top w:w="0" w:type="dxa"/>
              <w:left w:w="57" w:type="dxa"/>
              <w:bottom w:w="0" w:type="dxa"/>
              <w:right w:w="57" w:type="dxa"/>
            </w:tcMar>
            <w:vAlign w:val="center"/>
          </w:tcPr>
          <w:p w14:paraId="1D0ACF26">
            <w:pPr>
              <w:pStyle w:val="11"/>
              <w:bidi w:val="0"/>
              <w:jc w:val="center"/>
              <w:rPr>
                <w:rFonts w:hint="eastAsia"/>
                <w:color w:val="000000"/>
                <w:lang w:val="zh-CN"/>
              </w:rPr>
            </w:pPr>
            <w:r>
              <w:rPr>
                <w:rFonts w:hint="eastAsia"/>
                <w:color w:val="000000"/>
                <w:lang w:val="zh-CN"/>
              </w:rPr>
              <w:t>7</w:t>
            </w:r>
          </w:p>
        </w:tc>
        <w:tc>
          <w:tcPr>
            <w:tcW w:w="1184" w:type="pct"/>
            <w:shd w:val="clear" w:color="auto" w:fill="FFFFFF"/>
            <w:noWrap w:val="0"/>
            <w:tcMar>
              <w:top w:w="0" w:type="dxa"/>
              <w:left w:w="57" w:type="dxa"/>
              <w:bottom w:w="0" w:type="dxa"/>
              <w:right w:w="57" w:type="dxa"/>
            </w:tcMar>
            <w:vAlign w:val="center"/>
          </w:tcPr>
          <w:p w14:paraId="4477213D">
            <w:pPr>
              <w:pStyle w:val="11"/>
              <w:bidi w:val="0"/>
              <w:jc w:val="center"/>
              <w:rPr>
                <w:rFonts w:hint="eastAsia"/>
                <w:color w:val="000000"/>
                <w:lang w:val="zh-CN"/>
              </w:rPr>
            </w:pPr>
            <w:r>
              <w:rPr>
                <w:rFonts w:hint="eastAsia"/>
                <w:color w:val="000000"/>
                <w:lang w:val="zh-CN"/>
              </w:rPr>
              <w:t>繁荣路（次）</w:t>
            </w:r>
          </w:p>
        </w:tc>
        <w:tc>
          <w:tcPr>
            <w:tcW w:w="900" w:type="pct"/>
            <w:shd w:val="clear" w:color="auto" w:fill="FFFFFF"/>
            <w:noWrap w:val="0"/>
            <w:tcMar>
              <w:top w:w="0" w:type="dxa"/>
              <w:left w:w="57" w:type="dxa"/>
              <w:bottom w:w="0" w:type="dxa"/>
              <w:right w:w="57" w:type="dxa"/>
            </w:tcMar>
            <w:vAlign w:val="center"/>
          </w:tcPr>
          <w:p w14:paraId="2B3CE22F">
            <w:pPr>
              <w:pStyle w:val="11"/>
              <w:bidi w:val="0"/>
              <w:jc w:val="center"/>
              <w:rPr>
                <w:rFonts w:hint="eastAsia"/>
                <w:color w:val="000000"/>
                <w:lang w:val="zh-CN"/>
              </w:rPr>
            </w:pPr>
            <w:r>
              <w:rPr>
                <w:rFonts w:hint="eastAsia"/>
                <w:color w:val="000000"/>
                <w:lang w:val="zh-CN"/>
              </w:rPr>
              <w:t>950</w:t>
            </w:r>
          </w:p>
        </w:tc>
        <w:tc>
          <w:tcPr>
            <w:tcW w:w="540" w:type="pct"/>
            <w:shd w:val="clear" w:color="auto" w:fill="FFFFFF"/>
            <w:noWrap w:val="0"/>
            <w:tcMar>
              <w:top w:w="0" w:type="dxa"/>
              <w:left w:w="57" w:type="dxa"/>
              <w:bottom w:w="0" w:type="dxa"/>
              <w:right w:w="57" w:type="dxa"/>
            </w:tcMar>
            <w:vAlign w:val="center"/>
          </w:tcPr>
          <w:p w14:paraId="5C02B6B1">
            <w:pPr>
              <w:pStyle w:val="11"/>
              <w:bidi w:val="0"/>
              <w:jc w:val="center"/>
              <w:rPr>
                <w:rFonts w:hint="eastAsia"/>
                <w:color w:val="000000"/>
                <w:lang w:val="zh-CN"/>
              </w:rPr>
            </w:pPr>
            <w:r>
              <w:rPr>
                <w:rFonts w:hint="eastAsia"/>
                <w:color w:val="000000"/>
                <w:lang w:val="zh-CN"/>
              </w:rPr>
              <w:t>19</w:t>
            </w:r>
          </w:p>
        </w:tc>
        <w:tc>
          <w:tcPr>
            <w:tcW w:w="1126" w:type="pct"/>
            <w:shd w:val="clear" w:color="auto" w:fill="FFFFFF"/>
            <w:noWrap w:val="0"/>
            <w:tcMar>
              <w:top w:w="0" w:type="dxa"/>
              <w:left w:w="57" w:type="dxa"/>
              <w:bottom w:w="0" w:type="dxa"/>
              <w:right w:w="57" w:type="dxa"/>
            </w:tcMar>
            <w:vAlign w:val="center"/>
          </w:tcPr>
          <w:p w14:paraId="50E46C31">
            <w:pPr>
              <w:pStyle w:val="11"/>
              <w:bidi w:val="0"/>
              <w:jc w:val="center"/>
              <w:rPr>
                <w:rFonts w:hint="eastAsia"/>
                <w:color w:val="000000"/>
                <w:lang w:val="zh-CN"/>
              </w:rPr>
            </w:pPr>
            <w:r>
              <w:rPr>
                <w:rFonts w:hint="eastAsia"/>
                <w:color w:val="000000"/>
                <w:lang w:val="zh-CN"/>
              </w:rPr>
              <w:t>999</w:t>
            </w:r>
          </w:p>
        </w:tc>
        <w:tc>
          <w:tcPr>
            <w:tcW w:w="833" w:type="pct"/>
            <w:shd w:val="clear" w:color="auto" w:fill="FFFFFF"/>
            <w:noWrap w:val="0"/>
            <w:tcMar>
              <w:top w:w="0" w:type="dxa"/>
              <w:left w:w="57" w:type="dxa"/>
              <w:bottom w:w="0" w:type="dxa"/>
              <w:right w:w="57" w:type="dxa"/>
            </w:tcMar>
            <w:vAlign w:val="center"/>
          </w:tcPr>
          <w:p w14:paraId="6197082E">
            <w:pPr>
              <w:pStyle w:val="11"/>
              <w:bidi w:val="0"/>
              <w:jc w:val="center"/>
              <w:rPr>
                <w:rFonts w:hint="eastAsia"/>
                <w:color w:val="000000"/>
                <w:lang w:val="zh-CN"/>
              </w:rPr>
            </w:pPr>
            <w:r>
              <w:rPr>
                <w:rFonts w:hint="eastAsia"/>
                <w:color w:val="000000"/>
                <w:lang w:val="zh-CN"/>
              </w:rPr>
              <w:t>70.1</w:t>
            </w:r>
          </w:p>
        </w:tc>
      </w:tr>
      <w:tr w14:paraId="1CD672D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415" w:type="pct"/>
            <w:shd w:val="clear" w:color="auto" w:fill="FFFFFF"/>
            <w:noWrap w:val="0"/>
            <w:tcMar>
              <w:top w:w="0" w:type="dxa"/>
              <w:left w:w="57" w:type="dxa"/>
              <w:bottom w:w="0" w:type="dxa"/>
              <w:right w:w="57" w:type="dxa"/>
            </w:tcMar>
            <w:vAlign w:val="center"/>
          </w:tcPr>
          <w:p w14:paraId="780B7FFB">
            <w:pPr>
              <w:pStyle w:val="11"/>
              <w:bidi w:val="0"/>
              <w:jc w:val="center"/>
              <w:rPr>
                <w:rFonts w:hint="eastAsia"/>
                <w:color w:val="000000"/>
                <w:lang w:val="zh-CN"/>
              </w:rPr>
            </w:pPr>
            <w:r>
              <w:rPr>
                <w:rFonts w:hint="eastAsia"/>
                <w:color w:val="000000"/>
                <w:lang w:val="zh-CN"/>
              </w:rPr>
              <w:t>8</w:t>
            </w:r>
          </w:p>
        </w:tc>
        <w:tc>
          <w:tcPr>
            <w:tcW w:w="1184" w:type="pct"/>
            <w:shd w:val="clear" w:color="auto" w:fill="FFFFFF"/>
            <w:noWrap w:val="0"/>
            <w:tcMar>
              <w:top w:w="0" w:type="dxa"/>
              <w:left w:w="57" w:type="dxa"/>
              <w:bottom w:w="0" w:type="dxa"/>
              <w:right w:w="57" w:type="dxa"/>
            </w:tcMar>
            <w:vAlign w:val="center"/>
          </w:tcPr>
          <w:p w14:paraId="5E355B6B">
            <w:pPr>
              <w:pStyle w:val="11"/>
              <w:bidi w:val="0"/>
              <w:jc w:val="center"/>
              <w:rPr>
                <w:rFonts w:hint="eastAsia"/>
                <w:color w:val="000000"/>
                <w:lang w:val="zh-CN"/>
              </w:rPr>
            </w:pPr>
            <w:r>
              <w:rPr>
                <w:rFonts w:hint="eastAsia"/>
                <w:color w:val="000000"/>
                <w:lang w:val="zh-CN"/>
              </w:rPr>
              <w:t>浈江大道（次）</w:t>
            </w:r>
          </w:p>
        </w:tc>
        <w:tc>
          <w:tcPr>
            <w:tcW w:w="900" w:type="pct"/>
            <w:shd w:val="clear" w:color="auto" w:fill="FFFFFF"/>
            <w:noWrap w:val="0"/>
            <w:tcMar>
              <w:top w:w="0" w:type="dxa"/>
              <w:left w:w="57" w:type="dxa"/>
              <w:bottom w:w="0" w:type="dxa"/>
              <w:right w:w="57" w:type="dxa"/>
            </w:tcMar>
            <w:vAlign w:val="center"/>
          </w:tcPr>
          <w:p w14:paraId="6B5759D0">
            <w:pPr>
              <w:pStyle w:val="11"/>
              <w:bidi w:val="0"/>
              <w:jc w:val="center"/>
              <w:rPr>
                <w:rFonts w:hint="eastAsia"/>
                <w:color w:val="000000"/>
                <w:lang w:val="zh-CN"/>
              </w:rPr>
            </w:pPr>
            <w:r>
              <w:rPr>
                <w:rFonts w:hint="eastAsia"/>
                <w:color w:val="000000"/>
                <w:lang w:val="zh-CN"/>
              </w:rPr>
              <w:t>800</w:t>
            </w:r>
          </w:p>
        </w:tc>
        <w:tc>
          <w:tcPr>
            <w:tcW w:w="540" w:type="pct"/>
            <w:shd w:val="clear" w:color="auto" w:fill="FFFFFF"/>
            <w:noWrap w:val="0"/>
            <w:tcMar>
              <w:top w:w="0" w:type="dxa"/>
              <w:left w:w="57" w:type="dxa"/>
              <w:bottom w:w="0" w:type="dxa"/>
              <w:right w:w="57" w:type="dxa"/>
            </w:tcMar>
            <w:vAlign w:val="center"/>
          </w:tcPr>
          <w:p w14:paraId="3283CBC0">
            <w:pPr>
              <w:pStyle w:val="11"/>
              <w:bidi w:val="0"/>
              <w:jc w:val="center"/>
              <w:rPr>
                <w:rFonts w:hint="eastAsia"/>
                <w:color w:val="000000"/>
                <w:lang w:val="zh-CN"/>
              </w:rPr>
            </w:pPr>
            <w:r>
              <w:rPr>
                <w:rFonts w:hint="eastAsia"/>
                <w:color w:val="000000"/>
                <w:lang w:val="zh-CN"/>
              </w:rPr>
              <w:t>42</w:t>
            </w:r>
          </w:p>
        </w:tc>
        <w:tc>
          <w:tcPr>
            <w:tcW w:w="1126" w:type="pct"/>
            <w:shd w:val="clear" w:color="auto" w:fill="FFFFFF"/>
            <w:noWrap w:val="0"/>
            <w:tcMar>
              <w:top w:w="0" w:type="dxa"/>
              <w:left w:w="57" w:type="dxa"/>
              <w:bottom w:w="0" w:type="dxa"/>
              <w:right w:w="57" w:type="dxa"/>
            </w:tcMar>
            <w:vAlign w:val="center"/>
          </w:tcPr>
          <w:p w14:paraId="02B0CC58">
            <w:pPr>
              <w:pStyle w:val="11"/>
              <w:bidi w:val="0"/>
              <w:jc w:val="center"/>
              <w:rPr>
                <w:rFonts w:hint="eastAsia"/>
                <w:color w:val="000000"/>
                <w:lang w:val="zh-CN"/>
              </w:rPr>
            </w:pPr>
            <w:r>
              <w:rPr>
                <w:rFonts w:hint="eastAsia"/>
                <w:color w:val="000000"/>
                <w:lang w:val="zh-CN"/>
              </w:rPr>
              <w:t>1002</w:t>
            </w:r>
          </w:p>
        </w:tc>
        <w:tc>
          <w:tcPr>
            <w:tcW w:w="833" w:type="pct"/>
            <w:shd w:val="clear" w:color="auto" w:fill="FFFFFF"/>
            <w:noWrap w:val="0"/>
            <w:tcMar>
              <w:top w:w="0" w:type="dxa"/>
              <w:left w:w="57" w:type="dxa"/>
              <w:bottom w:w="0" w:type="dxa"/>
              <w:right w:w="57" w:type="dxa"/>
            </w:tcMar>
            <w:vAlign w:val="center"/>
          </w:tcPr>
          <w:p w14:paraId="0C01C000">
            <w:pPr>
              <w:pStyle w:val="11"/>
              <w:bidi w:val="0"/>
              <w:jc w:val="center"/>
              <w:rPr>
                <w:rFonts w:hint="eastAsia"/>
                <w:color w:val="000000"/>
                <w:lang w:val="zh-CN"/>
              </w:rPr>
            </w:pPr>
            <w:r>
              <w:rPr>
                <w:rFonts w:hint="eastAsia"/>
                <w:color w:val="000000"/>
                <w:lang w:val="zh-CN"/>
              </w:rPr>
              <w:t>65.1</w:t>
            </w:r>
          </w:p>
        </w:tc>
      </w:tr>
      <w:tr w14:paraId="12B8773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415" w:type="pct"/>
            <w:shd w:val="clear" w:color="auto" w:fill="FFFFFF"/>
            <w:noWrap w:val="0"/>
            <w:tcMar>
              <w:top w:w="0" w:type="dxa"/>
              <w:left w:w="57" w:type="dxa"/>
              <w:bottom w:w="0" w:type="dxa"/>
              <w:right w:w="57" w:type="dxa"/>
            </w:tcMar>
            <w:vAlign w:val="center"/>
          </w:tcPr>
          <w:p w14:paraId="085F4682">
            <w:pPr>
              <w:pStyle w:val="11"/>
              <w:bidi w:val="0"/>
              <w:jc w:val="center"/>
              <w:rPr>
                <w:rFonts w:hint="eastAsia"/>
                <w:color w:val="000000"/>
                <w:lang w:val="zh-CN"/>
              </w:rPr>
            </w:pPr>
            <w:r>
              <w:rPr>
                <w:rFonts w:hint="eastAsia"/>
                <w:color w:val="000000"/>
                <w:lang w:val="zh-CN"/>
              </w:rPr>
              <w:t>9</w:t>
            </w:r>
          </w:p>
        </w:tc>
        <w:tc>
          <w:tcPr>
            <w:tcW w:w="1184" w:type="pct"/>
            <w:shd w:val="clear" w:color="auto" w:fill="FFFFFF"/>
            <w:noWrap w:val="0"/>
            <w:tcMar>
              <w:top w:w="0" w:type="dxa"/>
              <w:left w:w="57" w:type="dxa"/>
              <w:bottom w:w="0" w:type="dxa"/>
              <w:right w:w="57" w:type="dxa"/>
            </w:tcMar>
            <w:vAlign w:val="center"/>
          </w:tcPr>
          <w:p w14:paraId="056B35EE">
            <w:pPr>
              <w:pStyle w:val="11"/>
              <w:bidi w:val="0"/>
              <w:jc w:val="center"/>
              <w:rPr>
                <w:rFonts w:hint="eastAsia"/>
                <w:color w:val="000000"/>
                <w:lang w:val="zh-CN"/>
              </w:rPr>
            </w:pPr>
            <w:r>
              <w:rPr>
                <w:rFonts w:hint="eastAsia"/>
                <w:color w:val="000000"/>
                <w:lang w:val="zh-CN"/>
              </w:rPr>
              <w:t>河南街（次）</w:t>
            </w:r>
          </w:p>
        </w:tc>
        <w:tc>
          <w:tcPr>
            <w:tcW w:w="900" w:type="pct"/>
            <w:shd w:val="clear" w:color="auto" w:fill="FFFFFF"/>
            <w:noWrap w:val="0"/>
            <w:tcMar>
              <w:top w:w="0" w:type="dxa"/>
              <w:left w:w="57" w:type="dxa"/>
              <w:bottom w:w="0" w:type="dxa"/>
              <w:right w:w="57" w:type="dxa"/>
            </w:tcMar>
            <w:vAlign w:val="center"/>
          </w:tcPr>
          <w:p w14:paraId="280AFED7">
            <w:pPr>
              <w:pStyle w:val="11"/>
              <w:bidi w:val="0"/>
              <w:jc w:val="center"/>
              <w:rPr>
                <w:rFonts w:hint="eastAsia"/>
                <w:color w:val="000000"/>
                <w:lang w:val="zh-CN"/>
              </w:rPr>
            </w:pPr>
            <w:r>
              <w:rPr>
                <w:rFonts w:hint="eastAsia"/>
                <w:color w:val="000000"/>
                <w:lang w:val="zh-CN"/>
              </w:rPr>
              <w:t>500</w:t>
            </w:r>
          </w:p>
        </w:tc>
        <w:tc>
          <w:tcPr>
            <w:tcW w:w="540" w:type="pct"/>
            <w:shd w:val="clear" w:color="auto" w:fill="FFFFFF"/>
            <w:noWrap w:val="0"/>
            <w:tcMar>
              <w:top w:w="0" w:type="dxa"/>
              <w:left w:w="57" w:type="dxa"/>
              <w:bottom w:w="0" w:type="dxa"/>
              <w:right w:w="57" w:type="dxa"/>
            </w:tcMar>
            <w:vAlign w:val="center"/>
          </w:tcPr>
          <w:p w14:paraId="1FDC30D0">
            <w:pPr>
              <w:pStyle w:val="11"/>
              <w:bidi w:val="0"/>
              <w:jc w:val="center"/>
              <w:rPr>
                <w:rFonts w:hint="eastAsia"/>
                <w:color w:val="000000"/>
                <w:lang w:val="zh-CN"/>
              </w:rPr>
            </w:pPr>
            <w:r>
              <w:rPr>
                <w:rFonts w:hint="eastAsia"/>
                <w:color w:val="000000"/>
                <w:lang w:val="zh-CN"/>
              </w:rPr>
              <w:t>15</w:t>
            </w:r>
          </w:p>
        </w:tc>
        <w:tc>
          <w:tcPr>
            <w:tcW w:w="1126" w:type="pct"/>
            <w:shd w:val="clear" w:color="auto" w:fill="FFFFFF"/>
            <w:noWrap w:val="0"/>
            <w:tcMar>
              <w:top w:w="0" w:type="dxa"/>
              <w:left w:w="57" w:type="dxa"/>
              <w:bottom w:w="0" w:type="dxa"/>
              <w:right w:w="57" w:type="dxa"/>
            </w:tcMar>
            <w:vAlign w:val="center"/>
          </w:tcPr>
          <w:p w14:paraId="6E8F15C2">
            <w:pPr>
              <w:pStyle w:val="11"/>
              <w:bidi w:val="0"/>
              <w:jc w:val="center"/>
              <w:rPr>
                <w:rFonts w:hint="eastAsia"/>
                <w:color w:val="000000"/>
                <w:lang w:val="zh-CN"/>
              </w:rPr>
            </w:pPr>
            <w:r>
              <w:rPr>
                <w:rFonts w:hint="eastAsia"/>
                <w:color w:val="000000"/>
                <w:lang w:val="zh-CN"/>
              </w:rPr>
              <w:t>758</w:t>
            </w:r>
          </w:p>
        </w:tc>
        <w:tc>
          <w:tcPr>
            <w:tcW w:w="833" w:type="pct"/>
            <w:shd w:val="clear" w:color="auto" w:fill="FFFFFF"/>
            <w:noWrap w:val="0"/>
            <w:tcMar>
              <w:top w:w="0" w:type="dxa"/>
              <w:left w:w="57" w:type="dxa"/>
              <w:bottom w:w="0" w:type="dxa"/>
              <w:right w:w="57" w:type="dxa"/>
            </w:tcMar>
            <w:vAlign w:val="center"/>
          </w:tcPr>
          <w:p w14:paraId="535C656C">
            <w:pPr>
              <w:pStyle w:val="11"/>
              <w:bidi w:val="0"/>
              <w:jc w:val="center"/>
              <w:rPr>
                <w:rFonts w:hint="eastAsia"/>
                <w:color w:val="000000"/>
                <w:lang w:val="zh-CN"/>
              </w:rPr>
            </w:pPr>
            <w:r>
              <w:rPr>
                <w:rFonts w:hint="eastAsia"/>
                <w:color w:val="000000"/>
                <w:lang w:val="zh-CN"/>
              </w:rPr>
              <w:t>68.9</w:t>
            </w:r>
          </w:p>
        </w:tc>
      </w:tr>
      <w:tr w14:paraId="40C661B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415" w:type="pct"/>
            <w:shd w:val="clear" w:color="auto" w:fill="FFFFFF"/>
            <w:noWrap w:val="0"/>
            <w:tcMar>
              <w:top w:w="0" w:type="dxa"/>
              <w:left w:w="57" w:type="dxa"/>
              <w:bottom w:w="0" w:type="dxa"/>
              <w:right w:w="57" w:type="dxa"/>
            </w:tcMar>
            <w:vAlign w:val="center"/>
          </w:tcPr>
          <w:p w14:paraId="49AEF5F3">
            <w:pPr>
              <w:pStyle w:val="11"/>
              <w:bidi w:val="0"/>
              <w:jc w:val="center"/>
              <w:rPr>
                <w:rFonts w:hint="eastAsia"/>
                <w:color w:val="000000"/>
                <w:lang w:val="zh-CN"/>
              </w:rPr>
            </w:pPr>
            <w:r>
              <w:rPr>
                <w:rFonts w:hint="eastAsia"/>
                <w:color w:val="000000"/>
                <w:lang w:val="zh-CN"/>
              </w:rPr>
              <w:t>10</w:t>
            </w:r>
          </w:p>
        </w:tc>
        <w:tc>
          <w:tcPr>
            <w:tcW w:w="1184" w:type="pct"/>
            <w:shd w:val="clear" w:color="auto" w:fill="FFFFFF"/>
            <w:noWrap w:val="0"/>
            <w:tcMar>
              <w:top w:w="0" w:type="dxa"/>
              <w:left w:w="57" w:type="dxa"/>
              <w:bottom w:w="0" w:type="dxa"/>
              <w:right w:w="57" w:type="dxa"/>
            </w:tcMar>
            <w:vAlign w:val="center"/>
          </w:tcPr>
          <w:p w14:paraId="3A930F00">
            <w:pPr>
              <w:pStyle w:val="11"/>
              <w:bidi w:val="0"/>
              <w:jc w:val="center"/>
              <w:rPr>
                <w:rFonts w:hint="eastAsia"/>
                <w:color w:val="000000"/>
                <w:lang w:val="zh-CN"/>
              </w:rPr>
            </w:pPr>
            <w:r>
              <w:rPr>
                <w:rFonts w:hint="eastAsia"/>
                <w:color w:val="000000"/>
                <w:lang w:val="zh-CN"/>
              </w:rPr>
              <w:t>八一路（次）</w:t>
            </w:r>
          </w:p>
        </w:tc>
        <w:tc>
          <w:tcPr>
            <w:tcW w:w="900" w:type="pct"/>
            <w:shd w:val="clear" w:color="auto" w:fill="FFFFFF"/>
            <w:noWrap w:val="0"/>
            <w:tcMar>
              <w:top w:w="0" w:type="dxa"/>
              <w:left w:w="57" w:type="dxa"/>
              <w:bottom w:w="0" w:type="dxa"/>
              <w:right w:w="57" w:type="dxa"/>
            </w:tcMar>
            <w:vAlign w:val="center"/>
          </w:tcPr>
          <w:p w14:paraId="61668605">
            <w:pPr>
              <w:pStyle w:val="11"/>
              <w:bidi w:val="0"/>
              <w:jc w:val="center"/>
              <w:rPr>
                <w:rFonts w:hint="eastAsia"/>
                <w:color w:val="000000"/>
                <w:lang w:val="zh-CN"/>
              </w:rPr>
            </w:pPr>
            <w:r>
              <w:rPr>
                <w:rFonts w:hint="eastAsia"/>
                <w:color w:val="000000"/>
                <w:lang w:val="zh-CN"/>
              </w:rPr>
              <w:t>180</w:t>
            </w:r>
          </w:p>
        </w:tc>
        <w:tc>
          <w:tcPr>
            <w:tcW w:w="540" w:type="pct"/>
            <w:shd w:val="clear" w:color="auto" w:fill="FFFFFF"/>
            <w:noWrap w:val="0"/>
            <w:tcMar>
              <w:top w:w="0" w:type="dxa"/>
              <w:left w:w="57" w:type="dxa"/>
              <w:bottom w:w="0" w:type="dxa"/>
              <w:right w:w="57" w:type="dxa"/>
            </w:tcMar>
            <w:vAlign w:val="center"/>
          </w:tcPr>
          <w:p w14:paraId="3E8E63BA">
            <w:pPr>
              <w:pStyle w:val="11"/>
              <w:bidi w:val="0"/>
              <w:jc w:val="center"/>
              <w:rPr>
                <w:rFonts w:hint="eastAsia"/>
                <w:color w:val="000000"/>
                <w:lang w:val="zh-CN"/>
              </w:rPr>
            </w:pPr>
            <w:r>
              <w:rPr>
                <w:rFonts w:hint="eastAsia"/>
                <w:color w:val="000000"/>
                <w:lang w:val="zh-CN"/>
              </w:rPr>
              <w:t>20</w:t>
            </w:r>
          </w:p>
        </w:tc>
        <w:tc>
          <w:tcPr>
            <w:tcW w:w="1126" w:type="pct"/>
            <w:shd w:val="clear" w:color="auto" w:fill="FFFFFF"/>
            <w:noWrap w:val="0"/>
            <w:tcMar>
              <w:top w:w="0" w:type="dxa"/>
              <w:left w:w="57" w:type="dxa"/>
              <w:bottom w:w="0" w:type="dxa"/>
              <w:right w:w="57" w:type="dxa"/>
            </w:tcMar>
            <w:vAlign w:val="center"/>
          </w:tcPr>
          <w:p w14:paraId="1383F8AC">
            <w:pPr>
              <w:pStyle w:val="11"/>
              <w:bidi w:val="0"/>
              <w:jc w:val="center"/>
              <w:rPr>
                <w:rFonts w:hint="eastAsia"/>
                <w:color w:val="000000"/>
                <w:lang w:val="zh-CN"/>
              </w:rPr>
            </w:pPr>
            <w:r>
              <w:rPr>
                <w:rFonts w:hint="eastAsia"/>
                <w:color w:val="000000"/>
                <w:lang w:val="zh-CN"/>
              </w:rPr>
              <w:t>1080</w:t>
            </w:r>
          </w:p>
        </w:tc>
        <w:tc>
          <w:tcPr>
            <w:tcW w:w="833" w:type="pct"/>
            <w:shd w:val="clear" w:color="auto" w:fill="FFFFFF"/>
            <w:noWrap w:val="0"/>
            <w:tcMar>
              <w:top w:w="0" w:type="dxa"/>
              <w:left w:w="57" w:type="dxa"/>
              <w:bottom w:w="0" w:type="dxa"/>
              <w:right w:w="57" w:type="dxa"/>
            </w:tcMar>
            <w:vAlign w:val="center"/>
          </w:tcPr>
          <w:p w14:paraId="52E18A1F">
            <w:pPr>
              <w:pStyle w:val="11"/>
              <w:bidi w:val="0"/>
              <w:jc w:val="center"/>
              <w:rPr>
                <w:rFonts w:hint="eastAsia"/>
                <w:color w:val="000000"/>
                <w:lang w:val="zh-CN"/>
              </w:rPr>
            </w:pPr>
            <w:r>
              <w:rPr>
                <w:rFonts w:hint="eastAsia"/>
                <w:color w:val="000000"/>
                <w:lang w:val="zh-CN"/>
              </w:rPr>
              <w:t>62.3</w:t>
            </w:r>
          </w:p>
        </w:tc>
      </w:tr>
    </w:tbl>
    <w:p w14:paraId="2EEEFDA6">
      <w:pPr>
        <w:bidi w:val="0"/>
        <w:ind w:left="0" w:leftChars="0" w:firstLine="0" w:firstLineChars="0"/>
        <w:jc w:val="center"/>
        <w:rPr>
          <w:rFonts w:hint="eastAsia"/>
          <w:b/>
          <w:bCs/>
          <w:lang w:val="zh-CN"/>
        </w:rPr>
      </w:pPr>
      <w:r>
        <w:rPr>
          <w:rFonts w:hint="eastAsia"/>
          <w:b/>
          <w:bCs/>
          <w:lang w:val="zh-CN"/>
        </w:rPr>
        <w:t>表24</w:t>
      </w:r>
      <w:r>
        <w:rPr>
          <w:rFonts w:hint="eastAsia"/>
          <w:b/>
          <w:bCs/>
          <w:lang w:val="en-US" w:eastAsia="zh-CN"/>
        </w:rPr>
        <w:t xml:space="preserve">  </w:t>
      </w:r>
      <w:r>
        <w:rPr>
          <w:rFonts w:hint="eastAsia"/>
          <w:b/>
          <w:bCs/>
          <w:lang w:val="zh-CN"/>
        </w:rPr>
        <w:t>南雄市区域环境噪声监测统计结果年度变化</w:t>
      </w:r>
    </w:p>
    <w:tbl>
      <w:tblPr>
        <w:tblStyle w:val="7"/>
        <w:tblW w:w="4998"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949"/>
        <w:gridCol w:w="1947"/>
        <w:gridCol w:w="1949"/>
        <w:gridCol w:w="1949"/>
        <w:gridCol w:w="1948"/>
      </w:tblGrid>
      <w:tr w14:paraId="5B1246F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6" w:hRule="atLeast"/>
          <w:tblHeader/>
        </w:trPr>
        <w:tc>
          <w:tcPr>
            <w:tcW w:w="1000" w:type="pct"/>
            <w:shd w:val="clear" w:color="auto" w:fill="FFFFFF"/>
            <w:noWrap w:val="0"/>
            <w:tcMar>
              <w:top w:w="0" w:type="dxa"/>
              <w:left w:w="0" w:type="dxa"/>
              <w:bottom w:w="0" w:type="dxa"/>
              <w:right w:w="0" w:type="dxa"/>
            </w:tcMar>
            <w:vAlign w:val="center"/>
          </w:tcPr>
          <w:p w14:paraId="09D7F2A3">
            <w:pPr>
              <w:pStyle w:val="11"/>
              <w:bidi w:val="0"/>
              <w:jc w:val="center"/>
              <w:rPr>
                <w:rFonts w:hint="eastAsia"/>
                <w:b/>
                <w:bCs/>
                <w:color w:val="000000"/>
                <w:lang w:val="zh-CN"/>
              </w:rPr>
            </w:pPr>
            <w:r>
              <w:rPr>
                <w:rFonts w:hint="eastAsia"/>
                <w:b/>
                <w:bCs/>
                <w:color w:val="000000"/>
                <w:lang w:val="zh-CN"/>
              </w:rPr>
              <w:t>年度</w:t>
            </w:r>
          </w:p>
        </w:tc>
        <w:tc>
          <w:tcPr>
            <w:tcW w:w="999" w:type="pct"/>
            <w:shd w:val="clear" w:color="auto" w:fill="FFFFFF"/>
            <w:noWrap w:val="0"/>
            <w:tcMar>
              <w:top w:w="0" w:type="dxa"/>
              <w:left w:w="0" w:type="dxa"/>
              <w:bottom w:w="0" w:type="dxa"/>
              <w:right w:w="0" w:type="dxa"/>
            </w:tcMar>
            <w:vAlign w:val="center"/>
          </w:tcPr>
          <w:p w14:paraId="3B86116A">
            <w:pPr>
              <w:pStyle w:val="11"/>
              <w:bidi w:val="0"/>
              <w:jc w:val="center"/>
              <w:rPr>
                <w:rFonts w:hint="eastAsia"/>
                <w:b/>
                <w:bCs/>
                <w:color w:val="000000"/>
                <w:lang w:val="zh-CN"/>
              </w:rPr>
            </w:pPr>
            <w:r>
              <w:rPr>
                <w:rFonts w:hint="eastAsia"/>
                <w:b/>
                <w:bCs/>
                <w:color w:val="000000"/>
                <w:lang w:val="zh-CN"/>
              </w:rPr>
              <w:t>网格大小</w:t>
            </w:r>
          </w:p>
        </w:tc>
        <w:tc>
          <w:tcPr>
            <w:tcW w:w="1000" w:type="pct"/>
            <w:shd w:val="clear" w:color="auto" w:fill="FFFFFF"/>
            <w:noWrap w:val="0"/>
            <w:tcMar>
              <w:top w:w="0" w:type="dxa"/>
              <w:left w:w="0" w:type="dxa"/>
              <w:bottom w:w="0" w:type="dxa"/>
              <w:right w:w="0" w:type="dxa"/>
            </w:tcMar>
            <w:vAlign w:val="center"/>
          </w:tcPr>
          <w:p w14:paraId="524B79AF">
            <w:pPr>
              <w:pStyle w:val="11"/>
              <w:bidi w:val="0"/>
              <w:jc w:val="center"/>
              <w:rPr>
                <w:rFonts w:hint="eastAsia"/>
                <w:b/>
                <w:bCs/>
                <w:color w:val="000000"/>
                <w:lang w:val="zh-CN"/>
              </w:rPr>
            </w:pPr>
            <w:r>
              <w:rPr>
                <w:rFonts w:hint="eastAsia"/>
                <w:b/>
                <w:bCs/>
                <w:color w:val="000000"/>
                <w:lang w:val="zh-CN"/>
              </w:rPr>
              <w:t>覆盖面积（km2）</w:t>
            </w:r>
          </w:p>
        </w:tc>
        <w:tc>
          <w:tcPr>
            <w:tcW w:w="1000" w:type="pct"/>
            <w:shd w:val="clear" w:color="auto" w:fill="FFFFFF"/>
            <w:noWrap w:val="0"/>
            <w:tcMar>
              <w:top w:w="0" w:type="dxa"/>
              <w:left w:w="0" w:type="dxa"/>
              <w:bottom w:w="0" w:type="dxa"/>
              <w:right w:w="0" w:type="dxa"/>
            </w:tcMar>
            <w:vAlign w:val="center"/>
          </w:tcPr>
          <w:p w14:paraId="526A4ED9">
            <w:pPr>
              <w:pStyle w:val="11"/>
              <w:bidi w:val="0"/>
              <w:jc w:val="center"/>
              <w:rPr>
                <w:rFonts w:hint="eastAsia"/>
                <w:b/>
                <w:bCs/>
                <w:color w:val="000000"/>
                <w:lang w:val="zh-CN"/>
              </w:rPr>
            </w:pPr>
            <w:r>
              <w:rPr>
                <w:rFonts w:hint="eastAsia"/>
                <w:b/>
                <w:bCs/>
                <w:color w:val="000000"/>
                <w:lang w:val="zh-CN"/>
              </w:rPr>
              <w:t>测点总数（个）</w:t>
            </w:r>
          </w:p>
        </w:tc>
        <w:tc>
          <w:tcPr>
            <w:tcW w:w="999" w:type="pct"/>
            <w:shd w:val="clear" w:color="auto" w:fill="FFFFFF"/>
            <w:noWrap w:val="0"/>
            <w:tcMar>
              <w:top w:w="0" w:type="dxa"/>
              <w:left w:w="0" w:type="dxa"/>
              <w:bottom w:w="0" w:type="dxa"/>
              <w:right w:w="0" w:type="dxa"/>
            </w:tcMar>
            <w:vAlign w:val="center"/>
          </w:tcPr>
          <w:p w14:paraId="347E2EFB">
            <w:pPr>
              <w:pStyle w:val="11"/>
              <w:bidi w:val="0"/>
              <w:jc w:val="center"/>
              <w:rPr>
                <w:rFonts w:hint="eastAsia"/>
                <w:b/>
                <w:bCs/>
                <w:color w:val="000000"/>
                <w:lang w:val="zh-CN"/>
              </w:rPr>
            </w:pPr>
            <w:r>
              <w:rPr>
                <w:rFonts w:hint="eastAsia"/>
                <w:b/>
                <w:bCs/>
                <w:color w:val="000000"/>
                <w:lang w:val="zh-CN"/>
              </w:rPr>
              <w:t>Leq［dB（A）］</w:t>
            </w:r>
          </w:p>
        </w:tc>
      </w:tr>
      <w:tr w14:paraId="4CCEAB0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1000" w:type="pct"/>
            <w:shd w:val="clear" w:color="auto" w:fill="FFFFFF"/>
            <w:noWrap w:val="0"/>
            <w:tcMar>
              <w:top w:w="0" w:type="dxa"/>
              <w:left w:w="57" w:type="dxa"/>
              <w:bottom w:w="0" w:type="dxa"/>
              <w:right w:w="57" w:type="dxa"/>
            </w:tcMar>
            <w:vAlign w:val="center"/>
          </w:tcPr>
          <w:p w14:paraId="0DCC41A7">
            <w:pPr>
              <w:pStyle w:val="11"/>
              <w:bidi w:val="0"/>
              <w:jc w:val="center"/>
              <w:rPr>
                <w:rFonts w:hint="eastAsia"/>
                <w:color w:val="000000"/>
                <w:lang w:val="zh-CN"/>
              </w:rPr>
            </w:pPr>
            <w:r>
              <w:rPr>
                <w:rFonts w:hint="eastAsia"/>
                <w:color w:val="000000"/>
                <w:lang w:val="zh-CN"/>
              </w:rPr>
              <w:t>2017</w:t>
            </w:r>
          </w:p>
        </w:tc>
        <w:tc>
          <w:tcPr>
            <w:tcW w:w="999" w:type="pct"/>
            <w:shd w:val="clear" w:color="auto" w:fill="FFFFFF"/>
            <w:noWrap w:val="0"/>
            <w:tcMar>
              <w:top w:w="0" w:type="dxa"/>
              <w:left w:w="57" w:type="dxa"/>
              <w:bottom w:w="0" w:type="dxa"/>
              <w:right w:w="57" w:type="dxa"/>
            </w:tcMar>
            <w:vAlign w:val="center"/>
          </w:tcPr>
          <w:p w14:paraId="0A8EFA5F">
            <w:pPr>
              <w:pStyle w:val="11"/>
              <w:bidi w:val="0"/>
              <w:jc w:val="center"/>
              <w:rPr>
                <w:rFonts w:hint="eastAsia"/>
                <w:color w:val="000000"/>
                <w:lang w:val="zh-CN"/>
              </w:rPr>
            </w:pPr>
            <w:r>
              <w:rPr>
                <w:rFonts w:hint="eastAsia"/>
                <w:color w:val="000000"/>
                <w:lang w:val="zh-CN"/>
              </w:rPr>
              <w:t>250×250</w:t>
            </w:r>
          </w:p>
        </w:tc>
        <w:tc>
          <w:tcPr>
            <w:tcW w:w="1000" w:type="pct"/>
            <w:shd w:val="clear" w:color="auto" w:fill="FFFFFF"/>
            <w:noWrap w:val="0"/>
            <w:tcMar>
              <w:top w:w="0" w:type="dxa"/>
              <w:left w:w="57" w:type="dxa"/>
              <w:bottom w:w="0" w:type="dxa"/>
              <w:right w:w="57" w:type="dxa"/>
            </w:tcMar>
            <w:vAlign w:val="center"/>
          </w:tcPr>
          <w:p w14:paraId="16A7942D">
            <w:pPr>
              <w:pStyle w:val="11"/>
              <w:bidi w:val="0"/>
              <w:jc w:val="center"/>
              <w:rPr>
                <w:rFonts w:hint="eastAsia"/>
                <w:color w:val="000000"/>
                <w:lang w:val="zh-CN"/>
              </w:rPr>
            </w:pPr>
            <w:r>
              <w:rPr>
                <w:rFonts w:hint="eastAsia"/>
                <w:color w:val="000000"/>
                <w:lang w:val="zh-CN"/>
              </w:rPr>
              <w:t>6.56</w:t>
            </w:r>
          </w:p>
        </w:tc>
        <w:tc>
          <w:tcPr>
            <w:tcW w:w="1000" w:type="pct"/>
            <w:shd w:val="clear" w:color="auto" w:fill="FFFFFF"/>
            <w:noWrap w:val="0"/>
            <w:tcMar>
              <w:top w:w="0" w:type="dxa"/>
              <w:left w:w="57" w:type="dxa"/>
              <w:bottom w:w="0" w:type="dxa"/>
              <w:right w:w="57" w:type="dxa"/>
            </w:tcMar>
            <w:vAlign w:val="center"/>
          </w:tcPr>
          <w:p w14:paraId="14907E80">
            <w:pPr>
              <w:pStyle w:val="11"/>
              <w:bidi w:val="0"/>
              <w:jc w:val="center"/>
              <w:rPr>
                <w:rFonts w:hint="eastAsia"/>
                <w:color w:val="000000"/>
                <w:lang w:val="zh-CN"/>
              </w:rPr>
            </w:pPr>
            <w:r>
              <w:rPr>
                <w:rFonts w:hint="eastAsia"/>
                <w:color w:val="000000"/>
                <w:lang w:val="zh-CN"/>
              </w:rPr>
              <w:t>105</w:t>
            </w:r>
          </w:p>
        </w:tc>
        <w:tc>
          <w:tcPr>
            <w:tcW w:w="999" w:type="pct"/>
            <w:shd w:val="clear" w:color="auto" w:fill="FFFFFF"/>
            <w:noWrap w:val="0"/>
            <w:tcMar>
              <w:top w:w="0" w:type="dxa"/>
              <w:left w:w="57" w:type="dxa"/>
              <w:bottom w:w="0" w:type="dxa"/>
              <w:right w:w="57" w:type="dxa"/>
            </w:tcMar>
            <w:vAlign w:val="center"/>
          </w:tcPr>
          <w:p w14:paraId="48915A3C">
            <w:pPr>
              <w:pStyle w:val="11"/>
              <w:bidi w:val="0"/>
              <w:jc w:val="center"/>
              <w:rPr>
                <w:rFonts w:hint="eastAsia"/>
                <w:color w:val="000000"/>
                <w:lang w:val="zh-CN"/>
              </w:rPr>
            </w:pPr>
            <w:r>
              <w:rPr>
                <w:rFonts w:hint="eastAsia"/>
                <w:color w:val="000000"/>
                <w:lang w:val="zh-CN"/>
              </w:rPr>
              <w:t>53.7</w:t>
            </w:r>
          </w:p>
        </w:tc>
      </w:tr>
      <w:tr w14:paraId="440101E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1000" w:type="pct"/>
            <w:shd w:val="clear" w:color="auto" w:fill="FFFFFF"/>
            <w:noWrap w:val="0"/>
            <w:tcMar>
              <w:top w:w="0" w:type="dxa"/>
              <w:left w:w="57" w:type="dxa"/>
              <w:bottom w:w="0" w:type="dxa"/>
              <w:right w:w="57" w:type="dxa"/>
            </w:tcMar>
            <w:vAlign w:val="center"/>
          </w:tcPr>
          <w:p w14:paraId="344262F7">
            <w:pPr>
              <w:pStyle w:val="11"/>
              <w:bidi w:val="0"/>
              <w:jc w:val="center"/>
              <w:rPr>
                <w:rFonts w:hint="eastAsia"/>
                <w:color w:val="000000"/>
                <w:lang w:val="zh-CN"/>
              </w:rPr>
            </w:pPr>
            <w:r>
              <w:rPr>
                <w:rFonts w:hint="eastAsia"/>
                <w:color w:val="000000"/>
                <w:lang w:val="zh-CN"/>
              </w:rPr>
              <w:t>2018</w:t>
            </w:r>
          </w:p>
        </w:tc>
        <w:tc>
          <w:tcPr>
            <w:tcW w:w="999" w:type="pct"/>
            <w:shd w:val="clear" w:color="auto" w:fill="FFFFFF"/>
            <w:noWrap w:val="0"/>
            <w:tcMar>
              <w:top w:w="0" w:type="dxa"/>
              <w:left w:w="57" w:type="dxa"/>
              <w:bottom w:w="0" w:type="dxa"/>
              <w:right w:w="57" w:type="dxa"/>
            </w:tcMar>
            <w:vAlign w:val="center"/>
          </w:tcPr>
          <w:p w14:paraId="3DD2BBDE">
            <w:pPr>
              <w:pStyle w:val="11"/>
              <w:bidi w:val="0"/>
              <w:jc w:val="center"/>
              <w:rPr>
                <w:rFonts w:hint="eastAsia"/>
                <w:color w:val="000000"/>
                <w:lang w:val="zh-CN"/>
              </w:rPr>
            </w:pPr>
            <w:r>
              <w:rPr>
                <w:rFonts w:hint="eastAsia"/>
                <w:color w:val="000000"/>
                <w:lang w:val="zh-CN"/>
              </w:rPr>
              <w:t>250×250</w:t>
            </w:r>
          </w:p>
        </w:tc>
        <w:tc>
          <w:tcPr>
            <w:tcW w:w="1000" w:type="pct"/>
            <w:shd w:val="clear" w:color="auto" w:fill="FFFFFF"/>
            <w:noWrap w:val="0"/>
            <w:tcMar>
              <w:top w:w="0" w:type="dxa"/>
              <w:left w:w="57" w:type="dxa"/>
              <w:bottom w:w="0" w:type="dxa"/>
              <w:right w:w="57" w:type="dxa"/>
            </w:tcMar>
            <w:vAlign w:val="center"/>
          </w:tcPr>
          <w:p w14:paraId="6C0AAC14">
            <w:pPr>
              <w:pStyle w:val="11"/>
              <w:bidi w:val="0"/>
              <w:jc w:val="center"/>
              <w:rPr>
                <w:rFonts w:hint="eastAsia"/>
                <w:color w:val="000000"/>
                <w:lang w:val="zh-CN"/>
              </w:rPr>
            </w:pPr>
            <w:r>
              <w:rPr>
                <w:rFonts w:hint="eastAsia"/>
                <w:color w:val="000000"/>
                <w:lang w:val="zh-CN"/>
              </w:rPr>
              <w:t>6.56</w:t>
            </w:r>
          </w:p>
        </w:tc>
        <w:tc>
          <w:tcPr>
            <w:tcW w:w="1000" w:type="pct"/>
            <w:shd w:val="clear" w:color="auto" w:fill="FFFFFF"/>
            <w:noWrap w:val="0"/>
            <w:tcMar>
              <w:top w:w="0" w:type="dxa"/>
              <w:left w:w="57" w:type="dxa"/>
              <w:bottom w:w="0" w:type="dxa"/>
              <w:right w:w="57" w:type="dxa"/>
            </w:tcMar>
            <w:vAlign w:val="center"/>
          </w:tcPr>
          <w:p w14:paraId="1ACF8A3C">
            <w:pPr>
              <w:pStyle w:val="11"/>
              <w:bidi w:val="0"/>
              <w:jc w:val="center"/>
              <w:rPr>
                <w:rFonts w:hint="eastAsia"/>
                <w:color w:val="000000"/>
                <w:lang w:val="zh-CN"/>
              </w:rPr>
            </w:pPr>
            <w:r>
              <w:rPr>
                <w:rFonts w:hint="eastAsia"/>
                <w:color w:val="000000"/>
                <w:lang w:val="zh-CN"/>
              </w:rPr>
              <w:t>105</w:t>
            </w:r>
          </w:p>
        </w:tc>
        <w:tc>
          <w:tcPr>
            <w:tcW w:w="999" w:type="pct"/>
            <w:shd w:val="clear" w:color="auto" w:fill="FFFFFF"/>
            <w:noWrap w:val="0"/>
            <w:tcMar>
              <w:top w:w="0" w:type="dxa"/>
              <w:left w:w="57" w:type="dxa"/>
              <w:bottom w:w="0" w:type="dxa"/>
              <w:right w:w="57" w:type="dxa"/>
            </w:tcMar>
            <w:vAlign w:val="center"/>
          </w:tcPr>
          <w:p w14:paraId="0DBC7220">
            <w:pPr>
              <w:pStyle w:val="11"/>
              <w:bidi w:val="0"/>
              <w:jc w:val="center"/>
              <w:rPr>
                <w:rFonts w:hint="eastAsia"/>
                <w:color w:val="000000"/>
                <w:lang w:val="zh-CN"/>
              </w:rPr>
            </w:pPr>
            <w:r>
              <w:rPr>
                <w:rFonts w:hint="eastAsia"/>
                <w:color w:val="000000"/>
                <w:lang w:val="zh-CN"/>
              </w:rPr>
              <w:t>50.7</w:t>
            </w:r>
          </w:p>
        </w:tc>
      </w:tr>
      <w:tr w14:paraId="7D90690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1000" w:type="pct"/>
            <w:shd w:val="clear" w:color="auto" w:fill="FFFFFF"/>
            <w:noWrap w:val="0"/>
            <w:tcMar>
              <w:top w:w="0" w:type="dxa"/>
              <w:left w:w="57" w:type="dxa"/>
              <w:bottom w:w="0" w:type="dxa"/>
              <w:right w:w="57" w:type="dxa"/>
            </w:tcMar>
            <w:vAlign w:val="center"/>
          </w:tcPr>
          <w:p w14:paraId="275B5E6B">
            <w:pPr>
              <w:pStyle w:val="11"/>
              <w:bidi w:val="0"/>
              <w:jc w:val="center"/>
              <w:rPr>
                <w:rFonts w:hint="eastAsia"/>
                <w:color w:val="000000"/>
                <w:lang w:val="zh-CN"/>
              </w:rPr>
            </w:pPr>
            <w:r>
              <w:rPr>
                <w:rFonts w:hint="eastAsia"/>
                <w:color w:val="000000"/>
                <w:lang w:val="zh-CN"/>
              </w:rPr>
              <w:t>变化量</w:t>
            </w:r>
          </w:p>
        </w:tc>
        <w:tc>
          <w:tcPr>
            <w:tcW w:w="999" w:type="pct"/>
            <w:shd w:val="clear" w:color="auto" w:fill="FFFFFF"/>
            <w:noWrap w:val="0"/>
            <w:tcMar>
              <w:top w:w="0" w:type="dxa"/>
              <w:left w:w="57" w:type="dxa"/>
              <w:bottom w:w="0" w:type="dxa"/>
              <w:right w:w="57" w:type="dxa"/>
            </w:tcMar>
            <w:vAlign w:val="center"/>
          </w:tcPr>
          <w:p w14:paraId="554B0D79">
            <w:pPr>
              <w:pStyle w:val="11"/>
              <w:bidi w:val="0"/>
              <w:jc w:val="center"/>
              <w:rPr>
                <w:rFonts w:hint="eastAsia"/>
                <w:color w:val="000000"/>
                <w:lang w:val="zh-CN"/>
              </w:rPr>
            </w:pPr>
            <w:r>
              <w:rPr>
                <w:rFonts w:hint="eastAsia"/>
                <w:color w:val="000000"/>
                <w:lang w:val="zh-CN"/>
              </w:rPr>
              <w:t>/</w:t>
            </w:r>
          </w:p>
        </w:tc>
        <w:tc>
          <w:tcPr>
            <w:tcW w:w="1000" w:type="pct"/>
            <w:shd w:val="clear" w:color="auto" w:fill="FFFFFF"/>
            <w:noWrap w:val="0"/>
            <w:tcMar>
              <w:top w:w="0" w:type="dxa"/>
              <w:left w:w="57" w:type="dxa"/>
              <w:bottom w:w="0" w:type="dxa"/>
              <w:right w:w="57" w:type="dxa"/>
            </w:tcMar>
            <w:vAlign w:val="center"/>
          </w:tcPr>
          <w:p w14:paraId="172F9C02">
            <w:pPr>
              <w:pStyle w:val="11"/>
              <w:bidi w:val="0"/>
              <w:jc w:val="center"/>
              <w:rPr>
                <w:rFonts w:hint="eastAsia"/>
                <w:color w:val="000000"/>
                <w:lang w:val="zh-CN"/>
              </w:rPr>
            </w:pPr>
            <w:r>
              <w:rPr>
                <w:rFonts w:hint="eastAsia"/>
                <w:color w:val="000000"/>
                <w:lang w:val="zh-CN"/>
              </w:rPr>
              <w:t>0</w:t>
            </w:r>
          </w:p>
        </w:tc>
        <w:tc>
          <w:tcPr>
            <w:tcW w:w="1000" w:type="pct"/>
            <w:shd w:val="clear" w:color="auto" w:fill="FFFFFF"/>
            <w:noWrap w:val="0"/>
            <w:tcMar>
              <w:top w:w="0" w:type="dxa"/>
              <w:left w:w="57" w:type="dxa"/>
              <w:bottom w:w="0" w:type="dxa"/>
              <w:right w:w="57" w:type="dxa"/>
            </w:tcMar>
            <w:vAlign w:val="center"/>
          </w:tcPr>
          <w:p w14:paraId="7ACA6C11">
            <w:pPr>
              <w:pStyle w:val="11"/>
              <w:bidi w:val="0"/>
              <w:jc w:val="center"/>
              <w:rPr>
                <w:rFonts w:hint="eastAsia"/>
                <w:color w:val="000000"/>
                <w:lang w:val="zh-CN"/>
              </w:rPr>
            </w:pPr>
            <w:r>
              <w:rPr>
                <w:rFonts w:hint="eastAsia"/>
                <w:color w:val="000000"/>
                <w:lang w:val="zh-CN"/>
              </w:rPr>
              <w:t>0</w:t>
            </w:r>
          </w:p>
        </w:tc>
        <w:tc>
          <w:tcPr>
            <w:tcW w:w="999" w:type="pct"/>
            <w:shd w:val="clear" w:color="auto" w:fill="FFFFFF"/>
            <w:noWrap w:val="0"/>
            <w:tcMar>
              <w:top w:w="0" w:type="dxa"/>
              <w:left w:w="57" w:type="dxa"/>
              <w:bottom w:w="0" w:type="dxa"/>
              <w:right w:w="57" w:type="dxa"/>
            </w:tcMar>
            <w:vAlign w:val="center"/>
          </w:tcPr>
          <w:p w14:paraId="04775F65">
            <w:pPr>
              <w:pStyle w:val="11"/>
              <w:bidi w:val="0"/>
              <w:jc w:val="center"/>
              <w:rPr>
                <w:rFonts w:hint="eastAsia"/>
                <w:color w:val="000000"/>
                <w:lang w:val="zh-CN"/>
              </w:rPr>
            </w:pPr>
            <w:r>
              <w:rPr>
                <w:rFonts w:hint="eastAsia"/>
                <w:color w:val="000000"/>
                <w:lang w:val="zh-CN"/>
              </w:rPr>
              <w:t>-5.6%</w:t>
            </w:r>
          </w:p>
        </w:tc>
      </w:tr>
    </w:tbl>
    <w:p w14:paraId="142880BC">
      <w:pPr>
        <w:bidi w:val="0"/>
        <w:ind w:left="0" w:leftChars="0" w:firstLine="0" w:firstLineChars="0"/>
        <w:jc w:val="center"/>
        <w:rPr>
          <w:rFonts w:hint="eastAsia"/>
          <w:b/>
          <w:bCs/>
          <w:lang w:val="zh-CN"/>
        </w:rPr>
      </w:pPr>
      <w:r>
        <w:rPr>
          <w:rFonts w:hint="eastAsia"/>
          <w:b/>
          <w:bCs/>
          <w:lang w:val="zh-CN"/>
        </w:rPr>
        <w:t>表25</w:t>
      </w:r>
      <w:r>
        <w:rPr>
          <w:rFonts w:hint="eastAsia"/>
          <w:b/>
          <w:bCs/>
          <w:lang w:val="en-US" w:eastAsia="zh-CN"/>
        </w:rPr>
        <w:t xml:space="preserve">  </w:t>
      </w:r>
      <w:r>
        <w:rPr>
          <w:rFonts w:hint="eastAsia"/>
          <w:b/>
          <w:bCs/>
          <w:lang w:val="zh-CN"/>
        </w:rPr>
        <w:t>城市区域环境噪声质量等级划分</w:t>
      </w:r>
    </w:p>
    <w:p w14:paraId="57DB2FEC">
      <w:pPr>
        <w:bidi w:val="0"/>
        <w:jc w:val="right"/>
        <w:rPr>
          <w:rFonts w:hint="eastAsia"/>
          <w:lang w:val="zh-CN"/>
        </w:rPr>
      </w:pPr>
      <w:r>
        <w:rPr>
          <w:rFonts w:hint="eastAsia"/>
          <w:lang w:val="zh-CN"/>
        </w:rPr>
        <w:t>平均等效声级：dB（A）</w:t>
      </w:r>
    </w:p>
    <w:tbl>
      <w:tblPr>
        <w:tblStyle w:val="7"/>
        <w:tblW w:w="0" w:type="auto"/>
        <w:tblInd w:w="0" w:type="dxa"/>
        <w:tblLayout w:type="fixed"/>
        <w:tblCellMar>
          <w:top w:w="0" w:type="dxa"/>
          <w:left w:w="0" w:type="dxa"/>
          <w:bottom w:w="0" w:type="dxa"/>
          <w:right w:w="0" w:type="dxa"/>
        </w:tblCellMar>
      </w:tblPr>
      <w:tblGrid>
        <w:gridCol w:w="1893"/>
        <w:gridCol w:w="1892"/>
        <w:gridCol w:w="1893"/>
        <w:gridCol w:w="1893"/>
        <w:gridCol w:w="1892"/>
      </w:tblGrid>
      <w:tr w14:paraId="147701B2">
        <w:tblPrEx>
          <w:tblCellMar>
            <w:top w:w="0" w:type="dxa"/>
            <w:left w:w="0" w:type="dxa"/>
            <w:bottom w:w="0" w:type="dxa"/>
            <w:right w:w="0" w:type="dxa"/>
          </w:tblCellMar>
        </w:tblPrEx>
        <w:trPr>
          <w:trHeight w:val="396" w:hRule="atLeast"/>
          <w:tblHeader/>
        </w:trPr>
        <w:tc>
          <w:tcPr>
            <w:tcW w:w="1893" w:type="dxa"/>
            <w:tcBorders>
              <w:top w:val="single" w:color="000000" w:sz="4" w:space="0"/>
              <w:left w:val="nil"/>
              <w:bottom w:val="single" w:color="000000" w:sz="4" w:space="0"/>
              <w:right w:val="single" w:color="000000" w:sz="4" w:space="0"/>
            </w:tcBorders>
            <w:shd w:val="clear" w:color="auto" w:fill="FFFFFF"/>
            <w:noWrap w:val="0"/>
            <w:tcMar>
              <w:top w:w="0" w:type="dxa"/>
              <w:left w:w="0" w:type="dxa"/>
              <w:bottom w:w="0" w:type="dxa"/>
              <w:right w:w="0" w:type="dxa"/>
            </w:tcMar>
            <w:vAlign w:val="center"/>
          </w:tcPr>
          <w:p w14:paraId="730A1600">
            <w:pPr>
              <w:pStyle w:val="11"/>
              <w:bidi w:val="0"/>
              <w:jc w:val="center"/>
              <w:rPr>
                <w:rFonts w:hint="eastAsia"/>
                <w:b/>
                <w:bCs/>
                <w:color w:val="000000"/>
                <w:lang w:val="zh-CN"/>
              </w:rPr>
            </w:pPr>
            <w:r>
              <w:rPr>
                <w:rFonts w:hint="eastAsia"/>
                <w:b/>
                <w:bCs/>
                <w:color w:val="000000"/>
                <w:lang w:val="zh-CN"/>
              </w:rPr>
              <w:t>重度污染</w:t>
            </w:r>
          </w:p>
        </w:tc>
        <w:tc>
          <w:tcPr>
            <w:tcW w:w="1892" w:type="dxa"/>
            <w:tcBorders>
              <w:top w:val="single" w:color="000000" w:sz="4" w:space="0"/>
              <w:left w:val="single" w:color="000000" w:sz="4" w:space="0"/>
              <w:bottom w:val="single" w:color="000000" w:sz="4" w:space="0"/>
              <w:right w:val="single" w:color="000000" w:sz="4" w:space="0"/>
            </w:tcBorders>
            <w:shd w:val="clear" w:color="auto" w:fill="FFFFFF"/>
            <w:noWrap w:val="0"/>
            <w:tcMar>
              <w:top w:w="0" w:type="dxa"/>
              <w:left w:w="0" w:type="dxa"/>
              <w:bottom w:w="0" w:type="dxa"/>
              <w:right w:w="0" w:type="dxa"/>
            </w:tcMar>
            <w:vAlign w:val="center"/>
          </w:tcPr>
          <w:p w14:paraId="746300CE">
            <w:pPr>
              <w:pStyle w:val="11"/>
              <w:bidi w:val="0"/>
              <w:jc w:val="center"/>
              <w:rPr>
                <w:rFonts w:hint="eastAsia"/>
                <w:b/>
                <w:bCs/>
                <w:color w:val="000000"/>
                <w:lang w:val="zh-CN"/>
              </w:rPr>
            </w:pPr>
            <w:r>
              <w:rPr>
                <w:rFonts w:hint="eastAsia"/>
                <w:b/>
                <w:bCs/>
                <w:color w:val="000000"/>
                <w:lang w:val="zh-CN"/>
              </w:rPr>
              <w:t>中度污染</w:t>
            </w:r>
          </w:p>
        </w:tc>
        <w:tc>
          <w:tcPr>
            <w:tcW w:w="1893" w:type="dxa"/>
            <w:tcBorders>
              <w:top w:val="single" w:color="000000" w:sz="4" w:space="0"/>
              <w:left w:val="single" w:color="000000" w:sz="4" w:space="0"/>
              <w:bottom w:val="single" w:color="000000" w:sz="4" w:space="0"/>
              <w:right w:val="single" w:color="000000" w:sz="4" w:space="0"/>
            </w:tcBorders>
            <w:shd w:val="clear" w:color="auto" w:fill="FFFFFF"/>
            <w:noWrap w:val="0"/>
            <w:tcMar>
              <w:top w:w="0" w:type="dxa"/>
              <w:left w:w="0" w:type="dxa"/>
              <w:bottom w:w="0" w:type="dxa"/>
              <w:right w:w="0" w:type="dxa"/>
            </w:tcMar>
            <w:vAlign w:val="center"/>
          </w:tcPr>
          <w:p w14:paraId="5FD73A05">
            <w:pPr>
              <w:pStyle w:val="11"/>
              <w:bidi w:val="0"/>
              <w:jc w:val="center"/>
              <w:rPr>
                <w:rFonts w:hint="eastAsia"/>
                <w:b/>
                <w:bCs/>
                <w:color w:val="000000"/>
                <w:lang w:val="zh-CN"/>
              </w:rPr>
            </w:pPr>
            <w:r>
              <w:rPr>
                <w:rFonts w:hint="eastAsia"/>
                <w:b/>
                <w:bCs/>
                <w:color w:val="000000"/>
                <w:lang w:val="zh-CN"/>
              </w:rPr>
              <w:t>轻度污染</w:t>
            </w:r>
          </w:p>
        </w:tc>
        <w:tc>
          <w:tcPr>
            <w:tcW w:w="1893" w:type="dxa"/>
            <w:tcBorders>
              <w:top w:val="single" w:color="000000" w:sz="4" w:space="0"/>
              <w:left w:val="single" w:color="000000" w:sz="4" w:space="0"/>
              <w:bottom w:val="single" w:color="000000" w:sz="4" w:space="0"/>
              <w:right w:val="single" w:color="000000" w:sz="4" w:space="0"/>
            </w:tcBorders>
            <w:shd w:val="clear" w:color="auto" w:fill="FFFFFF"/>
            <w:noWrap w:val="0"/>
            <w:tcMar>
              <w:top w:w="0" w:type="dxa"/>
              <w:left w:w="0" w:type="dxa"/>
              <w:bottom w:w="0" w:type="dxa"/>
              <w:right w:w="0" w:type="dxa"/>
            </w:tcMar>
            <w:vAlign w:val="center"/>
          </w:tcPr>
          <w:p w14:paraId="3C23F9D6">
            <w:pPr>
              <w:pStyle w:val="11"/>
              <w:bidi w:val="0"/>
              <w:jc w:val="center"/>
              <w:rPr>
                <w:rFonts w:hint="eastAsia"/>
                <w:b/>
                <w:bCs/>
                <w:color w:val="000000"/>
                <w:lang w:val="zh-CN"/>
              </w:rPr>
            </w:pPr>
            <w:r>
              <w:rPr>
                <w:rFonts w:hint="eastAsia"/>
                <w:b/>
                <w:bCs/>
                <w:color w:val="000000"/>
                <w:lang w:val="zh-CN"/>
              </w:rPr>
              <w:t>较好</w:t>
            </w:r>
          </w:p>
        </w:tc>
        <w:tc>
          <w:tcPr>
            <w:tcW w:w="1892" w:type="dxa"/>
            <w:tcBorders>
              <w:top w:val="single" w:color="000000" w:sz="4" w:space="0"/>
              <w:left w:val="single" w:color="000000" w:sz="4" w:space="0"/>
              <w:bottom w:val="single" w:color="000000" w:sz="4" w:space="0"/>
              <w:right w:val="nil"/>
            </w:tcBorders>
            <w:shd w:val="clear" w:color="auto" w:fill="FFFFFF"/>
            <w:noWrap w:val="0"/>
            <w:tcMar>
              <w:top w:w="0" w:type="dxa"/>
              <w:left w:w="0" w:type="dxa"/>
              <w:bottom w:w="0" w:type="dxa"/>
              <w:right w:w="0" w:type="dxa"/>
            </w:tcMar>
            <w:vAlign w:val="center"/>
          </w:tcPr>
          <w:p w14:paraId="392035A7">
            <w:pPr>
              <w:pStyle w:val="11"/>
              <w:bidi w:val="0"/>
              <w:jc w:val="center"/>
              <w:rPr>
                <w:rFonts w:hint="eastAsia"/>
                <w:b/>
                <w:bCs/>
                <w:color w:val="000000"/>
                <w:lang w:val="zh-CN"/>
              </w:rPr>
            </w:pPr>
            <w:r>
              <w:rPr>
                <w:rFonts w:hint="eastAsia"/>
                <w:b/>
                <w:bCs/>
                <w:color w:val="000000"/>
                <w:lang w:val="zh-CN"/>
              </w:rPr>
              <w:t>好</w:t>
            </w:r>
          </w:p>
        </w:tc>
      </w:tr>
      <w:tr w14:paraId="7F500076">
        <w:tblPrEx>
          <w:tblCellMar>
            <w:top w:w="0" w:type="dxa"/>
            <w:left w:w="0" w:type="dxa"/>
            <w:bottom w:w="0" w:type="dxa"/>
            <w:right w:w="0" w:type="dxa"/>
          </w:tblCellMar>
        </w:tblPrEx>
        <w:trPr>
          <w:trHeight w:val="396" w:hRule="atLeast"/>
        </w:trPr>
        <w:tc>
          <w:tcPr>
            <w:tcW w:w="1893" w:type="dxa"/>
            <w:tcBorders>
              <w:top w:val="single" w:color="000000" w:sz="4" w:space="0"/>
              <w:left w:val="nil"/>
              <w:bottom w:val="single" w:color="000000" w:sz="4" w:space="0"/>
              <w:right w:val="single" w:color="000000" w:sz="4" w:space="0"/>
            </w:tcBorders>
            <w:shd w:val="clear" w:color="auto" w:fill="FFFFFF"/>
            <w:noWrap w:val="0"/>
            <w:tcMar>
              <w:top w:w="0" w:type="dxa"/>
              <w:left w:w="57" w:type="dxa"/>
              <w:bottom w:w="0" w:type="dxa"/>
              <w:right w:w="57" w:type="dxa"/>
            </w:tcMar>
            <w:vAlign w:val="center"/>
          </w:tcPr>
          <w:p w14:paraId="4B1E09B4">
            <w:pPr>
              <w:pStyle w:val="11"/>
              <w:bidi w:val="0"/>
              <w:jc w:val="center"/>
              <w:rPr>
                <w:rFonts w:hint="eastAsia"/>
                <w:color w:val="000000"/>
                <w:lang w:val="zh-CN"/>
              </w:rPr>
            </w:pPr>
            <w:r>
              <w:rPr>
                <w:rFonts w:hint="eastAsia"/>
                <w:color w:val="000000"/>
                <w:lang w:val="zh-CN"/>
              </w:rPr>
              <w:t>＞65.0</w:t>
            </w:r>
          </w:p>
        </w:tc>
        <w:tc>
          <w:tcPr>
            <w:tcW w:w="1892" w:type="dxa"/>
            <w:tcBorders>
              <w:top w:val="single" w:color="000000" w:sz="4" w:space="0"/>
              <w:left w:val="single" w:color="000000" w:sz="4" w:space="0"/>
              <w:bottom w:val="single" w:color="000000" w:sz="4" w:space="0"/>
              <w:right w:val="single" w:color="000000" w:sz="4" w:space="0"/>
            </w:tcBorders>
            <w:shd w:val="clear" w:color="auto" w:fill="FFFFFF"/>
            <w:noWrap w:val="0"/>
            <w:tcMar>
              <w:top w:w="0" w:type="dxa"/>
              <w:left w:w="57" w:type="dxa"/>
              <w:bottom w:w="0" w:type="dxa"/>
              <w:right w:w="57" w:type="dxa"/>
            </w:tcMar>
            <w:vAlign w:val="center"/>
          </w:tcPr>
          <w:p w14:paraId="6278EE74">
            <w:pPr>
              <w:pStyle w:val="11"/>
              <w:bidi w:val="0"/>
              <w:jc w:val="center"/>
              <w:rPr>
                <w:rFonts w:hint="eastAsia"/>
                <w:color w:val="000000"/>
                <w:lang w:val="zh-CN"/>
              </w:rPr>
            </w:pPr>
            <w:r>
              <w:rPr>
                <w:rFonts w:hint="eastAsia"/>
                <w:color w:val="000000"/>
                <w:lang w:val="zh-CN"/>
              </w:rPr>
              <w:t>60.1～65.0</w:t>
            </w:r>
          </w:p>
        </w:tc>
        <w:tc>
          <w:tcPr>
            <w:tcW w:w="1893" w:type="dxa"/>
            <w:tcBorders>
              <w:top w:val="single" w:color="000000" w:sz="4" w:space="0"/>
              <w:left w:val="single" w:color="000000" w:sz="4" w:space="0"/>
              <w:bottom w:val="single" w:color="000000" w:sz="4" w:space="0"/>
              <w:right w:val="single" w:color="000000" w:sz="4" w:space="0"/>
            </w:tcBorders>
            <w:shd w:val="clear" w:color="auto" w:fill="FFFFFF"/>
            <w:noWrap w:val="0"/>
            <w:tcMar>
              <w:top w:w="0" w:type="dxa"/>
              <w:left w:w="57" w:type="dxa"/>
              <w:bottom w:w="0" w:type="dxa"/>
              <w:right w:w="57" w:type="dxa"/>
            </w:tcMar>
            <w:vAlign w:val="center"/>
          </w:tcPr>
          <w:p w14:paraId="7B9B39B3">
            <w:pPr>
              <w:pStyle w:val="11"/>
              <w:bidi w:val="0"/>
              <w:jc w:val="center"/>
              <w:rPr>
                <w:rFonts w:hint="eastAsia"/>
                <w:color w:val="000000"/>
                <w:lang w:val="zh-CN"/>
              </w:rPr>
            </w:pPr>
            <w:r>
              <w:rPr>
                <w:rFonts w:hint="eastAsia"/>
                <w:color w:val="000000"/>
                <w:lang w:val="zh-CN"/>
              </w:rPr>
              <w:t>55.1～60.0</w:t>
            </w:r>
          </w:p>
        </w:tc>
        <w:tc>
          <w:tcPr>
            <w:tcW w:w="1893" w:type="dxa"/>
            <w:tcBorders>
              <w:top w:val="single" w:color="000000" w:sz="4" w:space="0"/>
              <w:left w:val="single" w:color="000000" w:sz="4" w:space="0"/>
              <w:bottom w:val="single" w:color="000000" w:sz="4" w:space="0"/>
              <w:right w:val="single" w:color="000000" w:sz="4" w:space="0"/>
            </w:tcBorders>
            <w:shd w:val="clear" w:color="auto" w:fill="FFFFFF"/>
            <w:noWrap w:val="0"/>
            <w:tcMar>
              <w:top w:w="0" w:type="dxa"/>
              <w:left w:w="57" w:type="dxa"/>
              <w:bottom w:w="0" w:type="dxa"/>
              <w:right w:w="57" w:type="dxa"/>
            </w:tcMar>
            <w:vAlign w:val="center"/>
          </w:tcPr>
          <w:p w14:paraId="62482A5E">
            <w:pPr>
              <w:pStyle w:val="11"/>
              <w:bidi w:val="0"/>
              <w:jc w:val="center"/>
              <w:rPr>
                <w:rFonts w:hint="eastAsia"/>
                <w:color w:val="000000"/>
                <w:lang w:val="zh-CN"/>
              </w:rPr>
            </w:pPr>
            <w:r>
              <w:rPr>
                <w:rFonts w:hint="eastAsia"/>
                <w:color w:val="000000"/>
                <w:lang w:val="zh-CN"/>
              </w:rPr>
              <w:t>50.1～55.0</w:t>
            </w:r>
          </w:p>
        </w:tc>
        <w:tc>
          <w:tcPr>
            <w:tcW w:w="1892" w:type="dxa"/>
            <w:tcBorders>
              <w:top w:val="single" w:color="000000" w:sz="4" w:space="0"/>
              <w:left w:val="single" w:color="000000" w:sz="4" w:space="0"/>
              <w:bottom w:val="single" w:color="000000" w:sz="4" w:space="0"/>
              <w:right w:val="nil"/>
            </w:tcBorders>
            <w:shd w:val="clear" w:color="auto" w:fill="FFFFFF"/>
            <w:noWrap w:val="0"/>
            <w:tcMar>
              <w:top w:w="0" w:type="dxa"/>
              <w:left w:w="57" w:type="dxa"/>
              <w:bottom w:w="0" w:type="dxa"/>
              <w:right w:w="57" w:type="dxa"/>
            </w:tcMar>
            <w:vAlign w:val="center"/>
          </w:tcPr>
          <w:p w14:paraId="6F467CC4">
            <w:pPr>
              <w:pStyle w:val="11"/>
              <w:bidi w:val="0"/>
              <w:jc w:val="center"/>
              <w:rPr>
                <w:rFonts w:hint="eastAsia"/>
                <w:color w:val="000000"/>
                <w:lang w:val="zh-CN"/>
              </w:rPr>
            </w:pPr>
            <w:r>
              <w:rPr>
                <w:rFonts w:hint="eastAsia"/>
                <w:color w:val="000000"/>
                <w:lang w:val="zh-CN"/>
              </w:rPr>
              <w:t>≤50.0</w:t>
            </w:r>
          </w:p>
        </w:tc>
      </w:tr>
    </w:tbl>
    <w:p w14:paraId="5CBDC2FE">
      <w:pPr>
        <w:bidi w:val="0"/>
        <w:jc w:val="right"/>
        <w:rPr>
          <w:rFonts w:hint="eastAsia"/>
          <w:b/>
          <w:bCs/>
          <w:lang w:val="zh-CN"/>
        </w:rPr>
      </w:pPr>
      <w:r>
        <w:rPr>
          <w:rFonts w:hint="eastAsia"/>
          <w:b/>
          <w:bCs/>
          <w:lang w:val="zh-CN"/>
        </w:rPr>
        <w:t>（何</w:t>
      </w:r>
      <w:r>
        <w:rPr>
          <w:rFonts w:hint="eastAsia"/>
          <w:b/>
          <w:bCs/>
          <w:lang w:val="en-US" w:eastAsia="zh-CN"/>
        </w:rPr>
        <w:t xml:space="preserve">  </w:t>
      </w:r>
      <w:r>
        <w:rPr>
          <w:rFonts w:hint="eastAsia"/>
          <w:b/>
          <w:bCs/>
          <w:lang w:val="zh-CN"/>
        </w:rPr>
        <w:t>高）</w:t>
      </w:r>
    </w:p>
    <w:p w14:paraId="730331E1">
      <w:pPr>
        <w:pStyle w:val="11"/>
        <w:bidi w:val="0"/>
        <w:rPr>
          <w:rFonts w:hint="eastAsia"/>
          <w:b/>
          <w:bCs/>
          <w:lang w:val="zh-CN"/>
        </w:rPr>
      </w:pPr>
      <w:r>
        <w:rPr>
          <w:rFonts w:hint="eastAsia"/>
          <w:b/>
          <w:bCs/>
          <w:lang w:val="zh-CN"/>
        </w:rPr>
        <w:t>附：2018年市环保局领导班子成员名单</w:t>
      </w:r>
    </w:p>
    <w:p w14:paraId="430C022A">
      <w:pPr>
        <w:pStyle w:val="11"/>
        <w:bidi w:val="0"/>
        <w:rPr>
          <w:rFonts w:hint="eastAsia"/>
          <w:lang w:val="zh-CN"/>
        </w:rPr>
      </w:pPr>
      <w:r>
        <w:rPr>
          <w:rFonts w:hint="eastAsia"/>
          <w:b/>
          <w:bCs/>
          <w:lang w:val="zh-CN"/>
        </w:rPr>
        <w:t>党组书记、局长：</w:t>
      </w:r>
      <w:r>
        <w:rPr>
          <w:rFonts w:hint="eastAsia"/>
          <w:lang w:val="zh-CN"/>
        </w:rPr>
        <w:t>叶贤银</w:t>
      </w:r>
    </w:p>
    <w:p w14:paraId="146A2875">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王全生</w:t>
      </w:r>
      <w:r>
        <w:rPr>
          <w:rFonts w:hint="eastAsia"/>
          <w:lang w:val="en-US" w:eastAsia="zh-CN"/>
        </w:rPr>
        <w:t xml:space="preserve">   </w:t>
      </w:r>
      <w:r>
        <w:rPr>
          <w:rFonts w:hint="eastAsia"/>
          <w:lang w:val="zh-CN"/>
        </w:rPr>
        <w:t>张宗正</w:t>
      </w:r>
      <w:r>
        <w:rPr>
          <w:rFonts w:hint="eastAsia"/>
          <w:lang w:val="en-US" w:eastAsia="zh-CN"/>
        </w:rPr>
        <w:t xml:space="preserve">   </w:t>
      </w:r>
      <w:r>
        <w:rPr>
          <w:rFonts w:hint="eastAsia"/>
          <w:lang w:val="zh-CN"/>
        </w:rPr>
        <w:t>袁小平</w:t>
      </w:r>
    </w:p>
    <w:p w14:paraId="171ACEB0">
      <w:pPr>
        <w:pStyle w:val="11"/>
        <w:bidi w:val="0"/>
        <w:rPr>
          <w:rFonts w:hint="eastAsia"/>
          <w:lang w:val="zh-CN"/>
        </w:rPr>
      </w:pPr>
      <w:r>
        <w:rPr>
          <w:rFonts w:hint="eastAsia"/>
          <w:b/>
          <w:bCs/>
          <w:lang w:val="zh-CN"/>
        </w:rPr>
        <w:t>工会主席：</w:t>
      </w:r>
      <w:r>
        <w:rPr>
          <w:rFonts w:hint="eastAsia"/>
          <w:lang w:val="zh-CN"/>
        </w:rPr>
        <w:t>刘剑锐（任至11月）</w:t>
      </w:r>
    </w:p>
    <w:p w14:paraId="66F8FFC9">
      <w:pPr>
        <w:pStyle w:val="2"/>
        <w:bidi w:val="0"/>
        <w:rPr>
          <w:rFonts w:hint="eastAsia"/>
        </w:rPr>
      </w:pPr>
      <w:r>
        <w:rPr>
          <w:rFonts w:hint="eastAsia"/>
        </w:rPr>
        <w:t>科技·教育·文化·广电·旅游·体育</w:t>
      </w:r>
    </w:p>
    <w:p w14:paraId="45671914">
      <w:pPr>
        <w:pStyle w:val="3"/>
        <w:bidi w:val="0"/>
        <w:rPr>
          <w:rFonts w:hint="eastAsia"/>
          <w:lang w:val="zh-CN"/>
        </w:rPr>
      </w:pPr>
      <w:r>
        <w:rPr>
          <w:rFonts w:hint="eastAsia"/>
          <w:lang w:val="zh-CN"/>
        </w:rPr>
        <w:t>烟草研究</w:t>
      </w:r>
    </w:p>
    <w:p w14:paraId="60E7BA67">
      <w:pPr>
        <w:pStyle w:val="4"/>
        <w:bidi w:val="0"/>
        <w:rPr>
          <w:rFonts w:hint="eastAsia"/>
          <w:lang w:val="zh-CN"/>
        </w:rPr>
      </w:pPr>
      <w:r>
        <w:rPr>
          <w:rFonts w:hint="eastAsia"/>
          <w:lang w:val="zh-CN"/>
        </w:rPr>
        <w:t>【概况】</w:t>
      </w:r>
    </w:p>
    <w:p w14:paraId="54050839">
      <w:pPr>
        <w:bidi w:val="0"/>
        <w:rPr>
          <w:rFonts w:hint="eastAsia"/>
          <w:lang w:val="zh-CN"/>
        </w:rPr>
      </w:pPr>
      <w:r>
        <w:rPr>
          <w:rFonts w:hint="eastAsia"/>
          <w:lang w:val="zh-CN"/>
        </w:rPr>
        <w:t>广东省烟草南雄科学研究所前身是成立于1963年的“广东省南雄烟草试验站”，1987年更名为“广东省南雄烟草研究所”，2002年更名为“广东省烟草南雄科学研究所”。2012年12月，广东省烟草专卖局（公司）成立广东烟草粤北烟叶生产技术中心，与广东省烟草南雄科学研究所合署办公，行政关系隶属于韶关市烟草专卖局（公司），业务上由广东省烟草专卖局（公司）相关职能部门管理。主要职责是：开展烟草品种选育、栽培、调制、植保、现代烟草农业建设等方面科技项目的研究和成果转化工作。下设科技管理与协作办公室、烟草育种研究室、烟草栽培与调制研究室、烟草植物保护研究室和检测检验室5个职能部门，2018年在职员工26人，其中副高职称6人，中级职称6人，博士学位2人，硕士学位7人。</w:t>
      </w:r>
    </w:p>
    <w:p w14:paraId="7C30CA3A">
      <w:pPr>
        <w:pStyle w:val="4"/>
        <w:bidi w:val="0"/>
        <w:rPr>
          <w:rFonts w:hint="eastAsia"/>
          <w:lang w:val="zh-CN"/>
        </w:rPr>
      </w:pPr>
      <w:r>
        <w:rPr>
          <w:rFonts w:hint="eastAsia"/>
          <w:lang w:val="zh-CN"/>
        </w:rPr>
        <w:t>【科研项目】</w:t>
      </w:r>
    </w:p>
    <w:p w14:paraId="306147DB">
      <w:pPr>
        <w:bidi w:val="0"/>
        <w:rPr>
          <w:rFonts w:hint="eastAsia"/>
          <w:lang w:val="zh-CN"/>
        </w:rPr>
      </w:pPr>
      <w:r>
        <w:rPr>
          <w:rFonts w:hint="eastAsia"/>
          <w:lang w:val="zh-CN"/>
        </w:rPr>
        <w:t>2018年度，广东省烟草南雄科学研究所有在研国家烟草专卖局科技项目2项，广东省烟草专卖局（公司）科技项目15项，相关中烟工业公司科技项目5项。内容涉及新品种选育、土壤保育、烟草绿色防控、新型节能环保烘烤技术等，其中自主创新“红彩真猎蝽”繁育方面取得突破性进展。</w:t>
      </w:r>
    </w:p>
    <w:p w14:paraId="1D2A3EBB">
      <w:pPr>
        <w:pStyle w:val="4"/>
        <w:bidi w:val="0"/>
        <w:rPr>
          <w:rFonts w:hint="eastAsia"/>
          <w:lang w:val="zh-CN"/>
        </w:rPr>
      </w:pPr>
      <w:r>
        <w:rPr>
          <w:rFonts w:hint="eastAsia"/>
          <w:lang w:val="zh-CN"/>
        </w:rPr>
        <w:t>【科技服务】</w:t>
      </w:r>
    </w:p>
    <w:p w14:paraId="6E4D43AD">
      <w:pPr>
        <w:bidi w:val="0"/>
        <w:rPr>
          <w:rFonts w:hint="eastAsia"/>
          <w:lang w:val="zh-CN"/>
        </w:rPr>
      </w:pPr>
      <w:r>
        <w:rPr>
          <w:rFonts w:hint="eastAsia"/>
          <w:lang w:val="zh-CN"/>
        </w:rPr>
        <w:t>完成全省16.1万亩烤烟生产良种繁育、包衣加工与供应；完成全省植烟土壤、烟用肥料、烟叶样品日常检测和质量监测工作；开展全省烟草病虫害预测预报工作，发放病虫情报11期；举办各类技术培训14期，受训3200多人次，发放各类技术资料1万多份；派出技术员41人次，解决各类生产技术问题18件；为4家中烟公司4个基地单元提供技术服务。</w:t>
      </w:r>
    </w:p>
    <w:p w14:paraId="42115DEE">
      <w:pPr>
        <w:pStyle w:val="4"/>
        <w:bidi w:val="0"/>
        <w:rPr>
          <w:rFonts w:hint="eastAsia"/>
          <w:lang w:val="zh-CN"/>
        </w:rPr>
      </w:pPr>
      <w:r>
        <w:rPr>
          <w:rFonts w:hint="eastAsia"/>
          <w:lang w:val="zh-CN"/>
        </w:rPr>
        <w:t>【科技成果】</w:t>
      </w:r>
    </w:p>
    <w:p w14:paraId="7B3C1FA4">
      <w:pPr>
        <w:bidi w:val="0"/>
        <w:rPr>
          <w:rFonts w:hint="eastAsia"/>
          <w:lang w:val="zh-CN"/>
        </w:rPr>
      </w:pPr>
      <w:r>
        <w:rPr>
          <w:rFonts w:hint="eastAsia"/>
          <w:lang w:val="zh-CN"/>
        </w:rPr>
        <w:t>2018年，南雄烟科所（粤北技术中心）鉴定和验收科技项目10项；获得广东省人民政府科学技术奖三等奖1项，广东省农业技术推广奖一等奖1项、二等奖1项；出版专著2本，发表学术论文4篇。获得发明专利授权4项、实用新型专利授权8项。通过强化技术培训和技术指导、建设示范片等多种方式，2018年度推广应用的主要成果有“烟草病虫害绿色防控技术”1.07万公顷，“土壤保育”各类技术6213.33公顷，“测土配方施肥技术”1.07万公顷，取得显著经济社会效益。</w:t>
      </w:r>
    </w:p>
    <w:p w14:paraId="63AED801">
      <w:pPr>
        <w:pStyle w:val="4"/>
        <w:bidi w:val="0"/>
        <w:rPr>
          <w:rFonts w:hint="eastAsia"/>
          <w:lang w:val="zh-CN"/>
        </w:rPr>
      </w:pPr>
      <w:r>
        <w:rPr>
          <w:rFonts w:hint="eastAsia"/>
          <w:lang w:val="zh-CN"/>
        </w:rPr>
        <w:t>【交流合作】</w:t>
      </w:r>
    </w:p>
    <w:p w14:paraId="387CD694">
      <w:pPr>
        <w:bidi w:val="0"/>
        <w:rPr>
          <w:rFonts w:hint="eastAsia"/>
          <w:lang w:val="zh-CN"/>
        </w:rPr>
      </w:pPr>
      <w:r>
        <w:rPr>
          <w:rFonts w:hint="eastAsia"/>
          <w:lang w:val="zh-CN"/>
        </w:rPr>
        <w:t>坚持以工业需求为导向，以项目为纽带，采取“产学研”和“工商研”合作模式加强合作交流。加强与华南农业大学、广东省农业科学院、广东省生态环境与土壤研究所等高等院校、科研院所建立良好科研协作关系，充分挖掘合作方的智力资源和设备优势，确保如“土壤保育”“绿色防控”等共性、重大科技项目实施。联合广东省各烟叶产区公司、相关中烟工业公司，以工业需求为导向，共同开展定向技术攻关研究、开发与技术推广工作。</w:t>
      </w:r>
    </w:p>
    <w:p w14:paraId="6C523BCF">
      <w:pPr>
        <w:bidi w:val="0"/>
        <w:jc w:val="right"/>
        <w:rPr>
          <w:rFonts w:hint="eastAsia"/>
          <w:b/>
          <w:bCs/>
          <w:lang w:val="zh-CN"/>
        </w:rPr>
      </w:pPr>
      <w:r>
        <w:rPr>
          <w:rFonts w:hint="eastAsia"/>
          <w:b/>
          <w:bCs/>
          <w:lang w:val="zh-CN"/>
        </w:rPr>
        <w:t>（陈永明）</w:t>
      </w:r>
    </w:p>
    <w:p w14:paraId="16825BB7">
      <w:pPr>
        <w:pStyle w:val="11"/>
        <w:bidi w:val="0"/>
        <w:rPr>
          <w:rFonts w:hint="eastAsia"/>
          <w:b/>
          <w:bCs/>
          <w:lang w:val="zh-CN"/>
        </w:rPr>
      </w:pPr>
      <w:r>
        <w:rPr>
          <w:rFonts w:hint="eastAsia"/>
          <w:b/>
          <w:bCs/>
          <w:lang w:val="zh-CN"/>
        </w:rPr>
        <w:t>附：2018年市烟科所领导班子成员名单</w:t>
      </w:r>
    </w:p>
    <w:p w14:paraId="2789EA27">
      <w:pPr>
        <w:pStyle w:val="11"/>
        <w:bidi w:val="0"/>
        <w:rPr>
          <w:rFonts w:hint="eastAsia"/>
          <w:lang w:val="zh-CN"/>
        </w:rPr>
      </w:pPr>
      <w:r>
        <w:rPr>
          <w:rFonts w:hint="eastAsia"/>
          <w:b/>
          <w:bCs/>
          <w:lang w:val="zh-CN"/>
        </w:rPr>
        <w:t>所</w:t>
      </w:r>
      <w:r>
        <w:rPr>
          <w:rFonts w:hint="eastAsia"/>
          <w:b/>
          <w:bCs/>
          <w:lang w:val="en-US" w:eastAsia="zh-CN"/>
        </w:rPr>
        <w:t xml:space="preserve">  </w:t>
      </w:r>
      <w:r>
        <w:rPr>
          <w:rFonts w:hint="eastAsia"/>
          <w:b/>
          <w:bCs/>
          <w:lang w:val="zh-CN"/>
        </w:rPr>
        <w:t>长：</w:t>
      </w:r>
      <w:r>
        <w:rPr>
          <w:rFonts w:hint="eastAsia"/>
          <w:lang w:val="zh-CN"/>
        </w:rPr>
        <w:t>李茂军</w:t>
      </w:r>
    </w:p>
    <w:p w14:paraId="01B37066">
      <w:pPr>
        <w:pStyle w:val="11"/>
        <w:bidi w:val="0"/>
        <w:rPr>
          <w:rFonts w:hint="eastAsia"/>
          <w:lang w:val="zh-CN"/>
        </w:rPr>
      </w:pPr>
      <w:r>
        <w:rPr>
          <w:rFonts w:hint="eastAsia"/>
          <w:b/>
          <w:bCs/>
          <w:lang w:val="zh-CN"/>
        </w:rPr>
        <w:t>副所长：</w:t>
      </w:r>
      <w:r>
        <w:rPr>
          <w:rFonts w:hint="eastAsia"/>
          <w:lang w:val="zh-CN"/>
        </w:rPr>
        <w:t>陈永明</w:t>
      </w:r>
      <w:r>
        <w:rPr>
          <w:rFonts w:hint="eastAsia"/>
          <w:lang w:val="en-US" w:eastAsia="zh-CN"/>
        </w:rPr>
        <w:t xml:space="preserve">   </w:t>
      </w:r>
      <w:r>
        <w:rPr>
          <w:rFonts w:hint="eastAsia"/>
          <w:lang w:val="zh-CN"/>
        </w:rPr>
        <w:t>王</w:t>
      </w:r>
      <w:r>
        <w:rPr>
          <w:rFonts w:hint="eastAsia"/>
          <w:lang w:val="en-US" w:eastAsia="zh-CN"/>
        </w:rPr>
        <w:t xml:space="preserve">  </w:t>
      </w:r>
      <w:r>
        <w:rPr>
          <w:rFonts w:hint="eastAsia"/>
          <w:lang w:val="zh-CN"/>
        </w:rPr>
        <w:t>军</w:t>
      </w:r>
    </w:p>
    <w:p w14:paraId="2352145C">
      <w:pPr>
        <w:pStyle w:val="3"/>
        <w:bidi w:val="0"/>
        <w:rPr>
          <w:rFonts w:hint="eastAsia"/>
          <w:lang w:val="zh-CN"/>
        </w:rPr>
      </w:pPr>
      <w:r>
        <w:rPr>
          <w:rFonts w:hint="eastAsia"/>
          <w:lang w:val="zh-CN"/>
        </w:rPr>
        <w:t>教育</w:t>
      </w:r>
    </w:p>
    <w:p w14:paraId="6BDD17B7">
      <w:pPr>
        <w:pStyle w:val="4"/>
        <w:bidi w:val="0"/>
        <w:rPr>
          <w:rFonts w:hint="eastAsia"/>
          <w:lang w:val="zh-CN"/>
        </w:rPr>
      </w:pPr>
      <w:r>
        <w:rPr>
          <w:rFonts w:hint="eastAsia"/>
          <w:lang w:val="zh-CN"/>
        </w:rPr>
        <w:t>【概况】</w:t>
      </w:r>
    </w:p>
    <w:p w14:paraId="0AC5A791">
      <w:pPr>
        <w:bidi w:val="0"/>
        <w:rPr>
          <w:rFonts w:hint="eastAsia"/>
          <w:lang w:val="zh-CN"/>
        </w:rPr>
      </w:pPr>
      <w:r>
        <w:rPr>
          <w:rFonts w:hint="eastAsia"/>
          <w:lang w:val="zh-CN"/>
        </w:rPr>
        <w:t>南雄市教育局是南雄市人民政府主管全市教育工作的职能部门，属于行政单位，在行政上隶属于南雄市人民政府管辖，在业务上隶属于韶关市教育局管理。2018年，全市中小学校110所，其中，全国示范性高中2所，完全中学1所，中等职业技术学校1所，初级中学8所，九年一贯制学校8所，特殊教育学校1所，完全小学29所，分教学点60个；在校学生5.25万人，其中，普通高中6650人，中职1659人，初中1.39万人，小学3.03万人，特殊教育学校86人。全市幼儿园62所，其中：公办幼儿园21所，民办幼儿园41所。62所幼儿园中，广东省一级幼儿园3所，韶关市一级幼儿园21所，南雄市一级幼儿园26所，南雄市规范化幼儿园12所。普惠性民办幼儿园33所，公办幼儿园和普惠性民办幼儿园共54所，公办和普惠性民办园覆盖率87.69%（高于省标准7.69个百分点，走在韶关前列）。在园幼儿1.43万人，学前三年毛入园率达98.22％。2018年，全市在职专任教师3963人，离退休人员2278人。</w:t>
      </w:r>
    </w:p>
    <w:p w14:paraId="3CA38826">
      <w:pPr>
        <w:pStyle w:val="4"/>
        <w:bidi w:val="0"/>
        <w:rPr>
          <w:rFonts w:hint="eastAsia"/>
          <w:lang w:val="zh-CN"/>
        </w:rPr>
      </w:pPr>
      <w:r>
        <w:rPr>
          <w:rFonts w:hint="eastAsia"/>
          <w:lang w:val="zh-CN"/>
        </w:rPr>
        <w:t>【获得荣誉】</w:t>
      </w:r>
    </w:p>
    <w:p w14:paraId="403CEA26">
      <w:pPr>
        <w:bidi w:val="0"/>
        <w:rPr>
          <w:rFonts w:hint="eastAsia"/>
          <w:lang w:val="zh-CN"/>
        </w:rPr>
      </w:pPr>
      <w:r>
        <w:rPr>
          <w:rFonts w:hint="eastAsia"/>
          <w:lang w:val="zh-CN"/>
        </w:rPr>
        <w:t>2018年，南雄市教育局被评为广东省2018年国家义务教育质量监测实施优秀组织单位、广东省推进教育现代化先进市。南雄市教育局在实施“县管校聘”管理改革工作中获韶关市教育局表彰通报，并奖补经费100万元。中共南雄市委教育工委被评为南雄市2018年先进基层党（工）委，市第一中学党总支部被评为南雄市2018年先进基层党总支部，南雄中学党总支部书记、校长刘卫民被评为南雄市2018年优秀基层党组织书记；市委教育工委书记、副局长曾昭泉被评为南雄市2018年优秀党务工作者，南雄市第二中学党总支委员、副校长谢秀红被评为南雄市2018年优秀党务工作者；市教育局人事股股长温普红、市第一中学教科室副主任黄学波、财贸幼儿园园长谢璐、南雄中学教师马永岩、油山中心小学德育处主任张太周被评为南雄市2018年优秀共产党员。界址中学教师严友庆被评为2018年韶关市“善美之城寻找最美乡村教师”。黎灿学校鼓号队代表南雄市获得韶关鼓号操比赛一等奖。南雄中学健美操队代表韶关市参加省运会，取得团体第八；参加韶关市健美操比赛，取得团体第一。南雄中学足球队代表韶关参加“省长杯”足球赛。</w:t>
      </w:r>
    </w:p>
    <w:p w14:paraId="4A8F45D0">
      <w:pPr>
        <w:pStyle w:val="4"/>
        <w:bidi w:val="0"/>
        <w:rPr>
          <w:rFonts w:hint="eastAsia"/>
          <w:lang w:val="zh-CN"/>
        </w:rPr>
      </w:pPr>
      <w:r>
        <w:rPr>
          <w:rFonts w:hint="eastAsia"/>
          <w:lang w:val="zh-CN"/>
        </w:rPr>
        <w:t>【教育强镇】</w:t>
      </w:r>
    </w:p>
    <w:p w14:paraId="41C5ACEB">
      <w:pPr>
        <w:bidi w:val="0"/>
        <w:rPr>
          <w:rFonts w:hint="eastAsia"/>
          <w:lang w:val="zh-CN"/>
        </w:rPr>
      </w:pPr>
      <w:r>
        <w:rPr>
          <w:rFonts w:hint="eastAsia"/>
          <w:lang w:val="zh-CN"/>
        </w:rPr>
        <w:t>2018年，全市顺利完成18个镇（街）省教育强镇复评验收、抽查工作；南雄市成功创建为广东省推进教育现代化先进市。</w:t>
      </w:r>
    </w:p>
    <w:p w14:paraId="5FC4FEC3">
      <w:pPr>
        <w:pStyle w:val="4"/>
        <w:bidi w:val="0"/>
        <w:rPr>
          <w:rFonts w:hint="eastAsia"/>
          <w:lang w:val="zh-CN"/>
        </w:rPr>
      </w:pPr>
      <w:r>
        <w:rPr>
          <w:rFonts w:hint="eastAsia"/>
          <w:lang w:val="zh-CN"/>
        </w:rPr>
        <w:t>【教育民生工程】</w:t>
      </w:r>
    </w:p>
    <w:p w14:paraId="346BB1EF">
      <w:pPr>
        <w:bidi w:val="0"/>
        <w:rPr>
          <w:rFonts w:hint="eastAsia"/>
          <w:lang w:val="zh-CN"/>
        </w:rPr>
      </w:pPr>
      <w:r>
        <w:rPr>
          <w:rFonts w:hint="eastAsia"/>
          <w:lang w:val="zh-CN"/>
        </w:rPr>
        <w:t>2018年2月，异地新建的古市镇中心小学投入使用，并更名为南雄市第三小学；全面完成异地改造建成机关幼儿园雄中路校区（于2018年9月投入使用）、特殊教育学校多功能楼工程、铺背小学扩建工程、南雄中学改扩建工程（维修改造学生宿舍食堂）、市财贸幼儿园八一路校区改造工程（于2018年9月投入使用）、新城小学搬迁改造工程6个项目建设任务。推进新建南雄市乌迳镇第二小学工程4个中央预算内投资项目建设工作。创新实施校园公交政策，开通12个镇校园公交专线，设立专线运营线路93条。</w:t>
      </w:r>
    </w:p>
    <w:p w14:paraId="41E509D9">
      <w:pPr>
        <w:pStyle w:val="4"/>
        <w:bidi w:val="0"/>
        <w:rPr>
          <w:rFonts w:hint="eastAsia"/>
          <w:lang w:val="zh-CN"/>
        </w:rPr>
      </w:pPr>
      <w:r>
        <w:rPr>
          <w:rFonts w:hint="eastAsia"/>
          <w:lang w:val="zh-CN"/>
        </w:rPr>
        <w:t>【教育综合改革】</w:t>
      </w:r>
    </w:p>
    <w:p w14:paraId="151563AF">
      <w:pPr>
        <w:bidi w:val="0"/>
        <w:rPr>
          <w:rFonts w:hint="eastAsia"/>
          <w:lang w:val="zh-CN"/>
        </w:rPr>
      </w:pPr>
      <w:r>
        <w:rPr>
          <w:rFonts w:hint="eastAsia"/>
          <w:lang w:val="zh-CN"/>
        </w:rPr>
        <w:t>2018年，南雄市作为广东省和韶关市“中小学教师县管校聘管理改革试点”，全面实施教师“县管校聘”管理改革。出台《南雄市推进中小学教师“县管校聘”管理改革的实施意见》以及配套政策，完成对全市各学校教师岗位、编制核定，通过严格聘任程序，于2018年秋季开学前全面完成教师聘任工作。3817名教职工参与教师聘任，城乡交流498人，其中城区到农村学校56人，农村到城区学校146人，校际交流296人，交流比例达13.1%，一大批年轻的优秀骨干教师通过交流轮岗方式到乡村学校。全市教师配置基本均衡。</w:t>
      </w:r>
    </w:p>
    <w:p w14:paraId="4C187C77">
      <w:pPr>
        <w:pStyle w:val="4"/>
        <w:bidi w:val="0"/>
        <w:rPr>
          <w:rFonts w:hint="eastAsia"/>
          <w:lang w:val="zh-CN"/>
        </w:rPr>
      </w:pPr>
      <w:r>
        <w:rPr>
          <w:rFonts w:hint="eastAsia"/>
          <w:lang w:val="zh-CN"/>
        </w:rPr>
        <w:t>【教育信息化建设】</w:t>
      </w:r>
    </w:p>
    <w:p w14:paraId="3EFF49C8">
      <w:pPr>
        <w:bidi w:val="0"/>
        <w:rPr>
          <w:rFonts w:hint="eastAsia"/>
          <w:lang w:val="zh-CN"/>
        </w:rPr>
      </w:pPr>
      <w:r>
        <w:rPr>
          <w:rFonts w:hint="eastAsia"/>
          <w:lang w:val="zh-CN"/>
        </w:rPr>
        <w:t>开展广东省教育资源公共服务平台应用培训及粤教翔云人人通空间的应用培训，推进教育资源应用和人人通空间应用，实现全市一线教师和小学四年级以上的学生人人有实名制空间；组织全市中小学骨干教师进行创客实践的专项培训，100多人参加；进行韶教云平台学校管理员专项培训。协助南雄中学做好省级信息化中心校和黎灿学校做好市级信息化中心校的建设规划，推进两所信息化中心学校智慧校园建设。</w:t>
      </w:r>
    </w:p>
    <w:p w14:paraId="7DAA4BB3">
      <w:pPr>
        <w:pStyle w:val="4"/>
        <w:bidi w:val="0"/>
        <w:rPr>
          <w:rFonts w:hint="eastAsia"/>
          <w:lang w:val="zh-CN"/>
        </w:rPr>
      </w:pPr>
      <w:r>
        <w:rPr>
          <w:rFonts w:hint="eastAsia"/>
          <w:lang w:val="zh-CN"/>
        </w:rPr>
        <w:t>【学前教育】</w:t>
      </w:r>
    </w:p>
    <w:p w14:paraId="4241912A">
      <w:pPr>
        <w:bidi w:val="0"/>
        <w:rPr>
          <w:rFonts w:hint="eastAsia"/>
          <w:lang w:val="zh-CN"/>
        </w:rPr>
      </w:pPr>
      <w:r>
        <w:rPr>
          <w:rFonts w:hint="eastAsia"/>
          <w:lang w:val="zh-CN"/>
        </w:rPr>
        <w:t>印发《南雄市学前教育第三期三年行动计划（2017-2020年）》，对全市41所民办幼儿园进行年检工作，新建和改扩建公办幼儿园及分园4所：机关幼儿园雄中路校区、财贸幼儿园、财贸幼儿园八一路校区、古市镇中心幼儿园，新增学位1200个。开展以“我是幼儿园教师”为主题的学前教育宣传月活动、园长德育能力大赛以及学前教育送教下乡活动，提升保教水平。</w:t>
      </w:r>
    </w:p>
    <w:p w14:paraId="73B9E5E2">
      <w:pPr>
        <w:pStyle w:val="4"/>
        <w:bidi w:val="0"/>
        <w:rPr>
          <w:rFonts w:hint="eastAsia"/>
          <w:lang w:val="zh-CN"/>
        </w:rPr>
      </w:pPr>
      <w:r>
        <w:rPr>
          <w:rFonts w:hint="eastAsia"/>
          <w:lang w:val="zh-CN"/>
        </w:rPr>
        <w:t>【义务教育】</w:t>
      </w:r>
    </w:p>
    <w:p w14:paraId="7437AA2B">
      <w:pPr>
        <w:bidi w:val="0"/>
        <w:rPr>
          <w:rFonts w:hint="eastAsia"/>
          <w:lang w:val="zh-CN"/>
        </w:rPr>
      </w:pPr>
      <w:r>
        <w:rPr>
          <w:rFonts w:hint="eastAsia"/>
          <w:lang w:val="zh-CN"/>
        </w:rPr>
        <w:t>2018年，加强乡村小规模学校（含教学点）和乡镇寄宿制学校建设，完成农村20人以下教学点布局整合优化工作；印发《南雄市特殊教育提升计划（2017-2020）实施方案》，实施黎灿学校、南雄中学等智慧校园建设；完善“三通两平台”建设与应用。完成“县管校聘”改革任务，均衡城乡师资力量，促进城乡学校优质均衡发展。</w:t>
      </w:r>
    </w:p>
    <w:p w14:paraId="07931F03">
      <w:pPr>
        <w:pStyle w:val="4"/>
        <w:bidi w:val="0"/>
        <w:rPr>
          <w:rFonts w:hint="eastAsia"/>
          <w:lang w:val="zh-CN"/>
        </w:rPr>
      </w:pPr>
      <w:r>
        <w:rPr>
          <w:rFonts w:hint="eastAsia"/>
          <w:lang w:val="zh-CN"/>
        </w:rPr>
        <w:t>【高中（中职）教育】</w:t>
      </w:r>
    </w:p>
    <w:p w14:paraId="7E7B941F">
      <w:pPr>
        <w:bidi w:val="0"/>
        <w:rPr>
          <w:rFonts w:hint="eastAsia"/>
          <w:lang w:val="zh-CN"/>
        </w:rPr>
      </w:pPr>
      <w:r>
        <w:rPr>
          <w:rFonts w:hint="eastAsia"/>
          <w:lang w:val="zh-CN"/>
        </w:rPr>
        <w:t>2018年，南雄市普通高中办学水平稳中有升。全市高考考生3401人，600分以上17人，高分层人数为历年之最；优先投档（含贫困专项）上线人数347人，上线率为11.09%，比上年净增131人，达到并超过全省平均水平；本科以上上线人数为1306人，上线率为41.7%，比上年提高7.5个百分点，上线人数稳居韶关第一。2018年，南雄市全力推进市中等职业学校省级示范校建设，优化职教资源整合，推进职业技能培训合作办学模式。</w:t>
      </w:r>
    </w:p>
    <w:p w14:paraId="2B0A7C22">
      <w:pPr>
        <w:pStyle w:val="4"/>
        <w:bidi w:val="0"/>
        <w:rPr>
          <w:rFonts w:hint="eastAsia"/>
          <w:lang w:val="zh-CN"/>
        </w:rPr>
      </w:pPr>
      <w:r>
        <w:rPr>
          <w:rFonts w:hint="eastAsia"/>
          <w:lang w:val="zh-CN"/>
        </w:rPr>
        <w:t>【特殊教育】</w:t>
      </w:r>
    </w:p>
    <w:p w14:paraId="7B4D3AD1">
      <w:pPr>
        <w:bidi w:val="0"/>
        <w:rPr>
          <w:rFonts w:hint="eastAsia"/>
          <w:lang w:val="zh-CN"/>
        </w:rPr>
      </w:pPr>
      <w:r>
        <w:rPr>
          <w:rFonts w:hint="eastAsia"/>
          <w:lang w:val="zh-CN"/>
        </w:rPr>
        <w:t>2018年，南雄市全面推行特殊教育全纳教育，制定《南雄市特殊教育提升计划（2017-2020）实施方案》。</w:t>
      </w:r>
    </w:p>
    <w:p w14:paraId="2FD593C8">
      <w:pPr>
        <w:pStyle w:val="4"/>
        <w:bidi w:val="0"/>
        <w:rPr>
          <w:rFonts w:hint="eastAsia"/>
          <w:lang w:val="zh-CN"/>
        </w:rPr>
      </w:pPr>
      <w:r>
        <w:rPr>
          <w:rFonts w:hint="eastAsia"/>
          <w:lang w:val="zh-CN"/>
        </w:rPr>
        <w:t>【德体卫艺与安全工作】</w:t>
      </w:r>
    </w:p>
    <w:p w14:paraId="62B1BC20">
      <w:pPr>
        <w:bidi w:val="0"/>
        <w:rPr>
          <w:rFonts w:hint="eastAsia"/>
          <w:lang w:val="zh-CN"/>
        </w:rPr>
      </w:pPr>
      <w:r>
        <w:rPr>
          <w:rFonts w:hint="eastAsia"/>
          <w:lang w:val="zh-CN"/>
        </w:rPr>
        <w:t>2018年，积极推进韶关市第二批文明校园创建工作和绿色校园创建工作。市第一中学、市中等职业学校、珠玑中学、市第一小学、油山镇中心小学、主田莲花中心小学6所学校被评为韶关市文明校园；南雄中学、实验中学、实验小学、黎灿学校4所学校被评为“韶关市绿色校园”。常态化开展校园欺凌专项治理和禁毒教育，评选南雄市“新时代好少年”20名，其中优秀的4名同学推荐为2018年韶关市“新时代好少年”。深入开展“文明厕所”创建工作，大力营造清洁卫生文明的校园环境。举行中小学生足球比赛，深入推动校园足球活动蓬勃向前发展；在黄坑中学举办南雄市第3届校园夏令营活动，提升中小学校体育工作水平；指导中小学校积极开展校园卫生疾病预防工作，确保师生卫生健康。通过广东省对南雄市中小学生国家体质健康抽测，优良率、合格率全面达标。10月底承办韶关市“英东杯”中学生篮球赛，南雄市代表队获得高中女子第一名、男子第三名，初中男子第三、女子第三名。市教育局联合市综治办、市公安局在全市学校范围内开展“平安校园”创建活动。全市45所完小通过平安校园验收。落实校（园）安全常规检查，完成澜河中心幼儿园等7所平安食堂改造建设工作。2018年校园安全零事故。</w:t>
      </w:r>
    </w:p>
    <w:p w14:paraId="041773B5">
      <w:pPr>
        <w:pStyle w:val="4"/>
        <w:bidi w:val="0"/>
        <w:rPr>
          <w:rFonts w:hint="eastAsia"/>
          <w:lang w:val="zh-CN"/>
        </w:rPr>
      </w:pPr>
      <w:r>
        <w:rPr>
          <w:rFonts w:hint="eastAsia"/>
          <w:lang w:val="zh-CN"/>
        </w:rPr>
        <w:t>【教师队伍建设】</w:t>
      </w:r>
    </w:p>
    <w:p w14:paraId="3522367C">
      <w:pPr>
        <w:bidi w:val="0"/>
        <w:rPr>
          <w:rFonts w:hint="eastAsia"/>
          <w:lang w:val="zh-CN"/>
        </w:rPr>
      </w:pPr>
      <w:r>
        <w:rPr>
          <w:rFonts w:hint="eastAsia"/>
          <w:lang w:val="zh-CN"/>
        </w:rPr>
        <w:t>2018年，全市面向社会公开招聘教师162人，引进研究生15人，逐步解决教师学科结构性缺编问题。充分发挥名校长、学科带头人引领带动作用，组织923名（不含教研室组织的学科教师培训）教师参加省市各类骨干教师培训。印发《南雄市2018年山区和农村地区学校教师生活补助实施方案》，依照实际距离分为5个档次，按月发放农村边远地区教师生活补助，其中最低的每月生活补助有700元，最高的每月生活补助达1600元。8月，调整和规范机关事业单位工资津补贴和绩效工资管理，教师队伍人均增资1250多元，住房改革补贴、住房公积金也相应增加。全市教师平均工资水平与当地公务员平均工资水平“两相当”，且略高于当地公务员的平均工资。再次出台《关于提高南雄市公办幼儿园临聘人员工资的通知》（雄教办〔2018〕31号），临聘教师工资标准每月提高250元。</w:t>
      </w:r>
    </w:p>
    <w:p w14:paraId="63DAFC94">
      <w:pPr>
        <w:pStyle w:val="4"/>
        <w:bidi w:val="0"/>
        <w:rPr>
          <w:rFonts w:hint="eastAsia"/>
          <w:lang w:val="zh-CN"/>
        </w:rPr>
      </w:pPr>
      <w:r>
        <w:rPr>
          <w:rFonts w:hint="eastAsia"/>
          <w:lang w:val="zh-CN"/>
        </w:rPr>
        <w:t>【教育党建维稳工作】</w:t>
      </w:r>
    </w:p>
    <w:p w14:paraId="2A19BB0D">
      <w:pPr>
        <w:bidi w:val="0"/>
        <w:rPr>
          <w:rFonts w:hint="eastAsia"/>
          <w:lang w:val="zh-CN"/>
        </w:rPr>
      </w:pPr>
      <w:r>
        <w:rPr>
          <w:rFonts w:hint="eastAsia"/>
          <w:lang w:val="zh-CN"/>
        </w:rPr>
        <w:t>2018年，中共南雄市委教育工委以“规范化建设”为主题，重点加强基层党组织规范化制度建设，优化基层党组织设置，确实把基层党建工作作为“一把手”工程，坚持党建工作与业务工作双提升，坚持经常抓、抓经常。全面落实基层党建工作责任制，促进支部凝聚力，为促进教育现代化建设提供坚实可靠的组织保证。2018年，教育工委对教育系统8个先进基层党组织、24名优秀党务工作者、133名优秀共产党员和3名优秀党组织书记进行表彰。在骨干教师中新发展党员12名，按期转正13名预备党员，走访慰问老党员、贫困党员33人。建立“双带头人”后备人才长效培养机制，选定41名政治素质好、专业基础好的党员教学骨干教师为“双带头人”党支部书记后备干部。</w:t>
      </w:r>
    </w:p>
    <w:p w14:paraId="3565EC24">
      <w:pPr>
        <w:bidi w:val="0"/>
        <w:rPr>
          <w:rFonts w:hint="eastAsia"/>
          <w:lang w:val="zh-CN"/>
        </w:rPr>
      </w:pPr>
      <w:r>
        <w:rPr>
          <w:rFonts w:hint="eastAsia"/>
          <w:lang w:val="zh-CN"/>
        </w:rPr>
        <w:t>2018年，市教育局信访室接到举报（或投诉）电话4次，交办件4件，群众来访5批16人次，网络信访56件。依规依序查处全市教育系统涉嫌违纪违规教职工12人次。其中，开除教育籍3人（退休教师2人），给予事业单位工作人员教育纪警告处分2人，给予事业单位工作人员警告处分1人，给予事业单位工作人员降低岗位等级处分1人，开除公职2人，取消退休费待遇1人，停退休费待遇，按本人原基本退休费的60%计发生活费1人，给予诫勉谈话处分1人，给予提醒谈话处分3人。</w:t>
      </w:r>
    </w:p>
    <w:p w14:paraId="7D9A0F01">
      <w:pPr>
        <w:pStyle w:val="4"/>
        <w:bidi w:val="0"/>
        <w:rPr>
          <w:rFonts w:hint="eastAsia"/>
          <w:lang w:val="zh-CN"/>
        </w:rPr>
      </w:pPr>
      <w:r>
        <w:rPr>
          <w:rFonts w:hint="eastAsia"/>
          <w:lang w:val="zh-CN"/>
        </w:rPr>
        <w:t>【助学工作】</w:t>
      </w:r>
    </w:p>
    <w:p w14:paraId="0448AC3E">
      <w:pPr>
        <w:bidi w:val="0"/>
        <w:rPr>
          <w:rFonts w:hint="eastAsia"/>
          <w:lang w:val="zh-CN"/>
        </w:rPr>
      </w:pPr>
      <w:r>
        <w:rPr>
          <w:rFonts w:hint="eastAsia"/>
          <w:lang w:val="zh-CN"/>
        </w:rPr>
        <w:t>2018年，南雄市全面落实教育民生政策和困难学生资助政策，做到资助全覆盖。完成学前儿童资助2742人，义务教育阶段春秋季各资助4156人，高中阶段春秋季各资助2003人，完成中等职业教育阶段资助工作。做好高等教育助学贷款工作，办理270名大学生生源地信用助学贷款手续，发放贷款金额达215.0166万元。全面完成市建档立卡精准扶贫资助工作。</w:t>
      </w:r>
      <w:r>
        <w:rPr>
          <w:rFonts w:hint="eastAsia"/>
          <w:b/>
          <w:bCs/>
          <w:lang w:val="zh-CN"/>
        </w:rPr>
        <w:t>（王小兰）</w:t>
      </w:r>
    </w:p>
    <w:p w14:paraId="19382111">
      <w:pPr>
        <w:pStyle w:val="11"/>
        <w:bidi w:val="0"/>
        <w:rPr>
          <w:rFonts w:hint="eastAsia"/>
          <w:b/>
          <w:bCs/>
          <w:lang w:val="zh-CN"/>
        </w:rPr>
      </w:pPr>
      <w:r>
        <w:rPr>
          <w:rFonts w:hint="eastAsia"/>
          <w:b/>
          <w:bCs/>
          <w:lang w:val="zh-CN"/>
        </w:rPr>
        <w:t>附：2018年市教育局领导班子成员名单</w:t>
      </w:r>
    </w:p>
    <w:p w14:paraId="6D9C1684">
      <w:pPr>
        <w:pStyle w:val="11"/>
        <w:bidi w:val="0"/>
        <w:rPr>
          <w:rFonts w:hint="eastAsia"/>
          <w:lang w:val="zh-CN"/>
        </w:rPr>
      </w:pPr>
      <w:r>
        <w:rPr>
          <w:rFonts w:hint="eastAsia"/>
          <w:b/>
          <w:bCs/>
          <w:lang w:val="zh-CN"/>
        </w:rPr>
        <w:t>教育工委副书记、党组书记、局长：</w:t>
      </w:r>
      <w:r>
        <w:rPr>
          <w:rFonts w:hint="eastAsia"/>
          <w:lang w:val="zh-CN"/>
        </w:rPr>
        <w:t>田文斌</w:t>
      </w:r>
    </w:p>
    <w:p w14:paraId="74940C3A">
      <w:pPr>
        <w:pStyle w:val="11"/>
        <w:bidi w:val="0"/>
        <w:rPr>
          <w:rFonts w:hint="eastAsia"/>
          <w:lang w:val="zh-CN"/>
        </w:rPr>
      </w:pPr>
      <w:r>
        <w:rPr>
          <w:rFonts w:hint="eastAsia"/>
          <w:b/>
          <w:bCs/>
          <w:lang w:val="zh-CN"/>
        </w:rPr>
        <w:t>教育工委书记、党组成员、副局长：</w:t>
      </w:r>
      <w:r>
        <w:rPr>
          <w:rFonts w:hint="eastAsia"/>
          <w:lang w:val="zh-CN"/>
        </w:rPr>
        <w:t>曾昭泉</w:t>
      </w:r>
    </w:p>
    <w:p w14:paraId="533CE08B">
      <w:pPr>
        <w:pStyle w:val="11"/>
        <w:bidi w:val="0"/>
        <w:rPr>
          <w:rFonts w:hint="eastAsia"/>
          <w:lang w:val="zh-CN"/>
        </w:rPr>
      </w:pPr>
      <w:r>
        <w:rPr>
          <w:rFonts w:hint="eastAsia"/>
          <w:b/>
          <w:bCs/>
          <w:lang w:val="zh-CN"/>
        </w:rPr>
        <w:t>教育工委副书记、党组成员、副局长：</w:t>
      </w:r>
      <w:r>
        <w:rPr>
          <w:rFonts w:hint="eastAsia"/>
          <w:lang w:val="zh-CN"/>
        </w:rPr>
        <w:t>邓朝东</w:t>
      </w:r>
    </w:p>
    <w:p w14:paraId="203D946F">
      <w:pPr>
        <w:pStyle w:val="11"/>
        <w:bidi w:val="0"/>
        <w:rPr>
          <w:rFonts w:hint="eastAsia"/>
          <w:b/>
          <w:bCs/>
          <w:lang w:val="zh-CN"/>
        </w:rPr>
      </w:pPr>
      <w:r>
        <w:rPr>
          <w:rFonts w:hint="eastAsia"/>
          <w:b/>
          <w:bCs/>
          <w:lang w:val="zh-CN"/>
        </w:rPr>
        <w:t>党工委委员、党组成员、市纪委派驻市教育局纪检监察组组长：</w:t>
      </w:r>
    </w:p>
    <w:p w14:paraId="34F2B8B5">
      <w:pPr>
        <w:pStyle w:val="11"/>
        <w:bidi w:val="0"/>
        <w:ind w:leftChars="1300"/>
        <w:rPr>
          <w:rFonts w:hint="eastAsia"/>
          <w:lang w:val="zh-CN"/>
        </w:rPr>
      </w:pPr>
      <w:r>
        <w:rPr>
          <w:rFonts w:hint="eastAsia"/>
          <w:lang w:val="zh-CN"/>
        </w:rPr>
        <w:t>谢祥英</w:t>
      </w:r>
    </w:p>
    <w:p w14:paraId="1411DB27">
      <w:pPr>
        <w:pStyle w:val="11"/>
        <w:bidi w:val="0"/>
        <w:rPr>
          <w:rFonts w:hint="eastAsia"/>
          <w:b/>
          <w:bCs/>
          <w:lang w:val="zh-CN"/>
        </w:rPr>
      </w:pPr>
      <w:r>
        <w:rPr>
          <w:rFonts w:hint="eastAsia"/>
          <w:b/>
          <w:bCs/>
          <w:lang w:val="zh-CN"/>
        </w:rPr>
        <w:t>党工委委员、党组成员、副局长：</w:t>
      </w:r>
    </w:p>
    <w:p w14:paraId="1001357A">
      <w:pPr>
        <w:pStyle w:val="11"/>
        <w:bidi w:val="0"/>
        <w:ind w:leftChars="1300"/>
        <w:rPr>
          <w:rFonts w:hint="eastAsia"/>
          <w:lang w:val="zh-CN"/>
        </w:rPr>
      </w:pPr>
      <w:r>
        <w:rPr>
          <w:rFonts w:hint="eastAsia"/>
          <w:lang w:val="zh-CN"/>
        </w:rPr>
        <w:t>钟顺华</w:t>
      </w:r>
    </w:p>
    <w:p w14:paraId="4B924888">
      <w:pPr>
        <w:pStyle w:val="11"/>
        <w:bidi w:val="0"/>
        <w:rPr>
          <w:rFonts w:hint="eastAsia"/>
          <w:b/>
          <w:bCs/>
          <w:lang w:val="zh-CN"/>
        </w:rPr>
      </w:pPr>
      <w:r>
        <w:rPr>
          <w:rFonts w:hint="eastAsia"/>
          <w:b/>
          <w:bCs/>
          <w:lang w:val="zh-CN"/>
        </w:rPr>
        <w:t>党工委专职副书记、党组成员：</w:t>
      </w:r>
    </w:p>
    <w:p w14:paraId="25509BA9">
      <w:pPr>
        <w:pStyle w:val="11"/>
        <w:bidi w:val="0"/>
        <w:ind w:leftChars="1300"/>
        <w:rPr>
          <w:rFonts w:hint="eastAsia"/>
          <w:lang w:val="zh-CN"/>
        </w:rPr>
      </w:pPr>
      <w:r>
        <w:rPr>
          <w:rFonts w:hint="eastAsia"/>
          <w:lang w:val="zh-CN"/>
        </w:rPr>
        <w:t>张长明</w:t>
      </w:r>
    </w:p>
    <w:p w14:paraId="5F6BE377">
      <w:pPr>
        <w:pStyle w:val="3"/>
        <w:bidi w:val="0"/>
        <w:rPr>
          <w:rFonts w:hint="eastAsia"/>
          <w:lang w:val="zh-CN"/>
        </w:rPr>
      </w:pPr>
      <w:r>
        <w:rPr>
          <w:rFonts w:hint="eastAsia"/>
          <w:lang w:val="zh-CN"/>
        </w:rPr>
        <w:t>学校选介</w:t>
      </w:r>
    </w:p>
    <w:p w14:paraId="780ED93F">
      <w:pPr>
        <w:pStyle w:val="4"/>
        <w:bidi w:val="0"/>
        <w:rPr>
          <w:rFonts w:hint="eastAsia"/>
          <w:lang w:val="zh-CN"/>
        </w:rPr>
      </w:pPr>
      <w:r>
        <w:rPr>
          <w:rFonts w:hint="eastAsia"/>
          <w:lang w:val="zh-CN"/>
        </w:rPr>
        <w:t>【南雄市黎灿学校】</w:t>
      </w:r>
    </w:p>
    <w:p w14:paraId="5320976E">
      <w:pPr>
        <w:bidi w:val="0"/>
        <w:rPr>
          <w:rFonts w:hint="eastAsia"/>
          <w:lang w:val="zh-CN"/>
        </w:rPr>
      </w:pPr>
      <w:r>
        <w:rPr>
          <w:rFonts w:hint="eastAsia"/>
          <w:lang w:val="zh-CN"/>
        </w:rPr>
        <w:t>南雄市黎灿学校创办于1999年，是省一级学校。学校校园面积5.8万平方米，建筑面积2.1万平方米，于1999年9月1日启用，69个教学班，180多位教职工，其中小学高级教师17人。在校学生3440余人。</w:t>
      </w:r>
    </w:p>
    <w:p w14:paraId="02C17760">
      <w:pPr>
        <w:bidi w:val="0"/>
        <w:rPr>
          <w:rFonts w:hint="eastAsia"/>
          <w:lang w:val="zh-CN"/>
        </w:rPr>
      </w:pPr>
      <w:r>
        <w:rPr>
          <w:rFonts w:hint="eastAsia"/>
          <w:b/>
          <w:bCs/>
          <w:lang w:val="zh-CN"/>
        </w:rPr>
        <w:t>教师队伍建设</w:t>
      </w:r>
      <w:r>
        <w:rPr>
          <w:rFonts w:hint="eastAsia"/>
          <w:b/>
          <w:bCs/>
          <w:lang w:val="en-US" w:eastAsia="zh-CN"/>
        </w:rPr>
        <w:t xml:space="preserve"> </w:t>
      </w:r>
      <w:r>
        <w:rPr>
          <w:rFonts w:hint="eastAsia"/>
          <w:lang w:val="en-US" w:eastAsia="zh-CN"/>
        </w:rPr>
        <w:t xml:space="preserve">  </w:t>
      </w:r>
      <w:r>
        <w:rPr>
          <w:rFonts w:hint="eastAsia"/>
          <w:lang w:val="zh-CN"/>
        </w:rPr>
        <w:t>学校注重教师队伍建设，规范从教行为，树立典型，以教师培训为重点，注重教师成长。通过班子会、党员民主生活会、教师大会等形式，听取一线教师心声，找出学校管理中存在的问题，对学校重难点问题，积极采取对策加以改进。开展名师大讲堂活动。2018年请进5位专家来校作专题讲座，为老师们专业成长提供优质资源。</w:t>
      </w:r>
    </w:p>
    <w:p w14:paraId="54DF7E0D">
      <w:pPr>
        <w:bidi w:val="0"/>
        <w:rPr>
          <w:rFonts w:hint="eastAsia"/>
          <w:lang w:val="zh-CN"/>
        </w:rPr>
      </w:pPr>
      <w:r>
        <w:rPr>
          <w:rFonts w:hint="eastAsia"/>
          <w:lang w:val="zh-CN"/>
        </w:rPr>
        <w:t>实施青蓝工程一年多来，以“引领、结对、加压、优先、关爱”为原则，发挥优秀老教师传、帮、带作用，使青年教师在班主任工作、学科教学、论文撰写、教科研等方面快速成长。学校为改变教师思维方式，变革课堂教学方式，实施《课程创新铸特色，一人一品促发展》方案，一人一品，寻找发展学生核心素养力量，为教师专业发展搭建平台。6月，市教育局举行全市青蓝工程现场观摩会，“青蓝班”班主任马水兰介绍“一人一品”方案实施过程。何依城作《跃动的笔画，舞动孩子的音乐世界》，曾春林作《快乐乒乓，助少年健康成长》，陈冰作《做阅读的点灯人》，朱秀英作《古诗诵读营造班级文化》，池莹作《动漫设计》汇报。2018年3月，学校在全体女教师中评选出梁祖兰等25位“最美女教师”，同时评选出24位“黎灿学校优秀班主任”；家长评议选出25名“家长心中好老师”；学校青蓝班根据《师徒考核细则》，评选出6位教坛新秀、6位优秀指导教师；马水兰老师工作表现突出，被评为“南雄市教育系统优秀党员”“南雄好人”“韶关好人”；7位教师被评为“广东省小小科学家优秀辅导教师”；1人评为“广东省优秀大队辅导员”；7位教师顺利通过小学高级教师职称评定，8位年轻教师通过二级教师认定。</w:t>
      </w:r>
    </w:p>
    <w:p w14:paraId="0A26A3E0">
      <w:pPr>
        <w:bidi w:val="0"/>
        <w:rPr>
          <w:rFonts w:hint="eastAsia"/>
          <w:lang w:val="zh-CN"/>
        </w:rPr>
      </w:pPr>
      <w:r>
        <w:rPr>
          <w:rFonts w:hint="eastAsia"/>
          <w:b/>
          <w:bCs/>
          <w:lang w:val="zh-CN"/>
        </w:rPr>
        <w:t>德育工作</w:t>
      </w:r>
      <w:r>
        <w:rPr>
          <w:rFonts w:hint="eastAsia"/>
          <w:b/>
          <w:bCs/>
          <w:lang w:val="en-US" w:eastAsia="zh-CN"/>
        </w:rPr>
        <w:t xml:space="preserve">   </w:t>
      </w:r>
      <w:r>
        <w:rPr>
          <w:rFonts w:hint="eastAsia"/>
          <w:lang w:val="zh-CN"/>
        </w:rPr>
        <w:t>加强班主任队伍建设，强化班主任责任意识。每月定期召开班主任会议，传达最先进的德育理念和德育管理法。通过“文明班”“星级班级”“最美教室”“家长心中好老师”“优秀班主任”等评比活动，促进班主任成长。组织主任能力大赛，通过良性竞争，相互学习、取长补短，旨在提升班主任专业能力和管理班级、促进学生全面发展能力。开展“六爱三雅”主题活动，夯实德育成果。10月，学校推进“六爱·三雅——我是新时代的好少年”雏鹰争章活动，学生人手一本《雏鹰争章活动手册》，“雏鹰争章”设基础章6枚：文明章、自律章、学习章、劳动章、孝爱章、读书章；特色章3枚：红领巾志愿服务章、科技创新章、环保章。各少先队中队以小组为单位，进行争章活动，从实施效果来看，学生积极性非常高，每个学生都争做小雏鹰，活动开展良好。少先队开展形式多样的德育活动。2月，少先队大队部部分队员来到珠玑古巷举行“迎新春送祝福现场书写春联”公益活动。4月，五年级200多位少先队员开展祭扫烈士墓活动。5月，开展“片片粽叶情，浓浓思亲意”的主题活动；100多位少先队员，到金友集团公司、华电公司开展研学实践活动；中国少年先锋队南雄市黎灿学校第五次代表大会在学校电教室开幕。6月，开展“争当河小二，助力河长制”系列活动。9月，四、六年级组织少先队员阅读《腾飞的祖国——改革开放40年》全国“中华魂”主题教育活动读本征文活动，征文活动加强学校少先队员使命感与组织归属感。11月，韶关市妇联带领心理教师到学校开展“关爱留守儿童和特殊学生”活动。做好“千师访千家”活动。通过班主任、科任教师到学生家中家访，2018年学校教师家访家庭将近1700个。</w:t>
      </w:r>
    </w:p>
    <w:p w14:paraId="77322B2E">
      <w:pPr>
        <w:bidi w:val="0"/>
        <w:rPr>
          <w:rFonts w:hint="eastAsia"/>
          <w:lang w:val="zh-CN"/>
        </w:rPr>
      </w:pPr>
      <w:r>
        <w:rPr>
          <w:rFonts w:hint="eastAsia"/>
          <w:b/>
          <w:bCs/>
          <w:lang w:val="zh-CN"/>
        </w:rPr>
        <w:t>教学工作</w:t>
      </w:r>
      <w:r>
        <w:rPr>
          <w:rFonts w:hint="eastAsia"/>
          <w:b/>
          <w:bCs/>
          <w:lang w:val="en-US" w:eastAsia="zh-CN"/>
        </w:rPr>
        <w:t xml:space="preserve">   </w:t>
      </w:r>
      <w:r>
        <w:rPr>
          <w:rFonts w:hint="eastAsia"/>
          <w:lang w:val="zh-CN"/>
        </w:rPr>
        <w:t>贯彻落实《关于严格执行义务教育课程计划规范义务教育学校校历和作息时间的通知》精神和《广东省义务教育课程（实验）计划表》，开齐课程，开足课时。落实教学常规检查工作，采用随时抽查为主，集中检查为辅方式，对教师备课、辅导、批改等环节进行量化。教案统一使用《南雄市中小学备课本》模式，各表册均能按要求规范装订。落实课前二次备课，使用规范语言，正确使用标点符号。落实听课制度，学科组长、教导处人员带头听课，对教师教学设计、教学效果、学生表现等情况进行全面检查指导。教师上课使用普通话教学，课堂板书工整，文字使用规范。一学期全校教师听课2600多节。深入实施素质教育，构建学生课外活动体系，积极开展“四点半阳光活动”，促进学生综合素养提升。“四点半阳光活动”有一百多个小组，课程包括“小小科学家”“动漫制作”“围棋”“舞蹈”“乒乓球”“篮球”“足球”“跳绳”“田径”“瑜伽”等。学校充分利用社会资源，邀请培训机构的辅导老师、家长、有专业特长的社会人士参与学校“四点半阳光活动”。落实质量检测及“晒课”任务。5月，学校组织四年级30名学生参加2018年国家义务教育质量监测。校长及四年级教师参加问卷调查。学校参加全国“一师一优课，一课一名师”“晒课”活动，“晒课”126节。姚慧英、马水兰老师的课例被评为“南雄市级优课”，刘鹏、李华、张玮三位老师的课例被评为“韶关市级优课”。</w:t>
      </w:r>
    </w:p>
    <w:p w14:paraId="03BC9DF5">
      <w:pPr>
        <w:bidi w:val="0"/>
        <w:rPr>
          <w:rFonts w:hint="eastAsia"/>
          <w:lang w:val="zh-CN"/>
        </w:rPr>
      </w:pPr>
      <w:r>
        <w:rPr>
          <w:rFonts w:hint="eastAsia"/>
          <w:b/>
          <w:bCs/>
          <w:lang w:val="zh-CN"/>
        </w:rPr>
        <w:t>教研成果</w:t>
      </w:r>
      <w:r>
        <w:rPr>
          <w:rFonts w:hint="eastAsia"/>
          <w:b/>
          <w:bCs/>
          <w:lang w:val="en-US" w:eastAsia="zh-CN"/>
        </w:rPr>
        <w:t xml:space="preserve"> </w:t>
      </w:r>
      <w:r>
        <w:rPr>
          <w:rFonts w:hint="eastAsia"/>
          <w:lang w:val="en-US" w:eastAsia="zh-CN"/>
        </w:rPr>
        <w:t xml:space="preserve">  </w:t>
      </w:r>
      <w:r>
        <w:rPr>
          <w:rFonts w:hint="eastAsia"/>
          <w:lang w:val="zh-CN"/>
        </w:rPr>
        <w:t>2018年，学校22位教师申报的广东省教育学会广州市特色学校研究委员会的“小课题”，顺利结题；5位教师获韶关市级课题立项；11位教师获南雄市级课题立项；12月马水兰教师申报的省级课题《基于STEM教育理念下开展跨学科小组合作学习的研究》成功立项；梁春花老师获韶关教育教学成果奖二等奖；通过一年的选题、申报、答辩，学校获评“广东省基础教育研究实验基地校”。2018年学校教育教学成果喜人，马水兰等21位老师的论文、课例等取得喜人成绩。</w:t>
      </w:r>
    </w:p>
    <w:p w14:paraId="548FF334">
      <w:pPr>
        <w:bidi w:val="0"/>
        <w:rPr>
          <w:rFonts w:hint="eastAsia"/>
          <w:lang w:val="zh-CN"/>
        </w:rPr>
      </w:pPr>
      <w:r>
        <w:rPr>
          <w:rFonts w:hint="eastAsia"/>
          <w:b/>
          <w:bCs/>
          <w:lang w:val="zh-CN"/>
        </w:rPr>
        <w:t>文体工作</w:t>
      </w:r>
      <w:r>
        <w:rPr>
          <w:rFonts w:hint="eastAsia"/>
          <w:b/>
          <w:bCs/>
          <w:lang w:val="en-US" w:eastAsia="zh-CN"/>
        </w:rPr>
        <w:t xml:space="preserve">   </w:t>
      </w:r>
      <w:r>
        <w:rPr>
          <w:rFonts w:hint="eastAsia"/>
          <w:lang w:val="zh-CN"/>
        </w:rPr>
        <w:t>深入开展阳光体育运动，积极参与各项文体比赛活动。2018年第七届全国少年儿童书法硬笔书法大赛暨规范汉字书写大赛中，9人获一等奖，27人获二等奖，10人获三等奖；参加第九届广东省中小学规范汉字书写大赛，6人次获得二等奖，21人次获得三等奖；在第九届全国规范汉字书写大赛中，11件作品获二等奖、11件作品获三等奖、51件作品获优秀奖、李兰英、张雪茹组织贡献奖、李兰英、张雪茹、温世斌、刘睿荣获指导奖、学校获团体二等奖、组织三等奖；第六届全国中小学生数学王大赛广东省初赛中，12人获一等奖，19人获二等奖，20人获三等奖；刘思宇参加广东省中小学生创客大赛一等奖；参加韶关市“小小科学家”少年儿童科学教育体验活动，15人获一等奖，34人获二等奖，29人获三等奖，参加广东省“小小科学家”少年儿童科学教育体验活动，17人获一等奖，23人获二等奖，12人获三等奖，学校获得团体部分一等奖、优秀组织奖；聂兰婷参加广东省第八届粤星杯小学生作文大赛获三等奖；参加韶关市鼓号队花样操展演获一等奖；在省足协举办第五届U点我爱足球五人争霸赛中，学校男队获南雄市赛区第一名，女队获得第三名；张煜程等4位同学被评为韶关市“优秀少先队员”。在韶关市英东杯文艺节目比赛中，学校合唱获二等奖，武术9人次获奖。4月，韶关市鼓号操展演比赛，黎灿鼓号操荣获一等奖。</w:t>
      </w:r>
    </w:p>
    <w:p w14:paraId="6D5AF895">
      <w:pPr>
        <w:bidi w:val="0"/>
        <w:rPr>
          <w:rFonts w:hint="eastAsia"/>
          <w:lang w:val="zh-CN"/>
        </w:rPr>
      </w:pPr>
      <w:r>
        <w:rPr>
          <w:rFonts w:hint="eastAsia"/>
          <w:b/>
          <w:bCs/>
          <w:lang w:val="zh-CN"/>
        </w:rPr>
        <w:t>教育创新</w:t>
      </w:r>
      <w:r>
        <w:rPr>
          <w:rFonts w:hint="eastAsia"/>
          <w:b/>
          <w:bCs/>
          <w:lang w:val="en-US" w:eastAsia="zh-CN"/>
        </w:rPr>
        <w:t xml:space="preserve">  </w:t>
      </w:r>
      <w:r>
        <w:rPr>
          <w:rFonts w:hint="eastAsia"/>
          <w:lang w:val="en-US" w:eastAsia="zh-CN"/>
        </w:rPr>
        <w:t xml:space="preserve"> </w:t>
      </w:r>
      <w:r>
        <w:rPr>
          <w:rFonts w:hint="eastAsia"/>
          <w:lang w:val="zh-CN"/>
        </w:rPr>
        <w:t>开创“城乡共同体学校”。2018年，在市教育局统筹规划下，学校与主田镇莲花中心小学创新办学形式，结成教育发展共同体，学校派出五年级10个班的学生到莲花小学寄宿学习生活，促进城乡学校共同发展。启用“真人教育”丰富校园文化内涵，11月，学校通过教代会讨论，决定以“真人教育”作为学校教育文化的核心词，并以“真人教育”理念为引领。以“真人”文化为主线“立真”为点，“求真”为路，“德真”为首，“笃真”为行，“质真”为果，从打造校园楼层文化开始丰富校园文化。</w:t>
      </w:r>
    </w:p>
    <w:p w14:paraId="0322FEC5">
      <w:pPr>
        <w:bidi w:val="0"/>
        <w:rPr>
          <w:rFonts w:hint="eastAsia"/>
          <w:lang w:val="zh-CN"/>
        </w:rPr>
      </w:pPr>
      <w:r>
        <w:rPr>
          <w:rFonts w:hint="eastAsia"/>
          <w:b/>
          <w:bCs/>
          <w:lang w:val="zh-CN"/>
        </w:rPr>
        <w:t>校园建设</w:t>
      </w:r>
      <w:r>
        <w:rPr>
          <w:rFonts w:hint="eastAsia"/>
          <w:b/>
          <w:bCs/>
          <w:lang w:val="en-US" w:eastAsia="zh-CN"/>
        </w:rPr>
        <w:t xml:space="preserve">   </w:t>
      </w:r>
      <w:r>
        <w:rPr>
          <w:rFonts w:hint="eastAsia"/>
          <w:lang w:val="zh-CN"/>
        </w:rPr>
        <w:t>学校投资约90万元对老教学楼进行改建；投资约5万元改建学校“创客”工作室，为学校“创客”工作提供场所；投资8万元改建少先队队部室；投资约10万元改建党建室，为学校党员干部提供学习交流的环境；由于学校发展，原有电线线路和变压器承载不了学校现有发展需求，学校投资约5万元进行变压器更换；为给同学们提供良好的运动环境学校投资约50万元进行运动场改建，在原有基础上建设5个新篮球场和1个足球场。</w:t>
      </w:r>
    </w:p>
    <w:p w14:paraId="0FF289EE">
      <w:pPr>
        <w:bidi w:val="0"/>
        <w:jc w:val="right"/>
        <w:rPr>
          <w:rFonts w:hint="eastAsia"/>
          <w:b/>
          <w:bCs/>
          <w:lang w:val="zh-CN"/>
        </w:rPr>
      </w:pPr>
      <w:r>
        <w:rPr>
          <w:rFonts w:hint="eastAsia"/>
          <w:b/>
          <w:bCs/>
          <w:lang w:val="zh-CN"/>
        </w:rPr>
        <w:t>（叶瑞荣）</w:t>
      </w:r>
    </w:p>
    <w:p w14:paraId="1C2DB400">
      <w:pPr>
        <w:pStyle w:val="11"/>
        <w:bidi w:val="0"/>
        <w:rPr>
          <w:rFonts w:hint="eastAsia"/>
          <w:b/>
          <w:bCs/>
          <w:lang w:val="zh-CN"/>
        </w:rPr>
      </w:pPr>
      <w:r>
        <w:rPr>
          <w:rFonts w:hint="eastAsia"/>
          <w:b/>
          <w:bCs/>
          <w:lang w:val="zh-CN"/>
        </w:rPr>
        <w:t>附：2018年市黎灿小学领导班子成员名单</w:t>
      </w:r>
    </w:p>
    <w:p w14:paraId="6A68C390">
      <w:pPr>
        <w:pStyle w:val="11"/>
        <w:bidi w:val="0"/>
        <w:rPr>
          <w:rFonts w:hint="eastAsia"/>
          <w:lang w:val="zh-CN"/>
        </w:rPr>
      </w:pPr>
      <w:r>
        <w:rPr>
          <w:rFonts w:hint="eastAsia"/>
          <w:b/>
          <w:bCs/>
          <w:lang w:val="zh-CN"/>
        </w:rPr>
        <w:t>校</w:t>
      </w:r>
      <w:r>
        <w:rPr>
          <w:rFonts w:hint="eastAsia"/>
          <w:b/>
          <w:bCs/>
          <w:lang w:val="en-US" w:eastAsia="zh-CN"/>
        </w:rPr>
        <w:t xml:space="preserve">  </w:t>
      </w:r>
      <w:r>
        <w:rPr>
          <w:rFonts w:hint="eastAsia"/>
          <w:b/>
          <w:bCs/>
          <w:lang w:val="zh-CN"/>
        </w:rPr>
        <w:t>长：</w:t>
      </w:r>
      <w:r>
        <w:rPr>
          <w:rFonts w:hint="eastAsia"/>
          <w:lang w:val="zh-CN"/>
        </w:rPr>
        <w:t>曾凡辉</w:t>
      </w:r>
    </w:p>
    <w:p w14:paraId="0CBDB775">
      <w:pPr>
        <w:pStyle w:val="11"/>
        <w:bidi w:val="0"/>
        <w:rPr>
          <w:rFonts w:hint="eastAsia"/>
          <w:lang w:val="zh-CN"/>
        </w:rPr>
      </w:pPr>
      <w:r>
        <w:rPr>
          <w:rFonts w:hint="eastAsia"/>
          <w:b/>
          <w:bCs/>
          <w:lang w:val="zh-CN"/>
        </w:rPr>
        <w:t>党总支书记：</w:t>
      </w:r>
      <w:r>
        <w:rPr>
          <w:rFonts w:hint="eastAsia"/>
          <w:lang w:val="zh-CN"/>
        </w:rPr>
        <w:t>傅为忠（任至8月）</w:t>
      </w:r>
    </w:p>
    <w:p w14:paraId="70FC4CA0">
      <w:pPr>
        <w:pStyle w:val="11"/>
        <w:bidi w:val="0"/>
        <w:ind w:leftChars="400"/>
        <w:rPr>
          <w:rFonts w:hint="eastAsia"/>
          <w:lang w:val="zh-CN"/>
        </w:rPr>
      </w:pPr>
      <w:r>
        <w:rPr>
          <w:rFonts w:hint="eastAsia"/>
          <w:lang w:val="zh-CN"/>
        </w:rPr>
        <w:t>曾凡辉（9月任职）</w:t>
      </w:r>
    </w:p>
    <w:p w14:paraId="224996E8">
      <w:pPr>
        <w:pStyle w:val="11"/>
        <w:bidi w:val="0"/>
        <w:rPr>
          <w:rFonts w:hint="eastAsia"/>
          <w:lang w:val="zh-CN"/>
        </w:rPr>
      </w:pPr>
      <w:r>
        <w:rPr>
          <w:rFonts w:hint="eastAsia"/>
          <w:b/>
          <w:bCs/>
          <w:lang w:val="zh-CN"/>
        </w:rPr>
        <w:t>副校长：</w:t>
      </w:r>
      <w:r>
        <w:rPr>
          <w:rFonts w:hint="eastAsia"/>
          <w:lang w:val="zh-CN"/>
        </w:rPr>
        <w:t>徐永辉（9月任职）</w:t>
      </w:r>
    </w:p>
    <w:p w14:paraId="683021C2">
      <w:pPr>
        <w:pStyle w:val="11"/>
        <w:bidi w:val="0"/>
        <w:ind w:leftChars="400"/>
        <w:rPr>
          <w:rFonts w:hint="eastAsia"/>
          <w:lang w:val="zh-CN"/>
        </w:rPr>
      </w:pPr>
      <w:r>
        <w:rPr>
          <w:rFonts w:hint="eastAsia"/>
          <w:lang w:val="zh-CN"/>
        </w:rPr>
        <w:t>张福清</w:t>
      </w:r>
      <w:r>
        <w:rPr>
          <w:rFonts w:hint="eastAsia"/>
          <w:lang w:val="en-US" w:eastAsia="zh-CN"/>
        </w:rPr>
        <w:t xml:space="preserve">   </w:t>
      </w:r>
      <w:r>
        <w:rPr>
          <w:rFonts w:hint="eastAsia"/>
          <w:lang w:val="zh-CN"/>
        </w:rPr>
        <w:t>张帼英</w:t>
      </w:r>
    </w:p>
    <w:p w14:paraId="6B9E56FB">
      <w:pPr>
        <w:pStyle w:val="11"/>
        <w:bidi w:val="0"/>
        <w:ind w:leftChars="400"/>
        <w:rPr>
          <w:rFonts w:hint="eastAsia"/>
          <w:lang w:val="zh-CN"/>
        </w:rPr>
      </w:pPr>
      <w:r>
        <w:rPr>
          <w:rFonts w:hint="eastAsia"/>
          <w:lang w:val="zh-CN"/>
        </w:rPr>
        <w:t>傅为忠（任至8月）</w:t>
      </w:r>
    </w:p>
    <w:p w14:paraId="0A2C970C">
      <w:pPr>
        <w:pStyle w:val="11"/>
        <w:bidi w:val="0"/>
        <w:ind w:leftChars="400"/>
        <w:rPr>
          <w:rFonts w:hint="eastAsia"/>
          <w:lang w:val="zh-CN"/>
        </w:rPr>
      </w:pPr>
      <w:r>
        <w:rPr>
          <w:rFonts w:hint="eastAsia"/>
          <w:lang w:val="zh-CN"/>
        </w:rPr>
        <w:t>徐永辉（9月任职）</w:t>
      </w:r>
    </w:p>
    <w:p w14:paraId="453BB026">
      <w:pPr>
        <w:pStyle w:val="4"/>
        <w:bidi w:val="0"/>
        <w:rPr>
          <w:rFonts w:hint="eastAsia"/>
          <w:lang w:val="zh-CN"/>
        </w:rPr>
      </w:pPr>
      <w:r>
        <w:rPr>
          <w:rFonts w:hint="eastAsia"/>
          <w:lang w:val="zh-CN"/>
        </w:rPr>
        <w:t>【南雄市永康路中心小学】</w:t>
      </w:r>
    </w:p>
    <w:p w14:paraId="08BF123A">
      <w:pPr>
        <w:bidi w:val="0"/>
        <w:rPr>
          <w:rFonts w:hint="eastAsia"/>
          <w:lang w:val="zh-CN"/>
        </w:rPr>
      </w:pPr>
      <w:r>
        <w:rPr>
          <w:rFonts w:hint="eastAsia"/>
          <w:lang w:val="zh-CN"/>
        </w:rPr>
        <w:t>永康路中心小学是一所完全小学，创办于1954年，其前身是私立豫德小学和私立萃雄小学，校址在县城永康路江西会馆和福建会馆。1952年豫德小学改为城关镇第四小学，萃雄小学改为城关镇第五小学。1954年整顿小学后，城关镇第四小学与第五小学合并，定名为永康路小学，是城关镇的中心小学。当时教师34人，21个教学班，学生915人。1967年改为东方红小学，1969年始办初中班，1978年定为县重点小学，停办了初中班。1980年复名永康路小学。2002年8月撤销教办后，学校晋级为永康路中心小学。2005年，黎口镇撤并雄州镇，其管理职能范围覆盖原黎口镇10所小学和原雄州镇6六所小学。2010年1月，为感恩南雄旅澳乡贤、杰出校友卢道平先生尊师重教、捐资助学的高尚义举，永康路小学更名为“永康路道平小学”。2011年8月，教育局将永康路中心小学所辖学校划分为永康学区、八一学区，新城学区。永康学区下辖有莲塘小学、背小学两所完全小学。2018年，有教学班41个，学生2130人，专任教师117人，学历达标率100%，高级教师职称4人。省级骨干教师4人，韶关市级名校长1人，韶关基础教育名教师2人，学科带头人3人，教学能手2人，名教师培养对象1人。有心理健康教B证教师4人。有教学楼4幢，电子交互式白板课室41间，多媒体教学平台48个（含电子交互式白板课室）；有队部室、心理辅导室、美术室、音乐室、图书室、阅览室、电脑语音室、体育室、舞蹈室、打印室、科学实验室、书画室、生物园、气象站、仪器室等功能室；有200米的田径运动场，1个硅PU篮球场；图书藏书量5.9万册；校园信息化工程建设，实现教师人手一台办公电脑和“班班通”。</w:t>
      </w:r>
    </w:p>
    <w:p w14:paraId="3E9BF288">
      <w:pPr>
        <w:bidi w:val="0"/>
        <w:rPr>
          <w:rFonts w:hint="eastAsia"/>
          <w:lang w:val="zh-CN"/>
        </w:rPr>
      </w:pPr>
      <w:r>
        <w:rPr>
          <w:rFonts w:hint="eastAsia"/>
          <w:b/>
          <w:bCs/>
          <w:lang w:val="zh-CN"/>
        </w:rPr>
        <w:t>获得荣誉</w:t>
      </w:r>
      <w:r>
        <w:rPr>
          <w:rFonts w:hint="eastAsia"/>
          <w:b/>
          <w:bCs/>
          <w:lang w:val="en-US" w:eastAsia="zh-CN"/>
        </w:rPr>
        <w:t xml:space="preserve">   </w:t>
      </w:r>
      <w:r>
        <w:rPr>
          <w:rFonts w:hint="eastAsia"/>
          <w:lang w:val="zh-CN"/>
        </w:rPr>
        <w:t>3月，学校被评为“南雄市关心下一代工作先进集体”；7月，学校党支部被评为“先进基层党支部”；9月，六4中队被授予2017-2018学年度“广东省少先队先进中队”称号。</w:t>
      </w:r>
    </w:p>
    <w:p w14:paraId="501F70EA">
      <w:pPr>
        <w:bidi w:val="0"/>
        <w:rPr>
          <w:rFonts w:hint="eastAsia"/>
          <w:lang w:val="zh-CN"/>
        </w:rPr>
      </w:pPr>
      <w:r>
        <w:rPr>
          <w:rFonts w:hint="eastAsia"/>
          <w:b/>
          <w:bCs/>
          <w:lang w:val="zh-CN"/>
        </w:rPr>
        <w:t>文体艺术</w:t>
      </w:r>
      <w:r>
        <w:rPr>
          <w:rFonts w:hint="eastAsia"/>
          <w:b/>
          <w:bCs/>
          <w:lang w:val="en-US" w:eastAsia="zh-CN"/>
        </w:rPr>
        <w:t xml:space="preserve">   </w:t>
      </w:r>
      <w:r>
        <w:rPr>
          <w:rFonts w:hint="eastAsia"/>
          <w:lang w:val="zh-CN"/>
        </w:rPr>
        <w:t>方面6月，学生男子篮球队在南雄市2018年中小学生篮球比赛中荣获小学男子甲组第一名；7月，舞蹈队表演的《阿蓝和阿乌》荣获南雄市“学习十九大，共筑中国梦”中小学（幼儿园）文艺竞赛一等奖；11月，学校荣获韶关市“善美之城·法治韶关”青少年法治护航行动聆听宪法的声音朗诵比赛“优秀组织奖”；11月，合唱社团荣获韶关市第二十三届中小学（幼儿园）“英东杯”文艺竞赛三等奖；12月，舞蹈社团荣获韶关市第二十三届中小学（幼儿园）“英东杯”文艺竞赛三等奖。</w:t>
      </w:r>
    </w:p>
    <w:p w14:paraId="7F93ED74">
      <w:pPr>
        <w:bidi w:val="0"/>
        <w:rPr>
          <w:rFonts w:hint="eastAsia"/>
          <w:lang w:val="zh-CN"/>
        </w:rPr>
      </w:pPr>
      <w:r>
        <w:rPr>
          <w:rFonts w:hint="eastAsia"/>
          <w:b/>
          <w:bCs/>
          <w:lang w:val="zh-CN"/>
        </w:rPr>
        <w:t>教师队伍</w:t>
      </w:r>
      <w:r>
        <w:rPr>
          <w:rFonts w:hint="eastAsia"/>
          <w:b/>
          <w:bCs/>
          <w:lang w:val="en-US" w:eastAsia="zh-CN"/>
        </w:rPr>
        <w:t xml:space="preserve">   </w:t>
      </w:r>
      <w:r>
        <w:rPr>
          <w:rFonts w:hint="eastAsia"/>
          <w:lang w:val="zh-CN"/>
        </w:rPr>
        <w:t>管理落实教师“县管校聘”工作精神，优化学科教师结构。暑假期间，学校严格执行雄府办〔2018〕6号文《关于推进全市中小学教师“县管校聘”管理改革的实施意见》、雄教〔2018〕35号文《南雄市中小学校公办教师聘任工作实施方案》精神，积极实施教师“县管校聘工作”，按照“以编定岗”原则，完成教师“县管校聘”工作。</w:t>
      </w:r>
    </w:p>
    <w:p w14:paraId="391A1F43">
      <w:pPr>
        <w:bidi w:val="0"/>
        <w:rPr>
          <w:rFonts w:hint="eastAsia"/>
          <w:lang w:val="zh-CN"/>
        </w:rPr>
      </w:pPr>
      <w:r>
        <w:rPr>
          <w:rFonts w:hint="eastAsia"/>
          <w:b/>
          <w:bCs/>
          <w:lang w:val="zh-CN"/>
        </w:rPr>
        <w:t>培养学生</w:t>
      </w:r>
      <w:r>
        <w:rPr>
          <w:rFonts w:hint="eastAsia"/>
          <w:b/>
          <w:bCs/>
          <w:lang w:val="en-US" w:eastAsia="zh-CN"/>
        </w:rPr>
        <w:t xml:space="preserve">   </w:t>
      </w:r>
      <w:r>
        <w:rPr>
          <w:rFonts w:hint="eastAsia"/>
          <w:lang w:val="zh-CN"/>
        </w:rPr>
        <w:t>综合素质强化“仪式”教育。7月举行六年级毕业典礼；9月举行新生开笔典礼；11月、12月举行少先队员入队仪式。强化体育教育。3月启动下午四点半活动，周一、三、五开展以“康德足球操+康德乒乓球操”为主要内容的室外活动，周二、四开展以“校级文体社团+班级兴趣活动”为形式的室内活动。强化艺术熏陶。5月举行第四届“康德”校园文化艺术节，分为乒乓球操比赛和举行“筑梦童年，放飞梦想”庆六一文艺汇演；6月、12月，举行一至六年级音乐美术测试，以“理论知识测试+技能测试”方式对学生进行考查。</w:t>
      </w:r>
    </w:p>
    <w:p w14:paraId="0108D10D">
      <w:pPr>
        <w:bidi w:val="0"/>
        <w:rPr>
          <w:rFonts w:hint="eastAsia"/>
          <w:lang w:val="zh-CN"/>
        </w:rPr>
      </w:pPr>
      <w:r>
        <w:rPr>
          <w:rFonts w:hint="eastAsia"/>
          <w:b/>
          <w:bCs/>
          <w:lang w:val="zh-CN"/>
        </w:rPr>
        <w:t>强化安全教育</w:t>
      </w:r>
      <w:r>
        <w:rPr>
          <w:rFonts w:hint="eastAsia"/>
          <w:b/>
          <w:bCs/>
          <w:lang w:val="en-US" w:eastAsia="zh-CN"/>
        </w:rPr>
        <w:t xml:space="preserve">  </w:t>
      </w:r>
      <w:r>
        <w:rPr>
          <w:rFonts w:hint="eastAsia"/>
          <w:lang w:val="en-US" w:eastAsia="zh-CN"/>
        </w:rPr>
        <w:t xml:space="preserve"> </w:t>
      </w:r>
      <w:r>
        <w:rPr>
          <w:rFonts w:hint="eastAsia"/>
          <w:lang w:val="zh-CN"/>
        </w:rPr>
        <w:t>学校保安人员每天提前50分钟在校门口值日巡视；值日教师每天提前30分钟到校进行值日巡视；家长义工轮值队伍，每天提前30分钟在值日地点进行值日，为学生过马路保驾护航。</w:t>
      </w:r>
    </w:p>
    <w:p w14:paraId="2AB4E75B">
      <w:pPr>
        <w:bidi w:val="0"/>
        <w:rPr>
          <w:rFonts w:hint="eastAsia"/>
          <w:lang w:val="zh-CN"/>
        </w:rPr>
      </w:pPr>
      <w:r>
        <w:rPr>
          <w:rFonts w:hint="eastAsia"/>
          <w:lang w:val="zh-CN"/>
        </w:rPr>
        <w:t>创新安全教育形式，各班以观看安全教育视频代替以前的集中讲授，先后观看《如何面对诱惑》《用电安全》《杜绝食品安全事故》《预防煤气中毒》《课间活动安全》等安全教育视频。强化自护自救能力，坚持每学期举行3次演练活动，第1周举行防震疏散演练，第8周举行消防疏散演练，第16周举行防踩踏演练。</w:t>
      </w:r>
    </w:p>
    <w:p w14:paraId="5D818028">
      <w:pPr>
        <w:bidi w:val="0"/>
        <w:jc w:val="right"/>
        <w:rPr>
          <w:rFonts w:hint="eastAsia"/>
          <w:b/>
          <w:bCs/>
          <w:lang w:val="zh-CN"/>
        </w:rPr>
      </w:pPr>
      <w:r>
        <w:rPr>
          <w:rFonts w:hint="eastAsia"/>
          <w:b/>
          <w:bCs/>
          <w:lang w:val="zh-CN"/>
        </w:rPr>
        <w:t>（邓春明）</w:t>
      </w:r>
    </w:p>
    <w:p w14:paraId="5F7ABB1C">
      <w:pPr>
        <w:pStyle w:val="11"/>
        <w:bidi w:val="0"/>
        <w:rPr>
          <w:rFonts w:hint="eastAsia"/>
          <w:b/>
          <w:bCs/>
          <w:lang w:val="zh-CN"/>
        </w:rPr>
      </w:pPr>
      <w:r>
        <w:rPr>
          <w:rFonts w:hint="eastAsia"/>
          <w:b/>
          <w:bCs/>
          <w:lang w:val="zh-CN"/>
        </w:rPr>
        <w:t>附：2018年市永康路中心小学领导班子成员名单</w:t>
      </w:r>
    </w:p>
    <w:p w14:paraId="2C7C96FB">
      <w:pPr>
        <w:pStyle w:val="11"/>
        <w:bidi w:val="0"/>
        <w:rPr>
          <w:rFonts w:hint="eastAsia"/>
          <w:lang w:val="zh-CN"/>
        </w:rPr>
      </w:pPr>
      <w:r>
        <w:rPr>
          <w:rFonts w:hint="eastAsia"/>
          <w:b/>
          <w:bCs/>
          <w:lang w:val="zh-CN"/>
        </w:rPr>
        <w:t>校</w:t>
      </w:r>
      <w:r>
        <w:rPr>
          <w:rFonts w:hint="eastAsia"/>
          <w:b/>
          <w:bCs/>
          <w:lang w:val="en-US" w:eastAsia="zh-CN"/>
        </w:rPr>
        <w:t xml:space="preserve">  </w:t>
      </w:r>
      <w:r>
        <w:rPr>
          <w:rFonts w:hint="eastAsia"/>
          <w:b/>
          <w:bCs/>
          <w:lang w:val="zh-CN"/>
        </w:rPr>
        <w:t>长：</w:t>
      </w:r>
      <w:r>
        <w:rPr>
          <w:rFonts w:hint="eastAsia"/>
          <w:lang w:val="zh-CN"/>
        </w:rPr>
        <w:t>陈礼英</w:t>
      </w:r>
    </w:p>
    <w:p w14:paraId="66C284E9">
      <w:pPr>
        <w:pStyle w:val="11"/>
        <w:bidi w:val="0"/>
        <w:rPr>
          <w:rFonts w:hint="eastAsia"/>
          <w:lang w:val="zh-CN"/>
        </w:rPr>
      </w:pPr>
      <w:r>
        <w:rPr>
          <w:rFonts w:hint="eastAsia"/>
          <w:b/>
          <w:bCs/>
          <w:lang w:val="zh-CN"/>
        </w:rPr>
        <w:t>副校长：</w:t>
      </w:r>
      <w:r>
        <w:rPr>
          <w:rFonts w:hint="eastAsia"/>
          <w:lang w:val="zh-CN"/>
        </w:rPr>
        <w:t>李德江</w:t>
      </w:r>
      <w:r>
        <w:rPr>
          <w:rFonts w:hint="eastAsia"/>
          <w:lang w:val="en-US" w:eastAsia="zh-CN"/>
        </w:rPr>
        <w:t xml:space="preserve">   </w:t>
      </w:r>
      <w:r>
        <w:rPr>
          <w:rFonts w:hint="eastAsia"/>
          <w:lang w:val="zh-CN"/>
        </w:rPr>
        <w:t>邓春明</w:t>
      </w:r>
    </w:p>
    <w:p w14:paraId="167D4705">
      <w:pPr>
        <w:pStyle w:val="11"/>
        <w:bidi w:val="0"/>
        <w:ind w:leftChars="400"/>
        <w:rPr>
          <w:rFonts w:hint="eastAsia"/>
          <w:lang w:val="zh-CN"/>
        </w:rPr>
      </w:pPr>
      <w:r>
        <w:rPr>
          <w:rFonts w:hint="eastAsia"/>
          <w:lang w:val="zh-CN"/>
        </w:rPr>
        <w:t>周</w:t>
      </w:r>
      <w:r>
        <w:rPr>
          <w:rFonts w:hint="eastAsia"/>
          <w:lang w:val="en-US" w:eastAsia="zh-CN"/>
        </w:rPr>
        <w:t xml:space="preserve">  </w:t>
      </w:r>
      <w:r>
        <w:rPr>
          <w:rFonts w:hint="eastAsia"/>
          <w:lang w:val="zh-CN"/>
        </w:rPr>
        <w:t>芸</w:t>
      </w:r>
    </w:p>
    <w:p w14:paraId="62CAD296">
      <w:pPr>
        <w:pStyle w:val="4"/>
        <w:bidi w:val="0"/>
        <w:rPr>
          <w:rFonts w:hint="eastAsia"/>
          <w:lang w:val="zh-CN"/>
        </w:rPr>
      </w:pPr>
      <w:r>
        <w:rPr>
          <w:rFonts w:hint="eastAsia"/>
          <w:lang w:val="zh-CN"/>
        </w:rPr>
        <w:t>【南雄市第一小学】</w:t>
      </w:r>
    </w:p>
    <w:p w14:paraId="5A191818">
      <w:pPr>
        <w:bidi w:val="0"/>
        <w:rPr>
          <w:rFonts w:hint="eastAsia"/>
          <w:lang w:val="zh-CN"/>
        </w:rPr>
      </w:pPr>
      <w:r>
        <w:rPr>
          <w:rFonts w:hint="eastAsia"/>
          <w:lang w:val="zh-CN"/>
        </w:rPr>
        <w:t>南雄市第一小学（简称南雄一小）位于雄州街道浈江路浈江小区，是南雄市2012年“四大民生工程”之一，于2013年9月1日投入使用，2018年有教师208人，学生4071人，81个教学班。</w:t>
      </w:r>
    </w:p>
    <w:p w14:paraId="13CBF675">
      <w:pPr>
        <w:bidi w:val="0"/>
        <w:rPr>
          <w:rFonts w:hint="eastAsia"/>
          <w:lang w:val="zh-CN"/>
        </w:rPr>
      </w:pPr>
      <w:r>
        <w:rPr>
          <w:rFonts w:hint="eastAsia"/>
          <w:lang w:val="zh-CN"/>
        </w:rPr>
        <w:t>南雄一小校园面积达4.97公顷，校舍建筑面积约1.8万平方米。学校建有1幢行政办公楼、1幢综合楼和4幢教学楼、24间功能室、2间阶梯式报告厅、1500平方米室内篮球场、400米环形跑道田径运动场、能满足2000人同时用餐之需的公共食堂。</w:t>
      </w:r>
    </w:p>
    <w:p w14:paraId="74224069">
      <w:pPr>
        <w:bidi w:val="0"/>
        <w:rPr>
          <w:rFonts w:hint="eastAsia"/>
          <w:lang w:val="zh-CN"/>
        </w:rPr>
      </w:pPr>
      <w:r>
        <w:rPr>
          <w:rFonts w:hint="eastAsia"/>
          <w:b/>
          <w:bCs/>
          <w:lang w:val="zh-CN"/>
        </w:rPr>
        <w:t>教学理念</w:t>
      </w:r>
      <w:r>
        <w:rPr>
          <w:rFonts w:hint="eastAsia"/>
          <w:b/>
          <w:bCs/>
          <w:lang w:val="en-US" w:eastAsia="zh-CN"/>
        </w:rPr>
        <w:t xml:space="preserve">  </w:t>
      </w:r>
      <w:r>
        <w:rPr>
          <w:rFonts w:hint="eastAsia"/>
          <w:lang w:val="en-US" w:eastAsia="zh-CN"/>
        </w:rPr>
        <w:t xml:space="preserve"> </w:t>
      </w:r>
      <w:r>
        <w:rPr>
          <w:rFonts w:hint="eastAsia"/>
          <w:lang w:val="zh-CN"/>
        </w:rPr>
        <w:t>南雄一小秉承幸福教育的办学思想和让孩子享受幸福童年的办学理念，着力打造以“三红”文化为主题的校园文化。为让三红文化深入学生的心中，在学生中得到传承，学校编撰并发放“三红文化”读本、创办《三红报》、成立小记者站。为将三红文化发扬光大，学校在班级中开展“三红小组”评比活动、“我与好书同行”的三红阅读活动、“三红文化”之阳光体育大课间、足球嘉年华等活动，形成以“三红”文化为引领的环境、活动、学科育人办学特色。</w:t>
      </w:r>
    </w:p>
    <w:p w14:paraId="4575AA70">
      <w:pPr>
        <w:bidi w:val="0"/>
        <w:rPr>
          <w:rFonts w:hint="eastAsia"/>
          <w:lang w:val="zh-CN"/>
        </w:rPr>
      </w:pPr>
      <w:r>
        <w:rPr>
          <w:rFonts w:hint="eastAsia"/>
          <w:b/>
          <w:bCs/>
          <w:lang w:val="zh-CN"/>
        </w:rPr>
        <w:t>科研兴校</w:t>
      </w:r>
      <w:r>
        <w:rPr>
          <w:rFonts w:hint="eastAsia"/>
          <w:b/>
          <w:bCs/>
          <w:lang w:val="en-US" w:eastAsia="zh-CN"/>
        </w:rPr>
        <w:t xml:space="preserve">  </w:t>
      </w:r>
      <w:r>
        <w:rPr>
          <w:rFonts w:hint="eastAsia"/>
          <w:lang w:val="en-US" w:eastAsia="zh-CN"/>
        </w:rPr>
        <w:t xml:space="preserve"> </w:t>
      </w:r>
      <w:r>
        <w:rPr>
          <w:rFonts w:hint="eastAsia"/>
          <w:lang w:val="zh-CN"/>
        </w:rPr>
        <w:t>南雄一小秉承“让孩子享受幸福童年”的办学理念，形成“善诱、生动、严谨、创新”的教风，养成“好学、善思、合作、进取”的学风。常态化地开展年级“五环互动式”同课异构教研活动、骨干教师示范课、骨干教师与新教师一帮一结对子帮扶活动、外出听课、邀请专家到校作讲座等，提高教师业务水平。2018年，学校教师有100多篇论文、课例、教学设计在国家、省、市、县级刊物发表或获奖，涌现出大批优秀教育工作者和先进个人。</w:t>
      </w:r>
    </w:p>
    <w:p w14:paraId="335556BA">
      <w:pPr>
        <w:bidi w:val="0"/>
        <w:rPr>
          <w:rFonts w:hint="eastAsia"/>
          <w:lang w:val="zh-CN"/>
        </w:rPr>
      </w:pPr>
      <w:r>
        <w:rPr>
          <w:rFonts w:hint="eastAsia"/>
          <w:b/>
          <w:bCs/>
          <w:lang w:val="zh-CN"/>
        </w:rPr>
        <w:t>文体活动</w:t>
      </w:r>
      <w:r>
        <w:rPr>
          <w:rFonts w:hint="eastAsia"/>
          <w:b/>
          <w:bCs/>
          <w:lang w:val="en-US" w:eastAsia="zh-CN"/>
        </w:rPr>
        <w:t xml:space="preserve">   </w:t>
      </w:r>
      <w:r>
        <w:rPr>
          <w:rFonts w:hint="eastAsia"/>
          <w:lang w:val="zh-CN"/>
        </w:rPr>
        <w:t>南雄一小开展教育实践活动，开设合唱、舞蹈、绘画、书法、围棋等20多个兴趣小组，丰富校园文化生活，培养学生审美情趣和创造能力；同时还开展感恩教育、经典诵读等活动，激发学生诵读兴趣；每天均有阳光体育大课间、足球操等活动，为培养学生特长提供有力保障。</w:t>
      </w:r>
    </w:p>
    <w:p w14:paraId="748FF342">
      <w:pPr>
        <w:bidi w:val="0"/>
        <w:rPr>
          <w:rFonts w:hint="eastAsia"/>
          <w:lang w:val="zh-CN"/>
        </w:rPr>
      </w:pPr>
      <w:r>
        <w:rPr>
          <w:rFonts w:hint="eastAsia"/>
          <w:b/>
          <w:bCs/>
          <w:lang w:val="zh-CN"/>
        </w:rPr>
        <w:t>关爱留守儿童</w:t>
      </w:r>
      <w:r>
        <w:rPr>
          <w:rFonts w:hint="eastAsia"/>
          <w:b/>
          <w:bCs/>
          <w:lang w:val="en-US" w:eastAsia="zh-CN"/>
        </w:rPr>
        <w:t xml:space="preserve">   </w:t>
      </w:r>
      <w:r>
        <w:rPr>
          <w:rFonts w:hint="eastAsia"/>
          <w:lang w:val="zh-CN"/>
        </w:rPr>
        <w:t>南雄一小推行“家庭、学校、社会”三位一体的留守儿童教育管理机制，关爱留守儿童，资助贫困家庭。2018年，学校精准扶贫131人次，义务教育资助356人次，其他资助19人次，为留守儿童撑起一片蓝天。</w:t>
      </w:r>
    </w:p>
    <w:p w14:paraId="715F2354">
      <w:pPr>
        <w:bidi w:val="0"/>
        <w:rPr>
          <w:rFonts w:hint="eastAsia"/>
          <w:lang w:val="zh-CN"/>
        </w:rPr>
      </w:pPr>
      <w:r>
        <w:rPr>
          <w:rFonts w:hint="eastAsia"/>
          <w:b/>
          <w:bCs/>
          <w:lang w:val="zh-CN"/>
        </w:rPr>
        <w:t>获得荣誉</w:t>
      </w:r>
      <w:r>
        <w:rPr>
          <w:rFonts w:hint="eastAsia"/>
          <w:b/>
          <w:bCs/>
          <w:lang w:val="en-US" w:eastAsia="zh-CN"/>
        </w:rPr>
        <w:t xml:space="preserve">   </w:t>
      </w:r>
      <w:r>
        <w:rPr>
          <w:rFonts w:hint="eastAsia"/>
          <w:lang w:val="zh-CN"/>
        </w:rPr>
        <w:t>2018年，南雄一小先后被评为“全国优秀少先队集体”“韶关市文明校园”“南雄市文明校园”；学校关工小组被评为“南雄市关心下一代工作先进集体”；学校党支部被评为“先进基层党（总）支部；学校少先队大队被评为“韶关市少先队红旗大队”。在韶关市中小学“经典咏流传”诗文诵读比赛中，学校荣获小学组一等奖；在第二十三届中小学英东杯文艺竞赛中，学校荣获三等奖；在南雄市第二届“舞动新时代”舞蹈大赛中，学校荣获第三名；校男、女足球队分别荣获2018年南雄市中小学生冬季足球赛冠、亚军。</w:t>
      </w:r>
      <w:r>
        <w:rPr>
          <w:rFonts w:hint="eastAsia"/>
          <w:b/>
          <w:bCs/>
          <w:lang w:val="zh-CN"/>
        </w:rPr>
        <w:t>（陈莉花）</w:t>
      </w:r>
    </w:p>
    <w:p w14:paraId="5CEEF141">
      <w:pPr>
        <w:pStyle w:val="11"/>
        <w:bidi w:val="0"/>
        <w:rPr>
          <w:rFonts w:hint="eastAsia"/>
          <w:b/>
          <w:bCs/>
          <w:lang w:val="zh-CN"/>
        </w:rPr>
      </w:pPr>
      <w:r>
        <w:rPr>
          <w:rFonts w:hint="eastAsia"/>
          <w:b/>
          <w:bCs/>
          <w:lang w:val="zh-CN"/>
        </w:rPr>
        <w:t>附：2018年市一小领导班子成员名单</w:t>
      </w:r>
    </w:p>
    <w:p w14:paraId="0DBF10D9">
      <w:pPr>
        <w:pStyle w:val="11"/>
        <w:bidi w:val="0"/>
        <w:rPr>
          <w:rFonts w:hint="eastAsia"/>
          <w:lang w:val="zh-CN"/>
        </w:rPr>
      </w:pPr>
      <w:r>
        <w:rPr>
          <w:rFonts w:hint="eastAsia"/>
          <w:b/>
          <w:bCs/>
          <w:lang w:val="zh-CN"/>
        </w:rPr>
        <w:t>校</w:t>
      </w:r>
      <w:r>
        <w:rPr>
          <w:rFonts w:hint="eastAsia"/>
          <w:b/>
          <w:bCs/>
          <w:lang w:val="en-US" w:eastAsia="zh-CN"/>
        </w:rPr>
        <w:t xml:space="preserve">  </w:t>
      </w:r>
      <w:r>
        <w:rPr>
          <w:rFonts w:hint="eastAsia"/>
          <w:b/>
          <w:bCs/>
          <w:lang w:val="zh-CN"/>
        </w:rPr>
        <w:t>长：</w:t>
      </w:r>
      <w:r>
        <w:rPr>
          <w:rFonts w:hint="eastAsia"/>
          <w:lang w:val="zh-CN"/>
        </w:rPr>
        <w:t>曾令平</w:t>
      </w:r>
    </w:p>
    <w:p w14:paraId="0921AC6D">
      <w:pPr>
        <w:pStyle w:val="11"/>
        <w:bidi w:val="0"/>
        <w:rPr>
          <w:rFonts w:hint="eastAsia"/>
          <w:lang w:val="zh-CN"/>
        </w:rPr>
      </w:pPr>
      <w:r>
        <w:rPr>
          <w:rFonts w:hint="eastAsia"/>
          <w:b/>
          <w:bCs/>
          <w:lang w:val="zh-CN"/>
        </w:rPr>
        <w:t>党支部书记：</w:t>
      </w:r>
      <w:r>
        <w:rPr>
          <w:rFonts w:hint="eastAsia"/>
          <w:lang w:val="zh-CN"/>
        </w:rPr>
        <w:t>罗绍彬</w:t>
      </w:r>
    </w:p>
    <w:p w14:paraId="4A075875">
      <w:pPr>
        <w:pStyle w:val="11"/>
        <w:bidi w:val="0"/>
        <w:rPr>
          <w:rFonts w:hint="eastAsia"/>
          <w:lang w:val="zh-CN"/>
        </w:rPr>
      </w:pPr>
      <w:r>
        <w:rPr>
          <w:rFonts w:hint="eastAsia"/>
          <w:b/>
          <w:bCs/>
          <w:lang w:val="zh-CN"/>
        </w:rPr>
        <w:t>副校长：</w:t>
      </w:r>
      <w:r>
        <w:rPr>
          <w:rFonts w:hint="eastAsia"/>
          <w:lang w:val="zh-CN"/>
        </w:rPr>
        <w:t>谢加伟</w:t>
      </w:r>
      <w:r>
        <w:rPr>
          <w:rFonts w:hint="eastAsia"/>
          <w:lang w:val="en-US" w:eastAsia="zh-CN"/>
        </w:rPr>
        <w:t xml:space="preserve">   </w:t>
      </w:r>
      <w:r>
        <w:rPr>
          <w:rFonts w:hint="eastAsia"/>
          <w:lang w:val="zh-CN"/>
        </w:rPr>
        <w:t>张金星</w:t>
      </w:r>
    </w:p>
    <w:p w14:paraId="7F4361B1">
      <w:pPr>
        <w:pStyle w:val="11"/>
        <w:bidi w:val="0"/>
        <w:ind w:left="840" w:leftChars="400"/>
        <w:rPr>
          <w:rFonts w:hint="eastAsia"/>
          <w:lang w:val="zh-CN"/>
        </w:rPr>
      </w:pPr>
      <w:r>
        <w:rPr>
          <w:rFonts w:hint="eastAsia"/>
          <w:lang w:val="zh-CN"/>
        </w:rPr>
        <w:t>汪</w:t>
      </w:r>
      <w:r>
        <w:rPr>
          <w:rFonts w:hint="eastAsia"/>
          <w:lang w:val="en-US" w:eastAsia="zh-CN"/>
        </w:rPr>
        <w:t xml:space="preserve">  </w:t>
      </w:r>
      <w:r>
        <w:rPr>
          <w:rFonts w:hint="eastAsia"/>
          <w:lang w:val="zh-CN"/>
        </w:rPr>
        <w:t>慎</w:t>
      </w:r>
      <w:r>
        <w:rPr>
          <w:rFonts w:hint="eastAsia"/>
          <w:lang w:val="en-US" w:eastAsia="zh-CN"/>
        </w:rPr>
        <w:t xml:space="preserve">   </w:t>
      </w:r>
      <w:r>
        <w:rPr>
          <w:rFonts w:hint="eastAsia"/>
          <w:lang w:val="zh-CN"/>
        </w:rPr>
        <w:t>王小兰</w:t>
      </w:r>
    </w:p>
    <w:p w14:paraId="54C00390">
      <w:pPr>
        <w:pStyle w:val="4"/>
        <w:bidi w:val="0"/>
        <w:rPr>
          <w:rFonts w:hint="eastAsia"/>
          <w:lang w:val="zh-CN"/>
        </w:rPr>
      </w:pPr>
      <w:r>
        <w:rPr>
          <w:rFonts w:hint="eastAsia"/>
          <w:lang w:val="zh-CN"/>
        </w:rPr>
        <w:t>【南雄市特殊教育学校】</w:t>
      </w:r>
    </w:p>
    <w:p w14:paraId="001CA5DF">
      <w:pPr>
        <w:bidi w:val="0"/>
        <w:rPr>
          <w:rFonts w:hint="eastAsia"/>
          <w:lang w:val="zh-CN"/>
        </w:rPr>
      </w:pPr>
      <w:r>
        <w:rPr>
          <w:rFonts w:hint="eastAsia"/>
          <w:lang w:val="zh-CN"/>
        </w:rPr>
        <w:t>南雄市特殊教育学校位于南雄市珠玑镇长迳村，利用原珠玑镇镇泰小学闲置校舍改建而成，于2012年9月正式招生，是南雄市唯一的对智障少年儿童进行九年义务教育的特殊教育学校。2018年有教职工14人，学生86人。学校占地面积1.6万平方米，建筑面积4278平方米。</w:t>
      </w:r>
    </w:p>
    <w:p w14:paraId="381F1039">
      <w:pPr>
        <w:bidi w:val="0"/>
        <w:rPr>
          <w:rFonts w:hint="eastAsia"/>
          <w:lang w:val="zh-CN"/>
        </w:rPr>
      </w:pPr>
      <w:r>
        <w:rPr>
          <w:rFonts w:hint="eastAsia"/>
          <w:b/>
          <w:bCs/>
          <w:lang w:val="zh-CN"/>
        </w:rPr>
        <w:t>校园设施</w:t>
      </w:r>
      <w:r>
        <w:rPr>
          <w:rFonts w:hint="eastAsia"/>
          <w:b/>
          <w:bCs/>
          <w:lang w:val="en-US" w:eastAsia="zh-CN"/>
        </w:rPr>
        <w:t xml:space="preserve">  </w:t>
      </w:r>
      <w:r>
        <w:rPr>
          <w:rFonts w:hint="eastAsia"/>
          <w:lang w:val="en-US" w:eastAsia="zh-CN"/>
        </w:rPr>
        <w:t xml:space="preserve"> </w:t>
      </w:r>
      <w:r>
        <w:rPr>
          <w:rFonts w:hint="eastAsia"/>
          <w:lang w:val="zh-CN"/>
        </w:rPr>
        <w:t>学校有教学楼、宿舍楼、功能楼各1幢；塑胶运动场、足球场各1座；生活活动区1个。学校设有多感官训练室、唱游律动室、感统训练室、心理咨询室、康复训练室、音乐治疗室、个体训练室、宣泄室等15间功能室，各项设施齐全。</w:t>
      </w:r>
    </w:p>
    <w:p w14:paraId="0D5F3307">
      <w:pPr>
        <w:bidi w:val="0"/>
        <w:rPr>
          <w:rFonts w:hint="eastAsia"/>
          <w:lang w:val="zh-CN"/>
        </w:rPr>
      </w:pPr>
      <w:r>
        <w:rPr>
          <w:rFonts w:hint="eastAsia"/>
          <w:b/>
          <w:bCs/>
          <w:lang w:val="zh-CN"/>
        </w:rPr>
        <w:t>办学理念</w:t>
      </w:r>
      <w:r>
        <w:rPr>
          <w:rFonts w:hint="eastAsia"/>
          <w:b/>
          <w:bCs/>
          <w:lang w:val="en-US" w:eastAsia="zh-CN"/>
        </w:rPr>
        <w:t xml:space="preserve">   </w:t>
      </w:r>
      <w:r>
        <w:rPr>
          <w:rFonts w:hint="eastAsia"/>
          <w:lang w:val="zh-CN"/>
        </w:rPr>
        <w:t>学校坚持“用特别的爱献给特别的人”的办学理念，“自立生活、适应社会”的办学宗旨，以“自尊、自信、自立、自强”为校训，倡导“巧沟通、善补偿、不气馁、会成才”的校风，“小步子、多循环、百回导、有恒心”的教风，“丁点看、从易做、千遍学、有自信”的学风，让校园里的每个孩子绽放出灿烂的笑脸。</w:t>
      </w:r>
    </w:p>
    <w:p w14:paraId="2317DEC4">
      <w:pPr>
        <w:bidi w:val="0"/>
        <w:rPr>
          <w:rFonts w:hint="eastAsia"/>
          <w:lang w:val="zh-CN"/>
        </w:rPr>
      </w:pPr>
      <w:r>
        <w:rPr>
          <w:rFonts w:hint="eastAsia"/>
          <w:b/>
          <w:bCs/>
          <w:lang w:val="zh-CN"/>
        </w:rPr>
        <w:t>办学特色</w:t>
      </w:r>
      <w:r>
        <w:rPr>
          <w:rFonts w:hint="eastAsia"/>
          <w:b/>
          <w:bCs/>
          <w:lang w:val="en-US" w:eastAsia="zh-CN"/>
        </w:rPr>
        <w:t xml:space="preserve">   </w:t>
      </w:r>
      <w:r>
        <w:rPr>
          <w:rFonts w:hint="eastAsia"/>
          <w:lang w:val="zh-CN"/>
        </w:rPr>
        <w:t>学校全面贯彻党的教育方针，重视素质教育。以生活化课程为载体，以学生个性发展为需求，已形成零拒绝、全接纳、全免费、寄宿制，学校教育与送教上门同步进行、集体教育与个别化教育有效结合，生活自理能力培养与职业技能培训双轨并行的办学特色。</w:t>
      </w:r>
      <w:r>
        <w:rPr>
          <w:rFonts w:hint="eastAsia"/>
          <w:b/>
          <w:bCs/>
          <w:lang w:val="zh-CN"/>
        </w:rPr>
        <w:t>（刘九生）</w:t>
      </w:r>
    </w:p>
    <w:p w14:paraId="6CECDF49">
      <w:pPr>
        <w:pStyle w:val="11"/>
        <w:bidi w:val="0"/>
        <w:rPr>
          <w:rFonts w:hint="eastAsia"/>
          <w:b/>
          <w:bCs/>
          <w:lang w:val="zh-CN"/>
        </w:rPr>
      </w:pPr>
      <w:r>
        <w:rPr>
          <w:rFonts w:hint="eastAsia"/>
          <w:b/>
          <w:bCs/>
          <w:lang w:val="zh-CN"/>
        </w:rPr>
        <w:t>附：2018年市特殊教育学校领导班子成员名单</w:t>
      </w:r>
    </w:p>
    <w:p w14:paraId="467D2907">
      <w:pPr>
        <w:pStyle w:val="11"/>
        <w:bidi w:val="0"/>
        <w:rPr>
          <w:rFonts w:hint="eastAsia"/>
          <w:lang w:val="zh-CN"/>
        </w:rPr>
      </w:pPr>
      <w:r>
        <w:rPr>
          <w:rFonts w:hint="eastAsia"/>
          <w:b/>
          <w:bCs/>
          <w:lang w:val="zh-CN"/>
        </w:rPr>
        <w:t>校长、党支部书记：</w:t>
      </w:r>
      <w:r>
        <w:rPr>
          <w:rFonts w:hint="eastAsia"/>
          <w:lang w:val="zh-CN"/>
        </w:rPr>
        <w:t>张海连</w:t>
      </w:r>
    </w:p>
    <w:p w14:paraId="17A109E4">
      <w:pPr>
        <w:pStyle w:val="11"/>
        <w:bidi w:val="0"/>
        <w:rPr>
          <w:rFonts w:hint="eastAsia"/>
          <w:lang w:val="zh-CN"/>
        </w:rPr>
      </w:pPr>
      <w:r>
        <w:rPr>
          <w:rFonts w:hint="eastAsia"/>
          <w:b/>
          <w:bCs/>
          <w:lang w:val="zh-CN"/>
        </w:rPr>
        <w:t>副校长：</w:t>
      </w:r>
      <w:r>
        <w:rPr>
          <w:rFonts w:hint="eastAsia"/>
          <w:lang w:val="zh-CN"/>
        </w:rPr>
        <w:t>刘九生</w:t>
      </w:r>
    </w:p>
    <w:p w14:paraId="73CC2AA3">
      <w:pPr>
        <w:pStyle w:val="4"/>
        <w:bidi w:val="0"/>
        <w:rPr>
          <w:rFonts w:hint="eastAsia"/>
          <w:lang w:val="zh-CN"/>
        </w:rPr>
      </w:pPr>
      <w:r>
        <w:rPr>
          <w:rFonts w:hint="eastAsia"/>
          <w:lang w:val="zh-CN"/>
        </w:rPr>
        <w:t>【南雄中学】</w:t>
      </w:r>
    </w:p>
    <w:p w14:paraId="313E95DE">
      <w:pPr>
        <w:bidi w:val="0"/>
        <w:rPr>
          <w:rFonts w:hint="eastAsia"/>
          <w:lang w:val="zh-CN"/>
        </w:rPr>
      </w:pPr>
      <w:r>
        <w:rPr>
          <w:rFonts w:hint="eastAsia"/>
          <w:lang w:val="zh-CN"/>
        </w:rPr>
        <w:t>南雄中学前身为道南书院（1765年），1906年道南书院改为州立南雄中学堂；1913年改为广东省立南雄中学；1924年改为广东省立第六中学；1934年改为广东省立南雄中学；1951年，定名为广东南雄中学；1981年，被广东省人民政府定为南雄县重点中学；1995年，被评为首批韶关市一级学校；2003年，被评为广东省一级学校；2007年，成功晋升为首批广东省国家级示范性普通高中。</w:t>
      </w:r>
    </w:p>
    <w:p w14:paraId="3C2C7155">
      <w:pPr>
        <w:bidi w:val="0"/>
        <w:rPr>
          <w:rFonts w:hint="eastAsia"/>
          <w:lang w:val="zh-CN"/>
        </w:rPr>
      </w:pPr>
      <w:r>
        <w:rPr>
          <w:rFonts w:hint="eastAsia"/>
          <w:lang w:val="zh-CN"/>
        </w:rPr>
        <w:t>学校占地9.87公顷，建筑面积近6万平方米。现有学生3900多人。学校教职工354人，其中特级教师2人，高级教师89人，一级教师127名；硕士研究生22人，研究生学历31人。拥有省级名教师培养对象2人，省级骨干教师培养对象15人；韶关市名校长培养对象2人，韶关市名教师1人，韶关市名教师培养对象3人；南雄市学科带头人13人，南雄市名教师8人。学校配备多媒体教学平台的教学大楼4栋96间课室，实验楼1栋，图书馆1栋，学术交流中心1栋，高标准综合大楼1栋，学生公寓式宿舍1栋，现代化学生饭堂1座，400米标准塑胶田径运动场1个，塑胶篮球场6个；高标准实验室、现代化功能室、图书馆、阅览室、录课室；完善的电视监控系统，先进的网络化管理，是广东省第一批信息化中心学校，也是省市重点中学，被评为全国中小学“科研兴校示范基地”、全国体育锻炼先进单位、教育部中小学国防教育示范学校、广东省普通高中教学水平评估优秀学校、广东省一级学校、广东省国家级示范性普通高中、广东省普教系统先进集体、广东省“固本强基”先进基层党组织、广东省体育特色学校、广东省书香校园等60多个国家、省、市级、县级先进荣誉称号。恢复高考至今，学校为国家输送2万多名各类人才，有20位同学先后考入北京大学、清华大学；3人获高考广东省单科状元，9人摘取高考韶关市总分桂冠。</w:t>
      </w:r>
    </w:p>
    <w:p w14:paraId="2D81A452">
      <w:pPr>
        <w:bidi w:val="0"/>
        <w:rPr>
          <w:rFonts w:hint="eastAsia"/>
          <w:lang w:val="zh-CN"/>
        </w:rPr>
      </w:pPr>
      <w:r>
        <w:rPr>
          <w:rFonts w:hint="eastAsia"/>
          <w:b/>
          <w:bCs/>
          <w:lang w:val="zh-CN"/>
        </w:rPr>
        <w:t>高考</w:t>
      </w:r>
      <w:r>
        <w:rPr>
          <w:rFonts w:hint="eastAsia"/>
          <w:b/>
          <w:bCs/>
          <w:lang w:val="en-US" w:eastAsia="zh-CN"/>
        </w:rPr>
        <w:t xml:space="preserve">  </w:t>
      </w:r>
      <w:r>
        <w:rPr>
          <w:rFonts w:hint="eastAsia"/>
          <w:lang w:val="en-US" w:eastAsia="zh-CN"/>
        </w:rPr>
        <w:t xml:space="preserve"> </w:t>
      </w:r>
      <w:r>
        <w:rPr>
          <w:rFonts w:hint="eastAsia"/>
          <w:lang w:val="zh-CN"/>
        </w:rPr>
        <w:t>2018年，学校高考取得优异成绩，超额完成韶关市高考指标：一本上线207人，二本以上上线801人，专科以上上线1566人，实现各批次上线人数稳居韶关市各县（区）重点中学之首的目标。黄璨同学以650分夺取韶关市文科总分第一名。2005年至2018年，学校连续第十四年被评为“韶关市普通高中教学质量优秀学校”，是全韶关市唯一一所连续14年获此殊荣学校。</w:t>
      </w:r>
    </w:p>
    <w:p w14:paraId="01BB7E99">
      <w:pPr>
        <w:bidi w:val="0"/>
        <w:rPr>
          <w:rFonts w:hint="eastAsia"/>
          <w:lang w:val="zh-CN"/>
        </w:rPr>
      </w:pPr>
      <w:r>
        <w:rPr>
          <w:rFonts w:hint="eastAsia"/>
          <w:b/>
          <w:bCs/>
          <w:lang w:val="zh-CN"/>
        </w:rPr>
        <w:t>教育现代化建设</w:t>
      </w:r>
      <w:r>
        <w:rPr>
          <w:rFonts w:hint="eastAsia"/>
          <w:b/>
          <w:bCs/>
          <w:lang w:val="en-US" w:eastAsia="zh-CN"/>
        </w:rPr>
        <w:t xml:space="preserve">   </w:t>
      </w:r>
      <w:r>
        <w:rPr>
          <w:rFonts w:hint="eastAsia"/>
          <w:lang w:val="zh-CN"/>
        </w:rPr>
        <w:t>2018年，学校积极响应市委市政府提出的“四个重点”工作，着力完善学校教育教学设施设备等硬件建设，不断改善办学条件，加速教育现代化建设进程。一年来，完成图书馆、实验楼消防通道改造，升级改造学生宿舍并配备消防池，升级改造学校运动场，体育活动馆完成一期工程。2018年学校开始创建广东省第一批信息化中心校，引进“智慧课堂”教学系统，组建8个Pad教学班；新建成高标准的精品录播课室。</w:t>
      </w:r>
    </w:p>
    <w:p w14:paraId="1621E1AA">
      <w:pPr>
        <w:bidi w:val="0"/>
        <w:rPr>
          <w:rFonts w:hint="eastAsia"/>
          <w:lang w:val="zh-CN"/>
        </w:rPr>
      </w:pPr>
      <w:r>
        <w:rPr>
          <w:rFonts w:hint="eastAsia"/>
          <w:b/>
          <w:bCs/>
          <w:lang w:val="zh-CN"/>
        </w:rPr>
        <w:t>教研教改工作</w:t>
      </w:r>
      <w:r>
        <w:rPr>
          <w:rFonts w:hint="eastAsia"/>
          <w:b/>
          <w:bCs/>
          <w:lang w:val="en-US" w:eastAsia="zh-CN"/>
        </w:rPr>
        <w:t xml:space="preserve">   </w:t>
      </w:r>
      <w:r>
        <w:rPr>
          <w:rFonts w:hint="eastAsia"/>
          <w:lang w:val="zh-CN"/>
        </w:rPr>
        <w:t>2018年学校有14项课题结题，其中省级课题3项、市级课题4项、县级课题7项；16项课题获得立项，其中市级4项、县级12项。2018年全国高中数学竞赛，张红英老师指导的李高敏、许畅两位同学获得全国三等奖；2018年全国高中学生化学竞赛，罗小彪、温志全、黄瑞清老师指导的卢印、谢艺两位同学获得全国二等奖；邓林凤老师指导的温启萌获得全国中学生生物学竞赛全国三等奖；吴春亮老师指导的丁晨蓉、许畅、谢艺三位同学，获得全国中学生物理竞赛全国三等奖。</w:t>
      </w:r>
    </w:p>
    <w:p w14:paraId="1C1BC6BE">
      <w:pPr>
        <w:bidi w:val="0"/>
        <w:rPr>
          <w:rFonts w:hint="eastAsia"/>
          <w:lang w:val="zh-CN"/>
        </w:rPr>
      </w:pPr>
      <w:r>
        <w:rPr>
          <w:rFonts w:hint="eastAsia"/>
          <w:b/>
          <w:bCs/>
          <w:lang w:val="zh-CN"/>
        </w:rPr>
        <w:t>全面深化教育改革</w:t>
      </w:r>
      <w:r>
        <w:rPr>
          <w:rFonts w:hint="eastAsia"/>
          <w:b/>
          <w:bCs/>
          <w:lang w:val="en-US" w:eastAsia="zh-CN"/>
        </w:rPr>
        <w:t xml:space="preserve">   </w:t>
      </w:r>
      <w:r>
        <w:rPr>
          <w:rFonts w:hint="eastAsia"/>
          <w:lang w:val="zh-CN"/>
        </w:rPr>
        <w:t>4月，根据《南雄市教育系统相同专业技术级别晋升更高岗位实施办法》，学校进行相应晋升考核工作，143名教师晋升更高岗位；8月，根据《南雄市中小学校公办教师聘任工作实施方案》，学校积极开展“县管校聘”工作，经综合考核，学校聘任354名教职工，对未达到岗位聘任要求的进行岗位调整；2018年秋季入学新生，学校按照新一轮课程改革和高考改革的要求，积极探索“选课走班”教学模式。</w:t>
      </w:r>
    </w:p>
    <w:p w14:paraId="4BD95A35">
      <w:pPr>
        <w:bidi w:val="0"/>
        <w:rPr>
          <w:rFonts w:hint="eastAsia"/>
          <w:lang w:val="zh-CN"/>
        </w:rPr>
      </w:pPr>
      <w:r>
        <w:rPr>
          <w:rFonts w:hint="eastAsia"/>
          <w:b/>
          <w:bCs/>
          <w:lang w:val="zh-CN"/>
        </w:rPr>
        <w:t>重大活动</w:t>
      </w:r>
      <w:r>
        <w:rPr>
          <w:rFonts w:hint="eastAsia"/>
          <w:b/>
          <w:bCs/>
          <w:lang w:val="en-US" w:eastAsia="zh-CN"/>
        </w:rPr>
        <w:t xml:space="preserve">   </w:t>
      </w:r>
      <w:r>
        <w:rPr>
          <w:rFonts w:hint="eastAsia"/>
          <w:lang w:val="zh-CN"/>
        </w:rPr>
        <w:t>4月举行“中华经典诵读”主题月活动；5月11日，举行“不忘初心、牢记使命、争做四讲四有党员教师”主题演讲比赛；11月3日，举行建校112周年校庆系列活动，校庆文艺晚会进行网上直播，吸引7万余人在线观看；11月22日，邀请杰出校友、港珠澳大桥建设功臣、“南粤楷模”张宝兰返校做《筑梦伶仃圆梦岛隧》主题励志报告；12月30日，举行2019届高三学生成人礼活动。</w:t>
      </w:r>
    </w:p>
    <w:p w14:paraId="5ADC272D">
      <w:pPr>
        <w:bidi w:val="0"/>
        <w:rPr>
          <w:rFonts w:hint="eastAsia"/>
          <w:lang w:val="zh-CN"/>
        </w:rPr>
      </w:pPr>
      <w:r>
        <w:rPr>
          <w:rFonts w:hint="eastAsia"/>
          <w:b/>
          <w:bCs/>
          <w:lang w:val="zh-CN"/>
        </w:rPr>
        <w:t>获得荣誉</w:t>
      </w:r>
      <w:r>
        <w:rPr>
          <w:rFonts w:hint="eastAsia"/>
          <w:b/>
          <w:bCs/>
          <w:lang w:val="en-US" w:eastAsia="zh-CN"/>
        </w:rPr>
        <w:t xml:space="preserve">   </w:t>
      </w:r>
      <w:r>
        <w:rPr>
          <w:rFonts w:hint="eastAsia"/>
          <w:lang w:val="zh-CN"/>
        </w:rPr>
        <w:t>2018年，学校获得“国家级节约型公共机构示范单位”“韶关市绿色校园”“韶关市禁毒示范学校”“南雄市优秀基层党总支”“南雄市绿色校园”等多个国家、省、市、县级荣誉称号。</w:t>
      </w:r>
    </w:p>
    <w:p w14:paraId="3E5FA28A">
      <w:pPr>
        <w:bidi w:val="0"/>
        <w:jc w:val="right"/>
        <w:rPr>
          <w:rFonts w:hint="eastAsia"/>
          <w:b/>
          <w:bCs/>
          <w:lang w:val="zh-CN"/>
        </w:rPr>
      </w:pPr>
      <w:r>
        <w:rPr>
          <w:rFonts w:hint="eastAsia"/>
          <w:b/>
          <w:bCs/>
          <w:lang w:val="zh-CN"/>
        </w:rPr>
        <w:t>（蔡绵博）</w:t>
      </w:r>
    </w:p>
    <w:p w14:paraId="3C4CE91E">
      <w:pPr>
        <w:pStyle w:val="11"/>
        <w:bidi w:val="0"/>
        <w:rPr>
          <w:rFonts w:hint="eastAsia"/>
          <w:b/>
          <w:bCs/>
          <w:lang w:val="zh-CN"/>
        </w:rPr>
      </w:pPr>
      <w:r>
        <w:rPr>
          <w:rFonts w:hint="eastAsia"/>
          <w:b/>
          <w:bCs/>
          <w:lang w:val="zh-CN"/>
        </w:rPr>
        <w:t>附：2018年南雄中学领导班子成员名单</w:t>
      </w:r>
    </w:p>
    <w:p w14:paraId="39273759">
      <w:pPr>
        <w:pStyle w:val="11"/>
        <w:bidi w:val="0"/>
        <w:rPr>
          <w:rFonts w:hint="eastAsia"/>
          <w:lang w:val="zh-CN"/>
        </w:rPr>
      </w:pPr>
      <w:r>
        <w:rPr>
          <w:rFonts w:hint="eastAsia"/>
          <w:b/>
          <w:bCs/>
          <w:lang w:val="zh-CN"/>
        </w:rPr>
        <w:t>党总支书记、校长：</w:t>
      </w:r>
      <w:r>
        <w:rPr>
          <w:rFonts w:hint="eastAsia"/>
          <w:lang w:val="zh-CN"/>
        </w:rPr>
        <w:t>刘卫民</w:t>
      </w:r>
    </w:p>
    <w:p w14:paraId="1D9D0E89">
      <w:pPr>
        <w:pStyle w:val="11"/>
        <w:bidi w:val="0"/>
        <w:rPr>
          <w:rFonts w:hint="eastAsia"/>
          <w:lang w:val="zh-CN"/>
        </w:rPr>
      </w:pPr>
      <w:r>
        <w:rPr>
          <w:rFonts w:hint="eastAsia"/>
          <w:b/>
          <w:bCs/>
          <w:lang w:val="zh-CN"/>
        </w:rPr>
        <w:t>党总副支书记：</w:t>
      </w:r>
      <w:r>
        <w:rPr>
          <w:rFonts w:hint="eastAsia"/>
          <w:lang w:val="zh-CN"/>
        </w:rPr>
        <w:t>曾昭贵</w:t>
      </w:r>
    </w:p>
    <w:p w14:paraId="45FCD0A0">
      <w:pPr>
        <w:pStyle w:val="11"/>
        <w:bidi w:val="0"/>
        <w:ind w:leftChars="700"/>
        <w:rPr>
          <w:rFonts w:hint="eastAsia"/>
          <w:lang w:val="zh-CN"/>
        </w:rPr>
      </w:pPr>
      <w:r>
        <w:rPr>
          <w:rFonts w:hint="eastAsia"/>
          <w:lang w:val="zh-CN"/>
        </w:rPr>
        <w:t>李庚标</w:t>
      </w:r>
    </w:p>
    <w:p w14:paraId="7014271F">
      <w:pPr>
        <w:pStyle w:val="11"/>
        <w:bidi w:val="0"/>
        <w:rPr>
          <w:rFonts w:hint="eastAsia"/>
          <w:lang w:val="zh-CN"/>
        </w:rPr>
      </w:pPr>
      <w:r>
        <w:rPr>
          <w:rFonts w:hint="eastAsia"/>
          <w:b/>
          <w:bCs/>
          <w:lang w:val="zh-CN"/>
        </w:rPr>
        <w:t>副校长：</w:t>
      </w:r>
      <w:r>
        <w:rPr>
          <w:rFonts w:hint="eastAsia"/>
          <w:lang w:val="zh-CN"/>
        </w:rPr>
        <w:t>郑东升郭小平</w:t>
      </w:r>
    </w:p>
    <w:p w14:paraId="4EF7734D">
      <w:pPr>
        <w:pStyle w:val="11"/>
        <w:bidi w:val="0"/>
        <w:ind w:leftChars="400"/>
        <w:rPr>
          <w:rFonts w:hint="eastAsia"/>
          <w:lang w:val="zh-CN"/>
        </w:rPr>
      </w:pPr>
      <w:r>
        <w:rPr>
          <w:rFonts w:hint="eastAsia"/>
          <w:lang w:val="zh-CN"/>
        </w:rPr>
        <w:t>黄海斌</w:t>
      </w:r>
      <w:r>
        <w:rPr>
          <w:rFonts w:hint="eastAsia"/>
          <w:lang w:val="en-US" w:eastAsia="zh-CN"/>
        </w:rPr>
        <w:t xml:space="preserve">   </w:t>
      </w:r>
      <w:r>
        <w:rPr>
          <w:rFonts w:hint="eastAsia"/>
          <w:lang w:val="zh-CN"/>
        </w:rPr>
        <w:t>黄云莲</w:t>
      </w:r>
    </w:p>
    <w:p w14:paraId="36ABD8DA">
      <w:pPr>
        <w:pStyle w:val="11"/>
        <w:bidi w:val="0"/>
        <w:rPr>
          <w:rFonts w:hint="eastAsia"/>
          <w:lang w:val="zh-CN"/>
        </w:rPr>
      </w:pPr>
      <w:r>
        <w:rPr>
          <w:rFonts w:hint="eastAsia"/>
          <w:b/>
          <w:bCs/>
          <w:lang w:val="zh-CN"/>
        </w:rPr>
        <w:t>工会主席：</w:t>
      </w:r>
      <w:r>
        <w:rPr>
          <w:rFonts w:hint="eastAsia"/>
          <w:lang w:val="zh-CN"/>
        </w:rPr>
        <w:t>黄云莲（兼）</w:t>
      </w:r>
    </w:p>
    <w:p w14:paraId="4E881D24">
      <w:pPr>
        <w:pStyle w:val="4"/>
        <w:bidi w:val="0"/>
        <w:rPr>
          <w:rFonts w:hint="eastAsia"/>
          <w:lang w:val="zh-CN"/>
        </w:rPr>
      </w:pPr>
      <w:r>
        <w:rPr>
          <w:rFonts w:hint="eastAsia"/>
          <w:lang w:val="zh-CN"/>
        </w:rPr>
        <w:t>【南雄市第一中学】</w:t>
      </w:r>
    </w:p>
    <w:p w14:paraId="1251CAD1">
      <w:pPr>
        <w:bidi w:val="0"/>
        <w:rPr>
          <w:rFonts w:hint="eastAsia"/>
          <w:lang w:val="zh-CN"/>
        </w:rPr>
      </w:pPr>
      <w:r>
        <w:rPr>
          <w:rFonts w:hint="eastAsia"/>
          <w:lang w:val="zh-CN"/>
        </w:rPr>
        <w:t>南雄市第一中学创建于1982年。学校自创办以来便被确立为南雄重点中学。1986年被命名为广东省传统项目学校，1998年11月被评为韶关市一级学校，2003年被评为广东省一级学校，2006年10月被北京奥组委、教育部命名为“北京2008奥林匹克教育示范学校”，2008年3月被评为广东省普通高中教学水平优秀学校。同年12月，晋升为广东省国家级示范性普通高中。学校总占地面积13.33公顷，建筑面积达13.19万平方米。有400米塑胶运动场和配套塑胶篮球场、绿茵足球场、乒乓球场等运动场地；学校藏书达9万多册；全面实现多媒体教学，每间教室配备有空调，具备现代化办学条件。</w:t>
      </w:r>
    </w:p>
    <w:p w14:paraId="1BDF839D">
      <w:pPr>
        <w:bidi w:val="0"/>
        <w:rPr>
          <w:rFonts w:hint="eastAsia"/>
          <w:lang w:val="zh-CN"/>
        </w:rPr>
      </w:pPr>
      <w:r>
        <w:rPr>
          <w:rFonts w:hint="eastAsia"/>
          <w:lang w:val="zh-CN"/>
        </w:rPr>
        <w:t>2018年（2017—2018学年第二学期）学校有76个教学班，其中高中58个班，初中18个班，在校学生3664人。在职教职工288人，其中特级教师2人，高级教师69人。</w:t>
      </w:r>
    </w:p>
    <w:p w14:paraId="2E4A9A61">
      <w:pPr>
        <w:bidi w:val="0"/>
        <w:rPr>
          <w:rFonts w:hint="eastAsia"/>
          <w:lang w:val="zh-CN"/>
        </w:rPr>
      </w:pPr>
      <w:r>
        <w:rPr>
          <w:rFonts w:hint="eastAsia"/>
          <w:b/>
          <w:bCs/>
          <w:lang w:val="zh-CN"/>
        </w:rPr>
        <w:t>获得荣誉</w:t>
      </w:r>
      <w:r>
        <w:rPr>
          <w:rFonts w:hint="eastAsia"/>
          <w:b/>
          <w:bCs/>
          <w:lang w:val="en-US" w:eastAsia="zh-CN"/>
        </w:rPr>
        <w:t xml:space="preserve">   </w:t>
      </w:r>
      <w:r>
        <w:rPr>
          <w:rFonts w:hint="eastAsia"/>
          <w:lang w:val="zh-CN"/>
        </w:rPr>
        <w:t>2018年学校获得荣誉有：南雄市2018年高考工作突出贡献奖、先进基层团委、2017—2018年度文明单位、2018年韶关市普通高中教学质量优秀学校等。</w:t>
      </w:r>
    </w:p>
    <w:p w14:paraId="4B7967C8">
      <w:pPr>
        <w:bidi w:val="0"/>
        <w:rPr>
          <w:rFonts w:hint="eastAsia"/>
          <w:lang w:val="zh-CN"/>
        </w:rPr>
      </w:pPr>
      <w:r>
        <w:rPr>
          <w:rFonts w:hint="eastAsia"/>
          <w:b/>
          <w:bCs/>
          <w:lang w:val="zh-CN"/>
        </w:rPr>
        <w:t>高考</w:t>
      </w:r>
      <w:r>
        <w:rPr>
          <w:rFonts w:hint="eastAsia"/>
          <w:b/>
          <w:bCs/>
          <w:lang w:val="en-US" w:eastAsia="zh-CN"/>
        </w:rPr>
        <w:t xml:space="preserve">   </w:t>
      </w:r>
      <w:r>
        <w:rPr>
          <w:rFonts w:hint="eastAsia"/>
          <w:lang w:val="zh-CN"/>
        </w:rPr>
        <w:t>应届生姚雪梅同学理科成绩644分（南雄第二，进入韶关高分层），文科林美杰同学610分，进入韶关高分层；重点本科上线140人，本科上线410人，名列韶关各县（区）同类学校第一，高考提升力名列粤北地区普通高中第一。</w:t>
      </w:r>
    </w:p>
    <w:p w14:paraId="7F9F1D4F">
      <w:pPr>
        <w:bidi w:val="0"/>
        <w:rPr>
          <w:rFonts w:hint="eastAsia"/>
          <w:lang w:val="zh-CN"/>
        </w:rPr>
      </w:pPr>
      <w:r>
        <w:rPr>
          <w:rFonts w:hint="eastAsia"/>
          <w:b/>
          <w:bCs/>
          <w:lang w:val="zh-CN"/>
        </w:rPr>
        <w:t>师资建设</w:t>
      </w:r>
      <w:r>
        <w:rPr>
          <w:rFonts w:hint="eastAsia"/>
          <w:b/>
          <w:bCs/>
          <w:lang w:val="en-US" w:eastAsia="zh-CN"/>
        </w:rPr>
        <w:t xml:space="preserve">   </w:t>
      </w:r>
      <w:r>
        <w:rPr>
          <w:rFonts w:hint="eastAsia"/>
          <w:lang w:val="zh-CN"/>
        </w:rPr>
        <w:t>以师德建设为重点，着力提高教师队伍整体素质。学校建有专门师德建设档案，在教代会上通过《南雄市第一中学师德建设条例》，建立师德建设领导小组、工作小组和师德考核体系，每学年即将结束时对教师的师德行为规范进行一次考核，形成“教书育人，为人师表”的良好风气。以抓科组建设、备课组建设为教学教研工作重心，以新课标为核心内容，全面提升学校教育教学水平和教学研究水平。要求各备课组必须依据学科教学要求和学校教学要求，以课堂教学作为主要研究对象，积极开展教学研究活动，每个备课组至少确定一个研究专题，并进行深入研究。举办2018年中青年教师技能大赛。广大教师踊跃参赛，展现“追求卓越”精神风貌，显示出高水平教学技能。根据评委会认真评审结果，学校研究决定，对获奖教师予以表彰奖励，以此鼓励全体教师更加刻苦钻研业务，不断提高教书育人水平，为学校教育事业做出新的、更大的贡献。</w:t>
      </w:r>
    </w:p>
    <w:p w14:paraId="4C1D6CCB">
      <w:pPr>
        <w:bidi w:val="0"/>
        <w:rPr>
          <w:rFonts w:hint="eastAsia"/>
          <w:lang w:val="zh-CN"/>
        </w:rPr>
      </w:pPr>
      <w:r>
        <w:rPr>
          <w:rFonts w:hint="eastAsia"/>
          <w:b/>
          <w:bCs/>
          <w:lang w:val="zh-CN"/>
        </w:rPr>
        <w:t>教研工作</w:t>
      </w:r>
      <w:r>
        <w:rPr>
          <w:rFonts w:hint="eastAsia"/>
          <w:b/>
          <w:bCs/>
          <w:lang w:val="en-US" w:eastAsia="zh-CN"/>
        </w:rPr>
        <w:t xml:space="preserve">   </w:t>
      </w:r>
      <w:r>
        <w:rPr>
          <w:rFonts w:hint="eastAsia"/>
          <w:lang w:val="zh-CN"/>
        </w:rPr>
        <w:t>学校积极推进相关课题的研究工作。落实十三五科研课题的选题，关注科研服务教研的实效，动员教师积极申报各级教研行政部门的课题并协助教师完成课题结题工作，做好课题研究的相关实验报告、论文、学习材料和公开课过程记录材料等的收集工作，同时做好课题网络化管理工作，把收集材料上传课题网站。</w:t>
      </w:r>
    </w:p>
    <w:p w14:paraId="1ED338DF">
      <w:pPr>
        <w:bidi w:val="0"/>
        <w:rPr>
          <w:rFonts w:hint="eastAsia"/>
          <w:lang w:val="zh-CN"/>
        </w:rPr>
      </w:pPr>
      <w:r>
        <w:rPr>
          <w:rFonts w:hint="eastAsia"/>
          <w:b/>
          <w:bCs/>
          <w:lang w:val="zh-CN"/>
        </w:rPr>
        <w:t>安全工作</w:t>
      </w:r>
      <w:r>
        <w:rPr>
          <w:rFonts w:hint="eastAsia"/>
          <w:b/>
          <w:bCs/>
          <w:lang w:val="en-US" w:eastAsia="zh-CN"/>
        </w:rPr>
        <w:t xml:space="preserve">   </w:t>
      </w:r>
      <w:r>
        <w:rPr>
          <w:rFonts w:hint="eastAsia"/>
          <w:lang w:val="zh-CN"/>
        </w:rPr>
        <w:t>成立以校长为组长，综治副校长为副组长，各处室主任、年级组长、班主任为成员的学校综治安全工作领导小组，做到主要领导亲自抓，分管领导具体抓，各成员分班抓。学校制定《南雄市一中安全工作实施方案》《南雄市一中创建“平安校园”实施方案》，把综治安全工作责任分解到人、到岗、到位，并将综治安全工作成效列入教师年度考评，实行安全工作“一票否决制”，确实做到安全工作人人有责。建立健全综治创安制度，包括学校安全管理制度和值班制度，进一步明确财务室、图书室、油印室、教室、计算机房、实验室、公共场所、户外活动等的安全规范，要求相关部门严格遵守，确保校园稳定有序。同时，进一步完善各种值班制度，包括保卫干部日常值班、中午傍晚值班等。不断加强日常值班，设置“创建平安校园”办公室，分管副校长亲自挂帅，选派教师进行全天候值班，并将值班室前移。从早上起床起，每天分成五个时段，每个时段均有教师认真值班，随时监控校园动态，处理突发事件。建立健全食堂监督管理制度，成立膳食领导小组，以加强对食堂环境卫生、饮食卫生的监督管理，确保师生饮食安全；不断加强内宿生管理，完善“文明宿舍”评比制度，通过加强教育、措施到位，确保做好女生保护工作。利用课堂主渠道作用，发挥师生大会、年级师生会、班会、黑板报、校园广播等德育主阵地作用，加强对师生进行法制教育和自我防护、互救知识教育，牢固树立安全第一思想。</w:t>
      </w:r>
    </w:p>
    <w:p w14:paraId="0212308A">
      <w:pPr>
        <w:bidi w:val="0"/>
        <w:rPr>
          <w:rFonts w:hint="eastAsia"/>
          <w:lang w:val="zh-CN"/>
        </w:rPr>
      </w:pPr>
      <w:r>
        <w:rPr>
          <w:rFonts w:hint="eastAsia"/>
          <w:b/>
          <w:bCs/>
          <w:lang w:val="zh-CN"/>
        </w:rPr>
        <w:t>德育工作</w:t>
      </w:r>
      <w:r>
        <w:rPr>
          <w:rFonts w:hint="eastAsia"/>
          <w:b/>
          <w:bCs/>
          <w:lang w:val="en-US" w:eastAsia="zh-CN"/>
        </w:rPr>
        <w:t xml:space="preserve">   </w:t>
      </w:r>
      <w:r>
        <w:rPr>
          <w:rFonts w:hint="eastAsia"/>
          <w:lang w:val="zh-CN"/>
        </w:rPr>
        <w:t>学校为进一步加强学生德育工作，选拔一大批师德好、责任心强、热爱教育事业、热爱学生、教育教学能力强的优秀中青年教师担任年级组长、班主任，建立一支优秀的年级组长、班主任队伍。培养学生自我管理能力。成立学生自律委员会，学生参与学校的全部常规检查工作，充分调动学生参与德育管理积极作用，增强学生自我教育主动性和创造性。重视年级组长、班主任队伍建设。年级组长、班主任是学校教育管理的中坚力量，学校每学年在年级组长和班主任配备上，都慎重考虑，精心组织搭配。学校还把年级组长、班主任作为考察、提拔干部的主要对象，在班主任中锻炼和培养年级组长；在年级组长中锻炼和培养中层干部。坚持德育工作全程管理。学校具有德育工作的全程管理意识，坚持一个主导：主体、发展、研究；两个点：教师以自己人格影响学生，学生建立起参与、研究、发展、合作的意识；三个块面：年级组工作、班主任的班集体建设工作、学校的家长学校工作。每个年级都建立自己的德育目标，确定实现自己目标的工作侧重点。加强德育工作研究。学校不仅通过行之有效的德育工作保证正常教育教学秩序，提高教学质量，而且注重加强对德育工作的研究，不断提升学校德育工作水平和层次。</w:t>
      </w:r>
    </w:p>
    <w:p w14:paraId="064FEE44">
      <w:pPr>
        <w:bidi w:val="0"/>
        <w:rPr>
          <w:rFonts w:hint="eastAsia"/>
          <w:lang w:val="zh-CN"/>
        </w:rPr>
      </w:pPr>
      <w:r>
        <w:rPr>
          <w:rFonts w:hint="eastAsia"/>
          <w:b/>
          <w:bCs/>
          <w:lang w:val="zh-CN"/>
        </w:rPr>
        <w:t>后勤保障工作</w:t>
      </w:r>
      <w:r>
        <w:rPr>
          <w:rFonts w:hint="eastAsia"/>
          <w:b/>
          <w:bCs/>
          <w:lang w:val="en-US" w:eastAsia="zh-CN"/>
        </w:rPr>
        <w:t xml:space="preserve">   </w:t>
      </w:r>
      <w:r>
        <w:rPr>
          <w:rFonts w:hint="eastAsia"/>
          <w:lang w:val="zh-CN"/>
        </w:rPr>
        <w:t>做好校园绿化工作，加强对食堂饮食卫生监督检查的管理，经常深入食堂检查食品卫生与安全，组织食堂从业人员学习食品卫生等相关法律法规，不断提高食堂从业人员素质，食堂工作更加规范化。每天有针对性地对食品质量、食堂、餐厅卫生状况、从业人员身体健康等情况进行检查，发现问题及时解决，并将检查情况作好记录。</w:t>
      </w:r>
    </w:p>
    <w:p w14:paraId="436B51EB">
      <w:pPr>
        <w:bidi w:val="0"/>
        <w:jc w:val="right"/>
        <w:rPr>
          <w:rFonts w:hint="eastAsia"/>
          <w:b/>
          <w:bCs/>
          <w:lang w:val="zh-CN"/>
        </w:rPr>
      </w:pPr>
      <w:r>
        <w:rPr>
          <w:rFonts w:hint="eastAsia"/>
          <w:b/>
          <w:bCs/>
          <w:lang w:val="zh-CN"/>
        </w:rPr>
        <w:t>（邓</w:t>
      </w:r>
      <w:r>
        <w:rPr>
          <w:rFonts w:hint="eastAsia"/>
          <w:b/>
          <w:bCs/>
          <w:lang w:val="en-US" w:eastAsia="zh-CN"/>
        </w:rPr>
        <w:t xml:space="preserve">  </w:t>
      </w:r>
      <w:r>
        <w:rPr>
          <w:rFonts w:hint="eastAsia"/>
          <w:b/>
          <w:bCs/>
          <w:lang w:val="zh-CN"/>
        </w:rPr>
        <w:t>明）</w:t>
      </w:r>
    </w:p>
    <w:p w14:paraId="1C0A6E20">
      <w:pPr>
        <w:pStyle w:val="11"/>
        <w:bidi w:val="0"/>
        <w:rPr>
          <w:rFonts w:hint="eastAsia"/>
          <w:b/>
          <w:bCs/>
          <w:lang w:val="zh-CN"/>
        </w:rPr>
      </w:pPr>
      <w:r>
        <w:rPr>
          <w:rFonts w:hint="eastAsia"/>
          <w:b/>
          <w:bCs/>
          <w:lang w:val="zh-CN"/>
        </w:rPr>
        <w:t>附：2018年市一中领导班子成员名单</w:t>
      </w:r>
    </w:p>
    <w:p w14:paraId="1DCF7E5A">
      <w:pPr>
        <w:pStyle w:val="11"/>
        <w:bidi w:val="0"/>
        <w:rPr>
          <w:rFonts w:hint="eastAsia"/>
          <w:lang w:val="zh-CN"/>
        </w:rPr>
      </w:pPr>
      <w:r>
        <w:rPr>
          <w:rFonts w:hint="eastAsia"/>
          <w:b/>
          <w:bCs/>
          <w:lang w:val="zh-CN"/>
        </w:rPr>
        <w:t>校</w:t>
      </w:r>
      <w:r>
        <w:rPr>
          <w:rFonts w:hint="eastAsia"/>
          <w:b/>
          <w:bCs/>
          <w:lang w:val="en-US" w:eastAsia="zh-CN"/>
        </w:rPr>
        <w:t xml:space="preserve">  </w:t>
      </w:r>
      <w:r>
        <w:rPr>
          <w:rFonts w:hint="eastAsia"/>
          <w:b/>
          <w:bCs/>
          <w:lang w:val="zh-CN"/>
        </w:rPr>
        <w:t>长：</w:t>
      </w:r>
      <w:r>
        <w:rPr>
          <w:rFonts w:hint="eastAsia"/>
          <w:lang w:val="zh-CN"/>
        </w:rPr>
        <w:t>饶盛祥</w:t>
      </w:r>
    </w:p>
    <w:p w14:paraId="5812675B">
      <w:pPr>
        <w:pStyle w:val="11"/>
        <w:bidi w:val="0"/>
        <w:rPr>
          <w:rFonts w:hint="eastAsia"/>
          <w:lang w:val="zh-CN"/>
        </w:rPr>
      </w:pPr>
      <w:r>
        <w:rPr>
          <w:rFonts w:hint="eastAsia"/>
          <w:b/>
          <w:bCs/>
          <w:lang w:val="zh-CN"/>
        </w:rPr>
        <w:t>副校长：</w:t>
      </w:r>
      <w:r>
        <w:rPr>
          <w:rFonts w:hint="eastAsia"/>
          <w:lang w:val="zh-CN"/>
        </w:rPr>
        <w:t>何社生</w:t>
      </w:r>
      <w:r>
        <w:rPr>
          <w:rFonts w:hint="eastAsia"/>
          <w:lang w:val="en-US" w:eastAsia="zh-CN"/>
        </w:rPr>
        <w:t xml:space="preserve">  </w:t>
      </w:r>
      <w:r>
        <w:rPr>
          <w:rFonts w:hint="eastAsia"/>
          <w:lang w:val="zh-CN"/>
        </w:rPr>
        <w:t>何海荣</w:t>
      </w:r>
    </w:p>
    <w:p w14:paraId="510102CD">
      <w:pPr>
        <w:pStyle w:val="11"/>
        <w:bidi w:val="0"/>
        <w:ind w:leftChars="400"/>
        <w:rPr>
          <w:rFonts w:hint="eastAsia"/>
          <w:lang w:val="zh-CN"/>
        </w:rPr>
      </w:pPr>
      <w:r>
        <w:rPr>
          <w:rFonts w:hint="eastAsia"/>
          <w:lang w:val="zh-CN"/>
        </w:rPr>
        <w:t>黄柳青</w:t>
      </w:r>
    </w:p>
    <w:p w14:paraId="000CE6A2">
      <w:pPr>
        <w:pStyle w:val="4"/>
        <w:bidi w:val="0"/>
        <w:rPr>
          <w:rFonts w:hint="eastAsia"/>
          <w:lang w:val="zh-CN"/>
        </w:rPr>
      </w:pPr>
      <w:r>
        <w:rPr>
          <w:rFonts w:hint="eastAsia"/>
          <w:lang w:val="zh-CN"/>
        </w:rPr>
        <w:t>【黄坑中学】</w:t>
      </w:r>
    </w:p>
    <w:p w14:paraId="29E5E1AF">
      <w:pPr>
        <w:bidi w:val="0"/>
        <w:rPr>
          <w:rFonts w:hint="eastAsia"/>
          <w:lang w:val="zh-CN"/>
        </w:rPr>
      </w:pPr>
      <w:r>
        <w:rPr>
          <w:rFonts w:hint="eastAsia"/>
          <w:lang w:val="zh-CN"/>
        </w:rPr>
        <w:t>黄坑中学创办于1956年，1973年定为韶关地区重点完全中学；1999年被评为韶关市一级学校；2004年晋升为广东省一级学校；2017年入选为广东省青少年校园足球推广学校。</w:t>
      </w:r>
    </w:p>
    <w:p w14:paraId="08C2911A">
      <w:pPr>
        <w:bidi w:val="0"/>
        <w:rPr>
          <w:rFonts w:hint="eastAsia"/>
          <w:lang w:val="zh-CN"/>
        </w:rPr>
      </w:pPr>
      <w:r>
        <w:rPr>
          <w:rFonts w:hint="eastAsia"/>
          <w:lang w:val="zh-CN"/>
        </w:rPr>
        <w:t>学校占地面积9万余平方米，建筑面积6万多平方米，拥有2栋教学楼，2栋实验楼，1栋信息中心楼（有2间先进的云课堂教室），1栋艺术楼，1座现代化饭堂，3栋学生公寓式宿舍，1座有13万多册藏书的图书馆，1个标准400米塑胶田径运动场，11个标准篮球场，1座建筑面积1125平方米的室内体育馆。</w:t>
      </w:r>
    </w:p>
    <w:p w14:paraId="24A36181">
      <w:pPr>
        <w:bidi w:val="0"/>
        <w:rPr>
          <w:rFonts w:hint="eastAsia"/>
          <w:lang w:val="zh-CN"/>
        </w:rPr>
      </w:pPr>
      <w:r>
        <w:rPr>
          <w:rFonts w:hint="eastAsia"/>
          <w:lang w:val="zh-CN"/>
        </w:rPr>
        <w:t>学校现有43个教学班，其中初中部19班，高中部24班，在校学生2000多人。有教职工180人，专任教师176人，高级教师33人，一级教师118人。</w:t>
      </w:r>
    </w:p>
    <w:p w14:paraId="1AF1BB93">
      <w:pPr>
        <w:bidi w:val="0"/>
        <w:rPr>
          <w:rFonts w:hint="eastAsia"/>
          <w:lang w:val="zh-CN"/>
        </w:rPr>
      </w:pPr>
      <w:r>
        <w:rPr>
          <w:rFonts w:hint="eastAsia"/>
          <w:b/>
          <w:bCs/>
          <w:lang w:val="zh-CN"/>
        </w:rPr>
        <w:t>中高考</w:t>
      </w:r>
      <w:r>
        <w:rPr>
          <w:rFonts w:hint="eastAsia"/>
          <w:b/>
          <w:bCs/>
          <w:lang w:val="en-US" w:eastAsia="zh-CN"/>
        </w:rPr>
        <w:t xml:space="preserve">   </w:t>
      </w:r>
      <w:r>
        <w:rPr>
          <w:rFonts w:hint="eastAsia"/>
          <w:lang w:val="zh-CN"/>
        </w:rPr>
        <w:t>2018年，高考成绩超额完成市教育局高考指标，实现学生“低进高出，低进优出”工作目标；中考成绩稳中有升，教学质量逐步提升。</w:t>
      </w:r>
    </w:p>
    <w:p w14:paraId="33868DD4">
      <w:pPr>
        <w:bidi w:val="0"/>
        <w:rPr>
          <w:rFonts w:hint="eastAsia"/>
          <w:lang w:val="zh-CN"/>
        </w:rPr>
      </w:pPr>
      <w:r>
        <w:rPr>
          <w:rFonts w:hint="eastAsia"/>
          <w:b/>
          <w:bCs/>
          <w:lang w:val="zh-CN"/>
        </w:rPr>
        <w:t>德育工作</w:t>
      </w:r>
      <w:r>
        <w:rPr>
          <w:rFonts w:hint="eastAsia"/>
          <w:b/>
          <w:bCs/>
          <w:lang w:val="en-US" w:eastAsia="zh-CN"/>
        </w:rPr>
        <w:t xml:space="preserve">   </w:t>
      </w:r>
      <w:r>
        <w:rPr>
          <w:rFonts w:hint="eastAsia"/>
          <w:lang w:val="zh-CN"/>
        </w:rPr>
        <w:t>2018年，学校坚持德育优先，五育并举，全面落实立德树人根本任务。将每周日晚上定为班主任培训会议，紧抓“三个结合”（理论学习与专题研讨相结合；技能培养和与自主体验相结合；常规工作与特色工作相结合），树立“三个意识”（目标化意识、自主化意识、特色化意识），落实“三个环节”（计划管理抓常抓新、形成特色；过程管理抓活抓细、注重养成；效果管理抓点抓面、发展个性），建立班主任队伍建设的长效机制。学校一直以“关爱工程”为主渠道，以“学会关心”为切入口，推行全员全程育人的辅导员制度，让每位老师都是双岗双责。制定科学的学生思想道德行为的评价标准：细化“中学生成长记录手册”操作规程，强调“多元关注”和“发展性评价”；制定并实施以“鼓励进步、鼓励创优”为宗旨的“每周之星、每月之星”评选方案；逐步完善《黄坑中学综合素质评价实施方案》，对学生整体素质的提高和个性的健康和谐发展进行较为科学的量化。学校校园文化根基于社会大德育整体要求，为学生努力营造良好显性教育与隐性教育相结合的育人氛围。组建“礼仪社团”“网络社团”“广播社团”“合唱社团”“舞蹈社团”“文学社团”和“足球俱乐部”等，延伸社团文化；制定《黄坑中学学生文明公约》，加强行为规范教育和行为规范建设，强化行为文化。学校在全面推进素质教育的过程中，以“引导参与”为抓手，促进家庭教育的适应性发展；以“辅导活动”为抓手，促进家庭教育巩固性发展；以“学习型家庭创建”为抓手，促进家庭教育可持续发展。坚持家、校、社区互动和三位一体，合力育人。</w:t>
      </w:r>
    </w:p>
    <w:p w14:paraId="59E3DBC8">
      <w:pPr>
        <w:bidi w:val="0"/>
        <w:rPr>
          <w:rFonts w:hint="eastAsia"/>
          <w:lang w:val="zh-CN"/>
        </w:rPr>
      </w:pPr>
      <w:r>
        <w:rPr>
          <w:rFonts w:hint="eastAsia"/>
          <w:b/>
          <w:bCs/>
          <w:lang w:val="zh-CN"/>
        </w:rPr>
        <w:t>教研工作</w:t>
      </w:r>
      <w:r>
        <w:rPr>
          <w:rFonts w:hint="eastAsia"/>
          <w:b/>
          <w:bCs/>
          <w:lang w:val="en-US" w:eastAsia="zh-CN"/>
        </w:rPr>
        <w:t xml:space="preserve">   </w:t>
      </w:r>
      <w:r>
        <w:rPr>
          <w:rFonts w:hint="eastAsia"/>
          <w:lang w:val="zh-CN"/>
        </w:rPr>
        <w:t>坚持开展教育教学常规检查、监督、指导与常规制度落实工作。组织骨干教师，凝聚集体力量，开展课堂研究，盘活课堂教学活力。2018年，派出一百多人次到北京、珠海、中山、惠州、义乌、韶关等教育先进的地方学习交流，参加各类各级研讨会。2018年，学校有1项市级课题、4项县级课题立项；学校教师有30多篇论文、课例、教学设计在国家级、省、市、县级刊物发表或获奖；9人承担县级以上公开课；1人被评为韶关市优秀乡村教师，1人被评为韶关市优秀教育工作者。学生男、女足球队分别荣获2018年南雄市第二届中小学生冬季足球联赛中学组第二名、第三名；学生女子篮球队荣获南雄市2018年中小学生篮球赛初中组第四名。</w:t>
      </w:r>
    </w:p>
    <w:p w14:paraId="0A3C2A98">
      <w:pPr>
        <w:bidi w:val="0"/>
        <w:rPr>
          <w:rFonts w:hint="eastAsia"/>
          <w:lang w:val="zh-CN"/>
        </w:rPr>
      </w:pPr>
      <w:r>
        <w:rPr>
          <w:rFonts w:hint="eastAsia"/>
          <w:b/>
          <w:bCs/>
          <w:lang w:val="zh-CN"/>
        </w:rPr>
        <w:t>环境优化</w:t>
      </w:r>
      <w:r>
        <w:rPr>
          <w:rFonts w:hint="eastAsia"/>
          <w:b/>
          <w:bCs/>
          <w:lang w:val="en-US" w:eastAsia="zh-CN"/>
        </w:rPr>
        <w:t xml:space="preserve">   </w:t>
      </w:r>
      <w:r>
        <w:rPr>
          <w:rFonts w:hint="eastAsia"/>
          <w:lang w:val="zh-CN"/>
        </w:rPr>
        <w:t>大力改善办学条件，加强学校整体规划和基础建设。2018年8月份新教学楼和综合楼开工在建，预计2019年7月份竣工投入使用；升级改造学生服务中心办公室和教师餐厅；对学校部分损毁地面进行柏油路面铺设；改造地理园，种上一大批紫薇等名贵花木，布好喷淋系统；重修存在严重安全隐患的围墙；消防通道建成使用；新增4个五人制足球场；做好足球推广校足球文化标志，对学校脏乱差烂进行整治，校园环境进一步优化。</w:t>
      </w:r>
      <w:r>
        <w:rPr>
          <w:rFonts w:hint="eastAsia"/>
          <w:b/>
          <w:bCs/>
          <w:lang w:val="zh-CN"/>
        </w:rPr>
        <w:t>（罗石桥）</w:t>
      </w:r>
    </w:p>
    <w:p w14:paraId="7E46824B">
      <w:pPr>
        <w:pStyle w:val="11"/>
        <w:bidi w:val="0"/>
        <w:rPr>
          <w:rFonts w:hint="eastAsia"/>
          <w:b/>
          <w:bCs/>
          <w:lang w:val="zh-CN"/>
        </w:rPr>
      </w:pPr>
      <w:r>
        <w:rPr>
          <w:rFonts w:hint="eastAsia"/>
          <w:b/>
          <w:bCs/>
          <w:lang w:val="zh-CN"/>
        </w:rPr>
        <w:t>附：2018年黄坑中学领导班子成员名单</w:t>
      </w:r>
    </w:p>
    <w:p w14:paraId="7299B972">
      <w:pPr>
        <w:pStyle w:val="11"/>
        <w:bidi w:val="0"/>
        <w:rPr>
          <w:rFonts w:hint="eastAsia"/>
          <w:lang w:val="zh-CN"/>
        </w:rPr>
      </w:pPr>
      <w:r>
        <w:rPr>
          <w:rFonts w:hint="eastAsia"/>
          <w:b/>
          <w:bCs/>
          <w:lang w:val="zh-CN"/>
        </w:rPr>
        <w:t>校</w:t>
      </w:r>
      <w:r>
        <w:rPr>
          <w:rFonts w:hint="eastAsia"/>
          <w:b/>
          <w:bCs/>
          <w:lang w:val="en-US" w:eastAsia="zh-CN"/>
        </w:rPr>
        <w:t xml:space="preserve">    </w:t>
      </w:r>
      <w:r>
        <w:rPr>
          <w:rFonts w:hint="eastAsia"/>
          <w:b/>
          <w:bCs/>
          <w:lang w:val="zh-CN"/>
        </w:rPr>
        <w:t>长：</w:t>
      </w:r>
      <w:r>
        <w:rPr>
          <w:rFonts w:hint="eastAsia"/>
          <w:lang w:val="zh-CN"/>
        </w:rPr>
        <w:t>陈盛荣</w:t>
      </w:r>
    </w:p>
    <w:p w14:paraId="38BA4643">
      <w:pPr>
        <w:pStyle w:val="11"/>
        <w:bidi w:val="0"/>
        <w:rPr>
          <w:rFonts w:hint="eastAsia"/>
          <w:lang w:val="zh-CN"/>
        </w:rPr>
      </w:pPr>
      <w:r>
        <w:rPr>
          <w:rFonts w:hint="eastAsia"/>
          <w:b/>
          <w:bCs/>
          <w:lang w:val="zh-CN"/>
        </w:rPr>
        <w:t>副校长、党总支书记：</w:t>
      </w:r>
      <w:r>
        <w:rPr>
          <w:rFonts w:hint="eastAsia"/>
          <w:lang w:val="zh-CN"/>
        </w:rPr>
        <w:t>黄璐</w:t>
      </w:r>
    </w:p>
    <w:p w14:paraId="615EFF3C">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校</w:t>
      </w:r>
      <w:r>
        <w:rPr>
          <w:rFonts w:hint="eastAsia"/>
          <w:b/>
          <w:bCs/>
          <w:lang w:val="en-US" w:eastAsia="zh-CN"/>
        </w:rPr>
        <w:t xml:space="preserve"> </w:t>
      </w:r>
      <w:r>
        <w:rPr>
          <w:rFonts w:hint="eastAsia"/>
          <w:b/>
          <w:bCs/>
          <w:lang w:val="zh-CN"/>
        </w:rPr>
        <w:t>长：</w:t>
      </w:r>
      <w:r>
        <w:rPr>
          <w:rFonts w:hint="eastAsia"/>
          <w:lang w:val="zh-CN"/>
        </w:rPr>
        <w:t>黄海兵</w:t>
      </w:r>
      <w:r>
        <w:rPr>
          <w:rFonts w:hint="eastAsia"/>
          <w:lang w:val="en-US" w:eastAsia="zh-CN"/>
        </w:rPr>
        <w:t xml:space="preserve">   </w:t>
      </w:r>
      <w:r>
        <w:rPr>
          <w:rFonts w:hint="eastAsia"/>
          <w:lang w:val="zh-CN"/>
        </w:rPr>
        <w:t>叶新哲</w:t>
      </w:r>
    </w:p>
    <w:p w14:paraId="43213ABD">
      <w:pPr>
        <w:pStyle w:val="11"/>
        <w:bidi w:val="0"/>
        <w:rPr>
          <w:rFonts w:hint="eastAsia"/>
          <w:lang w:val="zh-CN"/>
        </w:rPr>
      </w:pPr>
      <w:r>
        <w:rPr>
          <w:rFonts w:hint="eastAsia"/>
          <w:b/>
          <w:bCs/>
          <w:lang w:val="zh-CN"/>
        </w:rPr>
        <w:t>工会主席：</w:t>
      </w:r>
      <w:r>
        <w:rPr>
          <w:rFonts w:hint="eastAsia"/>
          <w:lang w:val="zh-CN"/>
        </w:rPr>
        <w:t>沈吉安</w:t>
      </w:r>
    </w:p>
    <w:p w14:paraId="4FA4CA9D">
      <w:pPr>
        <w:pStyle w:val="4"/>
        <w:bidi w:val="0"/>
        <w:rPr>
          <w:rFonts w:hint="eastAsia"/>
          <w:lang w:val="zh-CN"/>
        </w:rPr>
      </w:pPr>
      <w:r>
        <w:rPr>
          <w:rFonts w:hint="eastAsia"/>
          <w:lang w:val="zh-CN"/>
        </w:rPr>
        <w:t>【南雄市中等职业学校】</w:t>
      </w:r>
    </w:p>
    <w:p w14:paraId="59D21380">
      <w:pPr>
        <w:bidi w:val="0"/>
        <w:rPr>
          <w:rFonts w:hint="eastAsia"/>
          <w:lang w:val="zh-CN"/>
        </w:rPr>
      </w:pPr>
      <w:r>
        <w:rPr>
          <w:rFonts w:hint="eastAsia"/>
          <w:lang w:val="zh-CN"/>
        </w:rPr>
        <w:t>南雄市中等职业学校创办于1956年10月，原名为雄州镇第二中学，1990年2月更名为南雄县职业高级中学，1992年3月经广东省教育厅评估，被广东省人民政府批准为省重点职业高中，2009年更名为南雄市中等职业学校。2008年南雄市委、市政府将原古市中学区划归学校改造为南校区。学校有南、北两个校区，形成以专业班为主的北校区和以高考班为主的南校区学校格局。</w:t>
      </w:r>
    </w:p>
    <w:p w14:paraId="2DEF3309">
      <w:pPr>
        <w:bidi w:val="0"/>
        <w:rPr>
          <w:rFonts w:hint="eastAsia"/>
          <w:lang w:val="zh-CN"/>
        </w:rPr>
      </w:pPr>
      <w:r>
        <w:rPr>
          <w:rFonts w:hint="eastAsia"/>
          <w:lang w:val="zh-CN"/>
        </w:rPr>
        <w:t>学校校园面积81.05亩（5.4公顷），建筑面积2.6万平方米。教学楼5幢，学生宿舍4幢，实训中心2幢（46间功能室），实训设备总值2616万元。教职工118人，专任教师111人，本科以上108人，高级教师34人，双师型教师41人。在校学生1724人。</w:t>
      </w:r>
    </w:p>
    <w:p w14:paraId="623D2CD9">
      <w:pPr>
        <w:bidi w:val="0"/>
        <w:rPr>
          <w:rFonts w:hint="eastAsia"/>
          <w:lang w:val="zh-CN"/>
        </w:rPr>
      </w:pPr>
      <w:r>
        <w:rPr>
          <w:rFonts w:hint="eastAsia"/>
          <w:lang w:val="zh-CN"/>
        </w:rPr>
        <w:t>学校开设适应市场需求的9个专业和“3+证书”高考班，是全国计算机信息高新技术考试考场和韶关市特种作业培训考核单位。同时，学校利用现有条件与人社局、统计局、农业局、经信局等部门合作培训，真正成为集学历教育、社会培训、技能鉴定等功能为一体的南雄职业教育中心。</w:t>
      </w:r>
    </w:p>
    <w:p w14:paraId="1BDA64AD">
      <w:pPr>
        <w:bidi w:val="0"/>
        <w:rPr>
          <w:rFonts w:hint="eastAsia"/>
          <w:lang w:val="zh-CN"/>
        </w:rPr>
      </w:pPr>
      <w:r>
        <w:rPr>
          <w:rFonts w:hint="eastAsia"/>
          <w:b/>
          <w:bCs/>
          <w:lang w:val="zh-CN"/>
        </w:rPr>
        <w:t>办学成果</w:t>
      </w:r>
      <w:r>
        <w:rPr>
          <w:rFonts w:hint="eastAsia"/>
          <w:b/>
          <w:bCs/>
          <w:lang w:val="en-US" w:eastAsia="zh-CN"/>
        </w:rPr>
        <w:t xml:space="preserve">  </w:t>
      </w:r>
      <w:r>
        <w:rPr>
          <w:rFonts w:hint="eastAsia"/>
          <w:lang w:val="en-US" w:eastAsia="zh-CN"/>
        </w:rPr>
        <w:t xml:space="preserve"> </w:t>
      </w:r>
      <w:r>
        <w:rPr>
          <w:rFonts w:hint="eastAsia"/>
          <w:lang w:val="zh-CN"/>
        </w:rPr>
        <w:t>2018年高考专科上线率达91%，名列韶关同类学校前茅；与广东科学技术职业学院对接的数控专业三二分段转段考核通过55人，通过率为110%；韶关市中等职业学校一年一度学生技能大赛，学校获团体一等奖2个，二等奖2个，三等奖3个，个人一等奖2个，二等奖9个，三等奖6个；被评为广东省“国防教育示范校”“禁毒教育示范校”、韶关市“文明校园”“南雄市志愿服务先进集体”。</w:t>
      </w:r>
    </w:p>
    <w:p w14:paraId="3CCECD57">
      <w:pPr>
        <w:bidi w:val="0"/>
        <w:rPr>
          <w:rFonts w:hint="eastAsia"/>
          <w:lang w:val="zh-CN"/>
        </w:rPr>
      </w:pPr>
      <w:r>
        <w:rPr>
          <w:rFonts w:hint="eastAsia"/>
          <w:b/>
          <w:bCs/>
          <w:lang w:val="zh-CN"/>
        </w:rPr>
        <w:t>开设专业</w:t>
      </w:r>
      <w:r>
        <w:rPr>
          <w:rFonts w:hint="eastAsia"/>
          <w:b/>
          <w:bCs/>
          <w:lang w:val="en-US" w:eastAsia="zh-CN"/>
        </w:rPr>
        <w:t xml:space="preserve">   </w:t>
      </w:r>
      <w:r>
        <w:rPr>
          <w:rFonts w:hint="eastAsia"/>
          <w:lang w:val="zh-CN"/>
        </w:rPr>
        <w:t>学校开设适应市场需求的机电技术应用、数控技术应用、计算机平面设计、计算机网络技术、电气运行与控制、计算机动漫与游戏、学前教育、电子商务、“三二”分段数控技术等9个专业和“3+证书”高考班。</w:t>
      </w:r>
    </w:p>
    <w:p w14:paraId="768FBAA8">
      <w:pPr>
        <w:bidi w:val="0"/>
        <w:rPr>
          <w:rFonts w:hint="eastAsia"/>
          <w:lang w:val="zh-CN"/>
        </w:rPr>
      </w:pPr>
      <w:r>
        <w:rPr>
          <w:rFonts w:hint="eastAsia"/>
          <w:b/>
          <w:bCs/>
          <w:lang w:val="zh-CN"/>
        </w:rPr>
        <w:t>转段考核</w:t>
      </w:r>
      <w:r>
        <w:rPr>
          <w:rFonts w:hint="eastAsia"/>
          <w:b/>
          <w:bCs/>
          <w:lang w:val="en-US" w:eastAsia="zh-CN"/>
        </w:rPr>
        <w:t xml:space="preserve">   </w:t>
      </w:r>
      <w:r>
        <w:rPr>
          <w:rFonts w:hint="eastAsia"/>
          <w:lang w:val="zh-CN"/>
        </w:rPr>
        <w:t>学校16级三二分段数控专业班（与广东科学技术职业学院对接培养）转段考核通过55人，通过率为110%。</w:t>
      </w:r>
    </w:p>
    <w:p w14:paraId="330A1B71">
      <w:pPr>
        <w:bidi w:val="0"/>
        <w:rPr>
          <w:rFonts w:hint="eastAsia"/>
          <w:lang w:val="zh-CN"/>
        </w:rPr>
      </w:pPr>
      <w:r>
        <w:rPr>
          <w:rFonts w:hint="eastAsia"/>
          <w:b/>
          <w:bCs/>
          <w:lang w:val="zh-CN"/>
        </w:rPr>
        <w:t>招生工作</w:t>
      </w:r>
      <w:r>
        <w:rPr>
          <w:rFonts w:hint="eastAsia"/>
          <w:b/>
          <w:bCs/>
          <w:lang w:val="en-US" w:eastAsia="zh-CN"/>
        </w:rPr>
        <w:t xml:space="preserve">   </w:t>
      </w:r>
      <w:r>
        <w:rPr>
          <w:rFonts w:hint="eastAsia"/>
          <w:lang w:val="zh-CN"/>
        </w:rPr>
        <w:t>2018年招生649人，在校生1724人，办学体量比两年前翻一番。</w:t>
      </w:r>
    </w:p>
    <w:p w14:paraId="33EEE5E0">
      <w:pPr>
        <w:bidi w:val="0"/>
        <w:rPr>
          <w:rFonts w:hint="eastAsia"/>
          <w:lang w:val="zh-CN"/>
        </w:rPr>
      </w:pPr>
      <w:r>
        <w:rPr>
          <w:rFonts w:hint="eastAsia"/>
          <w:b/>
          <w:bCs/>
          <w:lang w:val="zh-CN"/>
        </w:rPr>
        <w:t>重大事件</w:t>
      </w:r>
      <w:r>
        <w:rPr>
          <w:rFonts w:hint="eastAsia"/>
          <w:b/>
          <w:bCs/>
          <w:lang w:val="en-US" w:eastAsia="zh-CN"/>
        </w:rPr>
        <w:t xml:space="preserve">   </w:t>
      </w:r>
      <w:r>
        <w:rPr>
          <w:rFonts w:hint="eastAsia"/>
          <w:lang w:val="zh-CN"/>
        </w:rPr>
        <w:t>学校被评为广东省“国防教育示范校”“禁毒教育示范校”、韶关市“文明校园”；学校与广东科学技术职业学院对接的16级数控专业三二分段班转段考核通过55人，通过率为110%，3+证书高考入线率为91%；荣获韶关市中等职业学校一年一度学生技能大赛团体一等奖2个，二等奖2个，三等奖3个，个人一等奖2个，二等奖9个，三等奖6个；2018年投入587万元添置电商、数控、机电实训设备，更换学生课桌椅和床架，改善办学条件；学校被评为市志愿服务先进集体，17电子商务班被评为南雄市先进基层团支部。</w:t>
      </w:r>
    </w:p>
    <w:p w14:paraId="0F2975A4">
      <w:pPr>
        <w:bidi w:val="0"/>
        <w:jc w:val="right"/>
        <w:rPr>
          <w:rFonts w:hint="eastAsia"/>
          <w:b/>
          <w:bCs/>
          <w:lang w:val="zh-CN"/>
        </w:rPr>
      </w:pPr>
      <w:r>
        <w:rPr>
          <w:rFonts w:hint="eastAsia"/>
          <w:b/>
          <w:bCs/>
          <w:lang w:val="zh-CN"/>
        </w:rPr>
        <w:t>（肖承军）</w:t>
      </w:r>
    </w:p>
    <w:p w14:paraId="3F703E38">
      <w:pPr>
        <w:pStyle w:val="11"/>
        <w:bidi w:val="0"/>
        <w:rPr>
          <w:rFonts w:hint="eastAsia"/>
          <w:b/>
          <w:bCs/>
          <w:lang w:val="zh-CN"/>
        </w:rPr>
      </w:pPr>
      <w:r>
        <w:rPr>
          <w:rFonts w:hint="eastAsia"/>
          <w:b/>
          <w:bCs/>
          <w:lang w:val="zh-CN"/>
        </w:rPr>
        <w:t>附：2018年市中职领导班子成员名单</w:t>
      </w:r>
    </w:p>
    <w:p w14:paraId="4A38E4DD">
      <w:pPr>
        <w:pStyle w:val="11"/>
        <w:bidi w:val="0"/>
        <w:rPr>
          <w:rFonts w:hint="eastAsia"/>
          <w:lang w:val="zh-CN"/>
        </w:rPr>
      </w:pPr>
      <w:r>
        <w:rPr>
          <w:rFonts w:hint="eastAsia"/>
          <w:b/>
          <w:bCs/>
          <w:lang w:val="zh-CN"/>
        </w:rPr>
        <w:t>校长、党总支书记：</w:t>
      </w:r>
      <w:r>
        <w:rPr>
          <w:rFonts w:hint="eastAsia"/>
          <w:lang w:val="zh-CN"/>
        </w:rPr>
        <w:t>李子慧</w:t>
      </w:r>
    </w:p>
    <w:p w14:paraId="64A3E4B7">
      <w:pPr>
        <w:pStyle w:val="11"/>
        <w:bidi w:val="0"/>
        <w:rPr>
          <w:rFonts w:hint="eastAsia"/>
          <w:lang w:val="zh-CN"/>
        </w:rPr>
      </w:pPr>
      <w:r>
        <w:rPr>
          <w:rFonts w:hint="eastAsia"/>
          <w:b/>
          <w:bCs/>
          <w:lang w:val="zh-CN"/>
        </w:rPr>
        <w:t>副校长：</w:t>
      </w:r>
      <w:r>
        <w:rPr>
          <w:rFonts w:hint="eastAsia"/>
          <w:lang w:val="zh-CN"/>
        </w:rPr>
        <w:t>邓光拥</w:t>
      </w:r>
      <w:r>
        <w:rPr>
          <w:rFonts w:hint="eastAsia"/>
          <w:lang w:val="en-US" w:eastAsia="zh-CN"/>
        </w:rPr>
        <w:t xml:space="preserve">   </w:t>
      </w:r>
      <w:r>
        <w:rPr>
          <w:rFonts w:hint="eastAsia"/>
          <w:lang w:val="zh-CN"/>
        </w:rPr>
        <w:t>龚模洲</w:t>
      </w:r>
    </w:p>
    <w:p w14:paraId="00425A58">
      <w:pPr>
        <w:pStyle w:val="11"/>
        <w:bidi w:val="0"/>
        <w:ind w:leftChars="400"/>
        <w:rPr>
          <w:rFonts w:hint="eastAsia"/>
          <w:lang w:val="zh-CN"/>
        </w:rPr>
      </w:pPr>
      <w:r>
        <w:rPr>
          <w:rFonts w:hint="eastAsia"/>
          <w:lang w:val="zh-CN"/>
        </w:rPr>
        <w:t>黄健华</w:t>
      </w:r>
    </w:p>
    <w:p w14:paraId="3734B167">
      <w:pPr>
        <w:pStyle w:val="11"/>
        <w:bidi w:val="0"/>
        <w:rPr>
          <w:rFonts w:hint="eastAsia"/>
          <w:lang w:val="zh-CN"/>
        </w:rPr>
      </w:pPr>
      <w:r>
        <w:rPr>
          <w:rFonts w:hint="eastAsia"/>
          <w:b/>
          <w:bCs/>
          <w:lang w:val="zh-CN"/>
        </w:rPr>
        <w:t>党总支副书记：</w:t>
      </w:r>
      <w:r>
        <w:rPr>
          <w:rFonts w:hint="eastAsia"/>
          <w:lang w:val="zh-CN"/>
        </w:rPr>
        <w:t>黄国专</w:t>
      </w:r>
    </w:p>
    <w:p w14:paraId="0A8F2328">
      <w:pPr>
        <w:pStyle w:val="11"/>
        <w:bidi w:val="0"/>
        <w:ind w:leftChars="700"/>
        <w:rPr>
          <w:rFonts w:hint="eastAsia"/>
          <w:lang w:val="zh-CN"/>
        </w:rPr>
      </w:pPr>
      <w:r>
        <w:rPr>
          <w:rFonts w:hint="eastAsia"/>
          <w:lang w:val="zh-CN"/>
        </w:rPr>
        <w:t>叶见荣</w:t>
      </w:r>
    </w:p>
    <w:p w14:paraId="26D53C8D">
      <w:pPr>
        <w:pStyle w:val="11"/>
        <w:bidi w:val="0"/>
        <w:rPr>
          <w:rFonts w:hint="eastAsia"/>
          <w:lang w:val="zh-CN"/>
        </w:rPr>
      </w:pPr>
      <w:r>
        <w:rPr>
          <w:rFonts w:hint="eastAsia"/>
          <w:b/>
          <w:bCs/>
          <w:lang w:val="zh-CN"/>
        </w:rPr>
        <w:t>工会主席：</w:t>
      </w:r>
      <w:r>
        <w:rPr>
          <w:rFonts w:hint="eastAsia"/>
          <w:lang w:val="zh-CN"/>
        </w:rPr>
        <w:t>叶见荣</w:t>
      </w:r>
    </w:p>
    <w:p w14:paraId="0317EF13">
      <w:pPr>
        <w:pStyle w:val="4"/>
        <w:bidi w:val="0"/>
        <w:rPr>
          <w:rFonts w:hint="eastAsia"/>
          <w:lang w:val="zh-CN"/>
        </w:rPr>
      </w:pPr>
      <w:r>
        <w:rPr>
          <w:rFonts w:hint="eastAsia"/>
          <w:lang w:val="zh-CN"/>
        </w:rPr>
        <w:t>【南雄市实验中学】</w:t>
      </w:r>
    </w:p>
    <w:p w14:paraId="7A3C46AC">
      <w:pPr>
        <w:bidi w:val="0"/>
        <w:rPr>
          <w:rFonts w:hint="eastAsia"/>
          <w:lang w:val="zh-CN"/>
        </w:rPr>
      </w:pPr>
      <w:r>
        <w:rPr>
          <w:rFonts w:hint="eastAsia"/>
          <w:lang w:val="zh-CN"/>
        </w:rPr>
        <w:t>南雄市实验中学前身是创办于1989年的新城王锦辉中学，是韶关市一级学校，南雄市直属学校。2014年，为合理配置全市教育资源，促进城区教育均衡发展，学校异地重建，并易名为“南雄市实验中学”。学校占地面积5.5万平方米，校舍建筑面积2.29万平方米，可容纳48个教学班2400名学生。</w:t>
      </w:r>
    </w:p>
    <w:p w14:paraId="6C454812">
      <w:pPr>
        <w:bidi w:val="0"/>
        <w:rPr>
          <w:rFonts w:hint="eastAsia"/>
          <w:lang w:val="zh-CN"/>
        </w:rPr>
      </w:pPr>
      <w:r>
        <w:rPr>
          <w:rFonts w:hint="eastAsia"/>
          <w:lang w:val="zh-CN"/>
        </w:rPr>
        <w:t>学校专职教师181人，高级职称52人，一级教师100人，教师研究生2人，本科学历146人，大专学历33人，学历达标率为100%。</w:t>
      </w:r>
    </w:p>
    <w:p w14:paraId="13FE6641">
      <w:pPr>
        <w:bidi w:val="0"/>
        <w:rPr>
          <w:rFonts w:hint="eastAsia"/>
          <w:lang w:val="zh-CN"/>
        </w:rPr>
      </w:pPr>
      <w:r>
        <w:rPr>
          <w:rFonts w:hint="eastAsia"/>
          <w:b/>
          <w:bCs/>
          <w:lang w:val="zh-CN"/>
        </w:rPr>
        <w:t>获得荣誉</w:t>
      </w:r>
      <w:r>
        <w:rPr>
          <w:rFonts w:hint="eastAsia"/>
          <w:b/>
          <w:bCs/>
          <w:lang w:val="en-US" w:eastAsia="zh-CN"/>
        </w:rPr>
        <w:t xml:space="preserve">   </w:t>
      </w:r>
      <w:r>
        <w:rPr>
          <w:rFonts w:hint="eastAsia"/>
          <w:lang w:val="zh-CN"/>
        </w:rPr>
        <w:t>学校将课堂教学与学生综合素养评价有机结合，仅2017年就有省级、韶关市级2个优质课题结题，5个南雄市级课题结题。学校还开设葫芦丝、吉他、笛子、机器人、象棋、书法、足球、乒乓球、舞蹈、大合唱等20多个兴趣班，第二课堂开展成果显著。</w:t>
      </w:r>
    </w:p>
    <w:p w14:paraId="7D28D1BD">
      <w:pPr>
        <w:bidi w:val="0"/>
        <w:rPr>
          <w:rFonts w:hint="eastAsia"/>
          <w:lang w:val="zh-CN"/>
        </w:rPr>
      </w:pPr>
      <w:r>
        <w:rPr>
          <w:rFonts w:hint="eastAsia"/>
          <w:lang w:val="zh-CN"/>
        </w:rPr>
        <w:t>近年来，学校先后被评为“广东省初中校本培训示范校”“广东省义务教育标准化学校”“广东省书香校园”“韶关市德育示范校”“韶关市中小学日常行为规范示范校”“韶关高考优质生源贡献学校”“韶关市首批文明校园”并多次荣获南雄市教学先进单位、文明单位、园林式单位、绿色校园、先进党总支部、关心下一代工作先进集体、先进团委等称号。</w:t>
      </w:r>
    </w:p>
    <w:p w14:paraId="18FCB105">
      <w:pPr>
        <w:bidi w:val="0"/>
        <w:rPr>
          <w:rFonts w:hint="eastAsia"/>
          <w:lang w:val="zh-CN"/>
        </w:rPr>
      </w:pPr>
      <w:r>
        <w:rPr>
          <w:rFonts w:hint="eastAsia"/>
          <w:b/>
          <w:bCs/>
          <w:lang w:val="zh-CN"/>
        </w:rPr>
        <w:t>中考成绩</w:t>
      </w:r>
      <w:r>
        <w:rPr>
          <w:rFonts w:hint="eastAsia"/>
          <w:lang w:val="en-US" w:eastAsia="zh-CN"/>
        </w:rPr>
        <w:t xml:space="preserve">   </w:t>
      </w:r>
      <w:r>
        <w:rPr>
          <w:rFonts w:hint="eastAsia"/>
          <w:lang w:val="zh-CN"/>
        </w:rPr>
        <w:t>2018年初升高学业水平考试：600分以上2人，550分以上30人，500分以上79人，450分以上149人，400分以上239人，平均分、及格率居南雄同类学校榜首。</w:t>
      </w:r>
    </w:p>
    <w:p w14:paraId="0C833A3B">
      <w:pPr>
        <w:bidi w:val="0"/>
        <w:rPr>
          <w:rFonts w:hint="eastAsia"/>
          <w:lang w:val="zh-CN"/>
        </w:rPr>
      </w:pPr>
      <w:r>
        <w:rPr>
          <w:rFonts w:hint="eastAsia"/>
          <w:b/>
          <w:bCs/>
          <w:lang w:val="zh-CN"/>
        </w:rPr>
        <w:t>教育现代化建设</w:t>
      </w:r>
      <w:r>
        <w:rPr>
          <w:rFonts w:hint="eastAsia"/>
          <w:b/>
          <w:bCs/>
          <w:lang w:val="en-US" w:eastAsia="zh-CN"/>
        </w:rPr>
        <w:t xml:space="preserve">   </w:t>
      </w:r>
      <w:r>
        <w:rPr>
          <w:rFonts w:hint="eastAsia"/>
          <w:lang w:val="zh-CN"/>
        </w:rPr>
        <w:t>校区有教学楼3栋，标准实验楼1栋（楼内物理、化学、生物、电脑室、创客室等功能室均按省级标准配备），综合大楼1栋，学生宿舍楼2栋，报告厅1个，室内体育馆1栋，400×8标准跑道运动场1个，标准篮球场2个，文化广场3个。</w:t>
      </w:r>
    </w:p>
    <w:p w14:paraId="33A01022">
      <w:pPr>
        <w:bidi w:val="0"/>
        <w:rPr>
          <w:rFonts w:hint="eastAsia"/>
          <w:lang w:val="zh-CN"/>
        </w:rPr>
      </w:pPr>
      <w:r>
        <w:rPr>
          <w:rFonts w:hint="eastAsia"/>
          <w:lang w:val="zh-CN"/>
        </w:rPr>
        <w:t>学校努力改善办学条件，添置大批体育器材，为学校图书室添置6000多册图书。完善运动场、体育馆、图书馆等基础设施建设，学校所有课室均为多媒体教室，可以开展多媒体教学；学校教师每人配备一台电脑，提高教师工作效率。</w:t>
      </w:r>
    </w:p>
    <w:p w14:paraId="63CCB756">
      <w:pPr>
        <w:bidi w:val="0"/>
        <w:rPr>
          <w:rFonts w:hint="eastAsia"/>
          <w:lang w:val="zh-CN"/>
        </w:rPr>
      </w:pPr>
      <w:r>
        <w:rPr>
          <w:rFonts w:hint="eastAsia"/>
          <w:b/>
          <w:bCs/>
          <w:lang w:val="zh-CN"/>
        </w:rPr>
        <w:t>教研教改</w:t>
      </w:r>
      <w:r>
        <w:rPr>
          <w:rFonts w:hint="eastAsia"/>
          <w:b/>
          <w:bCs/>
          <w:lang w:val="en-US" w:eastAsia="zh-CN"/>
        </w:rPr>
        <w:t xml:space="preserve">   </w:t>
      </w:r>
      <w:r>
        <w:rPr>
          <w:rFonts w:hint="eastAsia"/>
          <w:lang w:val="zh-CN"/>
        </w:rPr>
        <w:t>2018年学校有1项省级课题、2项市级课题、5项县级课题顺利结题；1项省级课题、3项市级课题、8项县级课题立项。教师有20人次获县级市以上奖励，其中韶关市级奖励9人次，县级奖励13人次。</w:t>
      </w:r>
    </w:p>
    <w:p w14:paraId="1D500ED4">
      <w:pPr>
        <w:bidi w:val="0"/>
        <w:rPr>
          <w:rFonts w:hint="eastAsia"/>
          <w:lang w:val="zh-CN"/>
        </w:rPr>
      </w:pPr>
      <w:r>
        <w:rPr>
          <w:rFonts w:hint="eastAsia"/>
          <w:b/>
          <w:bCs/>
          <w:lang w:val="zh-CN"/>
        </w:rPr>
        <w:t>校园活动</w:t>
      </w:r>
      <w:r>
        <w:rPr>
          <w:rFonts w:hint="eastAsia"/>
          <w:b/>
          <w:bCs/>
          <w:lang w:val="en-US" w:eastAsia="zh-CN"/>
        </w:rPr>
        <w:t xml:space="preserve">   </w:t>
      </w:r>
      <w:r>
        <w:rPr>
          <w:rFonts w:hint="eastAsia"/>
          <w:lang w:val="zh-CN"/>
        </w:rPr>
        <w:t>南雄市第十五届人民代表大会第四次会议、韶关市第二十三届中小学（幼儿园）英东杯文艺竞赛南雄市书画作品选拔赛、韶关市第二十三届中学生英东杯篮球竞赛、南雄市艺术实践工作坊暨艺术作品展览启动仪式等在学校体育馆顺利举行。2018年韶关市中小学生阳光体育冬季长跑活动启动仪式、南雄市实验中学2018年校园文化艺术节暨第二届田径运动会、南雄市实验中学第二届校园文化艺术节等活动在学校运动场举行。2018年韶关市中小学绿色校园创建工作总结现场会在学校华艺厅召开。承办广东省第九届老年人体育运动健身大会持杖健步走4×400米交流活动。</w:t>
      </w:r>
    </w:p>
    <w:p w14:paraId="67FA9545">
      <w:pPr>
        <w:bidi w:val="0"/>
        <w:jc w:val="right"/>
        <w:rPr>
          <w:rFonts w:hint="eastAsia"/>
          <w:b/>
          <w:bCs/>
          <w:lang w:val="zh-CN"/>
        </w:rPr>
      </w:pPr>
      <w:r>
        <w:rPr>
          <w:rFonts w:hint="eastAsia"/>
          <w:b/>
          <w:bCs/>
          <w:lang w:val="zh-CN"/>
        </w:rPr>
        <w:t>（游辽清）</w:t>
      </w:r>
    </w:p>
    <w:p w14:paraId="6A6915E8">
      <w:pPr>
        <w:pStyle w:val="11"/>
        <w:bidi w:val="0"/>
        <w:rPr>
          <w:rFonts w:hint="eastAsia"/>
          <w:b/>
          <w:bCs/>
          <w:lang w:val="zh-CN"/>
        </w:rPr>
      </w:pPr>
      <w:r>
        <w:rPr>
          <w:rFonts w:hint="eastAsia"/>
          <w:b/>
          <w:bCs/>
          <w:lang w:val="zh-CN"/>
        </w:rPr>
        <w:t>附：2018年市实验中学领导班子成员名单</w:t>
      </w:r>
    </w:p>
    <w:p w14:paraId="5069635B">
      <w:pPr>
        <w:pStyle w:val="11"/>
        <w:bidi w:val="0"/>
        <w:rPr>
          <w:rFonts w:hint="eastAsia"/>
          <w:lang w:val="zh-CN"/>
        </w:rPr>
      </w:pPr>
      <w:r>
        <w:rPr>
          <w:rFonts w:hint="eastAsia"/>
          <w:b/>
          <w:bCs/>
          <w:lang w:val="zh-CN"/>
        </w:rPr>
        <w:t>党总支部书记、校长：</w:t>
      </w:r>
      <w:r>
        <w:rPr>
          <w:rFonts w:hint="eastAsia"/>
          <w:lang w:val="zh-CN"/>
        </w:rPr>
        <w:t>叶桂林</w:t>
      </w:r>
    </w:p>
    <w:p w14:paraId="382A2ACD">
      <w:pPr>
        <w:pStyle w:val="11"/>
        <w:bidi w:val="0"/>
        <w:rPr>
          <w:rFonts w:hint="eastAsia"/>
          <w:lang w:val="zh-CN"/>
        </w:rPr>
      </w:pPr>
      <w:r>
        <w:rPr>
          <w:rFonts w:hint="eastAsia"/>
          <w:b/>
          <w:bCs/>
          <w:lang w:val="zh-CN"/>
        </w:rPr>
        <w:t>党总支部副书记：</w:t>
      </w:r>
      <w:r>
        <w:rPr>
          <w:rFonts w:hint="eastAsia"/>
          <w:lang w:val="zh-CN"/>
        </w:rPr>
        <w:t>徐孔彬</w:t>
      </w:r>
    </w:p>
    <w:p w14:paraId="41430A0E">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校</w:t>
      </w:r>
      <w:r>
        <w:rPr>
          <w:rFonts w:hint="eastAsia"/>
          <w:b/>
          <w:bCs/>
          <w:lang w:val="en-US" w:eastAsia="zh-CN"/>
        </w:rPr>
        <w:t xml:space="preserve"> </w:t>
      </w:r>
      <w:r>
        <w:rPr>
          <w:rFonts w:hint="eastAsia"/>
          <w:b/>
          <w:bCs/>
          <w:lang w:val="zh-CN"/>
        </w:rPr>
        <w:t>长：</w:t>
      </w:r>
      <w:r>
        <w:rPr>
          <w:rFonts w:hint="eastAsia"/>
          <w:lang w:val="zh-CN"/>
        </w:rPr>
        <w:t>何漱兰</w:t>
      </w:r>
      <w:r>
        <w:rPr>
          <w:rFonts w:hint="eastAsia"/>
          <w:lang w:val="en-US" w:eastAsia="zh-CN"/>
        </w:rPr>
        <w:t xml:space="preserve">   </w:t>
      </w:r>
      <w:r>
        <w:rPr>
          <w:rFonts w:hint="eastAsia"/>
          <w:lang w:val="zh-CN"/>
        </w:rPr>
        <w:t>蓝霞秀</w:t>
      </w:r>
    </w:p>
    <w:p w14:paraId="474B3635">
      <w:pPr>
        <w:pStyle w:val="11"/>
        <w:bidi w:val="0"/>
        <w:rPr>
          <w:rFonts w:hint="eastAsia"/>
          <w:lang w:val="zh-CN"/>
        </w:rPr>
      </w:pPr>
      <w:r>
        <w:rPr>
          <w:rFonts w:hint="eastAsia"/>
          <w:b/>
          <w:bCs/>
          <w:lang w:val="zh-CN"/>
        </w:rPr>
        <w:t>工会主席：</w:t>
      </w:r>
      <w:r>
        <w:rPr>
          <w:rFonts w:hint="eastAsia"/>
          <w:lang w:val="zh-CN"/>
        </w:rPr>
        <w:t>徐孔彬</w:t>
      </w:r>
    </w:p>
    <w:p w14:paraId="3DD1C28F">
      <w:pPr>
        <w:pStyle w:val="4"/>
        <w:bidi w:val="0"/>
        <w:rPr>
          <w:rFonts w:hint="eastAsia"/>
          <w:lang w:val="zh-CN"/>
        </w:rPr>
      </w:pPr>
      <w:r>
        <w:rPr>
          <w:rFonts w:hint="eastAsia"/>
          <w:lang w:val="zh-CN"/>
        </w:rPr>
        <w:t>【南雄市第二中学】</w:t>
      </w:r>
    </w:p>
    <w:p w14:paraId="756C92C5">
      <w:pPr>
        <w:bidi w:val="0"/>
        <w:rPr>
          <w:rFonts w:hint="eastAsia"/>
          <w:lang w:val="zh-CN"/>
        </w:rPr>
      </w:pPr>
      <w:r>
        <w:rPr>
          <w:rFonts w:hint="eastAsia"/>
          <w:lang w:val="zh-CN"/>
        </w:rPr>
        <w:t>南雄市第二中学由原黎口中学与雄州中学合并，2013年8月更名为“南雄市第二中学”，2013年9月开学经改造和新建投入使用。校园占地4.6万平方米，总建筑面积1.52万平方米。3栋教学楼，1栋实验楼，1栋办公综合楼，1栋学生食堂，2栋学生公寓，1栋图书馆，1个书香亭，200米标准化塑胶运动场1个，标准5人足球场1个。2017年建成雄东门和尚学亭，并投入使用。2018年建成广东省南雄市青少年法治教育实践基地（法律咨询室、法律阅览室、模拟法庭）、南雄市禁毒教育基地。2018年有47个教学班，2251名学生就读。2018年有教职工224人，其中高级教师39人。学校配有理化生实验室、仪器准备室、多媒体教室、计算机教室、音美活动室、图书室、档案室、体育器材室、医务室、舞蹈室、乒乓球室、健身室、校园广播系统和监控系统。</w:t>
      </w:r>
    </w:p>
    <w:p w14:paraId="5E5454A5">
      <w:pPr>
        <w:bidi w:val="0"/>
        <w:rPr>
          <w:rFonts w:hint="eastAsia"/>
          <w:lang w:val="zh-CN"/>
        </w:rPr>
      </w:pPr>
      <w:r>
        <w:rPr>
          <w:rFonts w:hint="eastAsia"/>
          <w:b/>
          <w:bCs/>
          <w:lang w:val="zh-CN"/>
        </w:rPr>
        <w:t>落实年级管理责任</w:t>
      </w:r>
      <w:r>
        <w:rPr>
          <w:rFonts w:hint="eastAsia"/>
          <w:b/>
          <w:bCs/>
          <w:lang w:val="en-US" w:eastAsia="zh-CN"/>
        </w:rPr>
        <w:t xml:space="preserve">   </w:t>
      </w:r>
      <w:r>
        <w:rPr>
          <w:rFonts w:hint="eastAsia"/>
          <w:lang w:val="zh-CN"/>
        </w:rPr>
        <w:t>校长和党支部书记提名，为每个年级配备管理干部，七、八、九三个年级分别设正、副级长各2人。提高年级管理者和全体教师的目标和责任意识，大力创建良好的纪律和学习风气，推动德育和教学工作走向深入，实现学校可持续发展。每个年级根据其特点扎实开展各项德育和教学工作，进行绩效考核评价，大力提高教育质量。形成学校—德育发展处—年级—班主任—学生干部管理机制。分年级集会进行教育10次以上。设班级评比栏，就学生一日常规设立10个评比项，每月每个年级评出文明班5个，全校集会颁发锦旗予以表彰。</w:t>
      </w:r>
    </w:p>
    <w:p w14:paraId="589406D5">
      <w:pPr>
        <w:bidi w:val="0"/>
        <w:rPr>
          <w:rFonts w:hint="eastAsia"/>
          <w:lang w:val="zh-CN"/>
        </w:rPr>
      </w:pPr>
      <w:r>
        <w:rPr>
          <w:rFonts w:hint="eastAsia"/>
          <w:b/>
          <w:bCs/>
          <w:lang w:val="zh-CN"/>
        </w:rPr>
        <w:t>加强教师素质建设</w:t>
      </w:r>
      <w:r>
        <w:rPr>
          <w:rFonts w:hint="eastAsia"/>
          <w:b/>
          <w:bCs/>
          <w:lang w:val="en-US" w:eastAsia="zh-CN"/>
        </w:rPr>
        <w:t xml:space="preserve">   </w:t>
      </w:r>
      <w:r>
        <w:rPr>
          <w:rFonts w:hint="eastAsia"/>
          <w:lang w:val="zh-CN"/>
        </w:rPr>
        <w:t>学校以高尚师德引领教师发展方向，以校本培训夯实教师发展基础，以校本教研提升教师发展能力，全面提升教师的素质，让教师成为有追求、有品位、有思想的人。积极参加上级部门安排的教师业务培训，主动与珠三角的同类学校进行教学交流活动。6月，派出14位教师参加广东省初三卓越教师综合能力素养提升与中考先进经验交流高级研修学习；12月，派出40位老师到珠海跟岗培训学习。全年骨干教师近90人次参加教学工作及学生管理工作培训，投入资金近8万元，教师管理水平和业务水平大大提高。</w:t>
      </w:r>
    </w:p>
    <w:p w14:paraId="34272941">
      <w:pPr>
        <w:bidi w:val="0"/>
        <w:rPr>
          <w:rFonts w:hint="eastAsia"/>
          <w:lang w:val="zh-CN"/>
        </w:rPr>
      </w:pPr>
      <w:r>
        <w:rPr>
          <w:rFonts w:hint="eastAsia"/>
          <w:b/>
          <w:bCs/>
          <w:lang w:val="zh-CN"/>
        </w:rPr>
        <w:t>打造班主任团队</w:t>
      </w:r>
      <w:r>
        <w:rPr>
          <w:rFonts w:hint="eastAsia"/>
          <w:b/>
          <w:bCs/>
          <w:lang w:val="en-US" w:eastAsia="zh-CN"/>
        </w:rPr>
        <w:t xml:space="preserve">   </w:t>
      </w:r>
      <w:r>
        <w:rPr>
          <w:rFonts w:hint="eastAsia"/>
          <w:lang w:val="zh-CN"/>
        </w:rPr>
        <w:t>加强班主任工作的业务培训，每学期集会、业务培训不少于8次，通过班主任培训、论坛、交流等形式，努力提高班主任工作实效。加强青年班主任和班主任后备力量培养。开展班主任师徒结对活动，进行职业规划教育，促进青年班主任的成长。建立班主任工作绩效考核评价机制，根据管理业绩期末评选优秀班主任。</w:t>
      </w:r>
    </w:p>
    <w:p w14:paraId="43B813B4">
      <w:pPr>
        <w:bidi w:val="0"/>
        <w:rPr>
          <w:rFonts w:hint="eastAsia"/>
          <w:lang w:val="zh-CN"/>
        </w:rPr>
      </w:pPr>
      <w:r>
        <w:rPr>
          <w:rFonts w:hint="eastAsia"/>
          <w:b/>
          <w:bCs/>
          <w:lang w:val="zh-CN"/>
        </w:rPr>
        <w:t>加强德育工作</w:t>
      </w:r>
      <w:r>
        <w:rPr>
          <w:rFonts w:hint="eastAsia"/>
          <w:b/>
          <w:bCs/>
          <w:lang w:val="en-US" w:eastAsia="zh-CN"/>
        </w:rPr>
        <w:t xml:space="preserve">   </w:t>
      </w:r>
      <w:r>
        <w:rPr>
          <w:rFonts w:hint="eastAsia"/>
          <w:lang w:val="zh-CN"/>
        </w:rPr>
        <w:t>实施形式多样的班级文化活动，引导树立一种积极向上的班级精神，形成一个班风正、学风浓的先进集体。每学期国旗下讲话12次以上，进行法律、安全等全校性教育大会3次以上。不断创建女生教育特色。每学期分年级进行女生教育2次以上。积极开展心理健康教育，发挥“阳光心语”心理社团的务实作用，建设学校心理咨询室，提高心理辅导教师的专业素养，开展面向全体学生的心理辅导活动。开展禁止学生携带手机入校园的管理工作，以教师为表率，以长期和有效的措施加强在校学生的手机管理，杜绝学生带手机进入校园，每学期集中查收手机3次，切实减轻手机对学生身心健康和学习的危害。充分发挥家长委员会的职能，参与学校教育活动，构建家庭、学校、社会三维教育网络。每学期召开家委会2次以上，七、八年级召开家长会1次，九年级召开家长会2次以上。</w:t>
      </w:r>
    </w:p>
    <w:p w14:paraId="136688D8">
      <w:pPr>
        <w:bidi w:val="0"/>
        <w:rPr>
          <w:rFonts w:hint="eastAsia"/>
          <w:lang w:val="zh-CN"/>
        </w:rPr>
      </w:pPr>
      <w:r>
        <w:rPr>
          <w:rFonts w:hint="eastAsia"/>
          <w:lang w:val="zh-CN"/>
        </w:rPr>
        <w:t>学生获韶关市第二十三节中小学“英东杯”文艺竞赛绘画类二等奖1人，韶关市第二十三节中小学“英东杯”文艺竞赛书法类三等奖1人，韶关市2018年青少年禁毒暨法治宣传创意大赛绘画类优秀奖1人。</w:t>
      </w:r>
    </w:p>
    <w:p w14:paraId="137DE633">
      <w:pPr>
        <w:bidi w:val="0"/>
        <w:rPr>
          <w:rFonts w:hint="eastAsia"/>
          <w:lang w:val="zh-CN"/>
        </w:rPr>
      </w:pPr>
      <w:r>
        <w:rPr>
          <w:rFonts w:hint="eastAsia"/>
          <w:lang w:val="zh-CN"/>
        </w:rPr>
        <w:t>聘请广东言通侓师事务所的徐朝阳律师为学校法律顾问。</w:t>
      </w:r>
    </w:p>
    <w:p w14:paraId="0BBE9191">
      <w:pPr>
        <w:bidi w:val="0"/>
        <w:rPr>
          <w:rFonts w:hint="eastAsia"/>
          <w:lang w:val="zh-CN"/>
        </w:rPr>
      </w:pPr>
      <w:r>
        <w:rPr>
          <w:rFonts w:hint="eastAsia"/>
          <w:b/>
          <w:bCs/>
          <w:lang w:val="zh-CN"/>
        </w:rPr>
        <w:t>加强教学管理</w:t>
      </w:r>
      <w:r>
        <w:rPr>
          <w:rFonts w:hint="eastAsia"/>
          <w:b/>
          <w:bCs/>
          <w:lang w:val="en-US" w:eastAsia="zh-CN"/>
        </w:rPr>
        <w:t xml:space="preserve">   </w:t>
      </w:r>
      <w:r>
        <w:rPr>
          <w:rFonts w:hint="eastAsia"/>
          <w:lang w:val="zh-CN"/>
        </w:rPr>
        <w:t>七年级坚持“低起点、慢起步、缓加速”的教学方针，打好基础，重视学法指导，明确“教向学靠拢”的教学要求，加强初中新课程与小学新课程的衔接，在学习方法上进行具体指导。八年级加强学生的学法指导，夯实基础，提高学生的学习效率，增强学习信心。注重学生学业水平的巩固和提高，强化优生的培养，突出特长发展。九年级重视中考备考，分层指导，学习得法，提高成绩。</w:t>
      </w:r>
    </w:p>
    <w:p w14:paraId="1DE62F22">
      <w:pPr>
        <w:bidi w:val="0"/>
        <w:rPr>
          <w:rFonts w:hint="eastAsia"/>
          <w:lang w:val="zh-CN"/>
        </w:rPr>
      </w:pPr>
      <w:r>
        <w:rPr>
          <w:rFonts w:hint="eastAsia"/>
          <w:lang w:val="zh-CN"/>
        </w:rPr>
        <w:t>2018年中考，二中取得优异成绩，600分以上3人，500分以上78人。11月28日举办校园文化艺术节。</w:t>
      </w:r>
    </w:p>
    <w:p w14:paraId="38A29BB4">
      <w:pPr>
        <w:bidi w:val="0"/>
        <w:rPr>
          <w:rFonts w:hint="eastAsia"/>
          <w:lang w:val="zh-CN"/>
        </w:rPr>
      </w:pPr>
      <w:r>
        <w:rPr>
          <w:rFonts w:hint="eastAsia"/>
          <w:b/>
          <w:bCs/>
          <w:lang w:val="zh-CN"/>
        </w:rPr>
        <w:t>加强校本教研</w:t>
      </w:r>
      <w:r>
        <w:rPr>
          <w:rFonts w:hint="eastAsia"/>
          <w:b/>
          <w:bCs/>
          <w:lang w:val="en-US" w:eastAsia="zh-CN"/>
        </w:rPr>
        <w:t xml:space="preserve">   </w:t>
      </w:r>
      <w:r>
        <w:rPr>
          <w:rFonts w:hint="eastAsia"/>
          <w:lang w:val="zh-CN"/>
        </w:rPr>
        <w:t>加强校本教研过程管理，提升教师教育教学实践能力。以备课组为单位，强化集体备课规范。每学期科组教研会10次，全年20次。</w:t>
      </w:r>
    </w:p>
    <w:p w14:paraId="6B50411C">
      <w:pPr>
        <w:bidi w:val="0"/>
        <w:rPr>
          <w:rFonts w:hint="eastAsia"/>
          <w:lang w:val="zh-CN"/>
        </w:rPr>
      </w:pPr>
      <w:r>
        <w:rPr>
          <w:rFonts w:hint="eastAsia"/>
          <w:b/>
          <w:bCs/>
          <w:lang w:val="zh-CN"/>
        </w:rPr>
        <w:t>加强安全教育</w:t>
      </w:r>
      <w:r>
        <w:rPr>
          <w:rFonts w:hint="eastAsia"/>
          <w:b/>
          <w:bCs/>
          <w:lang w:val="en-US" w:eastAsia="zh-CN"/>
        </w:rPr>
        <w:t xml:space="preserve">   </w:t>
      </w:r>
      <w:r>
        <w:rPr>
          <w:rFonts w:hint="eastAsia"/>
          <w:lang w:val="zh-CN"/>
        </w:rPr>
        <w:t>抓好师生安全教育，增强安全工作全员参与意识，每学期第三周进行全校性安全疏散演练，全年演练2次。严格校规校纪，抓好日常管理。德育处牵头和管理，各个年级负责，班主任靠实责任，在班级建立若干个学生安全联防小组，及时收集学生安全信息，消除学生人身安全隐患。加大安全教育宣传力度，开展多种类型的安全教育活动。全年召开安全教育大会不少于4次。</w:t>
      </w:r>
    </w:p>
    <w:p w14:paraId="4BC295C5">
      <w:pPr>
        <w:bidi w:val="0"/>
        <w:rPr>
          <w:rFonts w:hint="eastAsia"/>
          <w:lang w:val="zh-CN"/>
        </w:rPr>
      </w:pPr>
      <w:r>
        <w:rPr>
          <w:rFonts w:hint="eastAsia"/>
          <w:b/>
          <w:bCs/>
          <w:lang w:val="zh-CN"/>
        </w:rPr>
        <w:t>加强后勤保障</w:t>
      </w:r>
      <w:r>
        <w:rPr>
          <w:rFonts w:hint="eastAsia"/>
          <w:b/>
          <w:bCs/>
          <w:lang w:val="en-US" w:eastAsia="zh-CN"/>
        </w:rPr>
        <w:t xml:space="preserve">   </w:t>
      </w:r>
      <w:r>
        <w:rPr>
          <w:rFonts w:hint="eastAsia"/>
          <w:lang w:val="zh-CN"/>
        </w:rPr>
        <w:t>利用假日时间对教室、宿舍的门窗、学生床铺及水电设施等进行全面维修，维修费用1.56万元。维修课桌389张、学生凳256张，两项共计1.86万元。投资近5万元，对学校的苗木进行修剪整枝、清理，对各种观赏型树木进行修剪造型，栽植许多观赏树。投资近5万元改造两间女生热水冲凉房。投资近1万元新购置学生温热水饮水机。投资近35万元新建校道路，实现校园人车分离。投资近15万元新建书香园花园。校园维修维护投资近20万元。</w:t>
      </w:r>
      <w:r>
        <w:rPr>
          <w:rFonts w:hint="eastAsia"/>
          <w:b/>
          <w:bCs/>
          <w:lang w:val="zh-CN"/>
        </w:rPr>
        <w:t>（邓金生）</w:t>
      </w:r>
    </w:p>
    <w:p w14:paraId="3361470A">
      <w:pPr>
        <w:pStyle w:val="11"/>
        <w:bidi w:val="0"/>
        <w:rPr>
          <w:rFonts w:hint="eastAsia"/>
          <w:b/>
          <w:bCs/>
          <w:lang w:val="zh-CN"/>
        </w:rPr>
      </w:pPr>
      <w:r>
        <w:rPr>
          <w:rFonts w:hint="eastAsia"/>
          <w:b/>
          <w:bCs/>
          <w:lang w:val="zh-CN"/>
        </w:rPr>
        <w:t>附：2018年市第二中学领导班子成员名单</w:t>
      </w:r>
    </w:p>
    <w:p w14:paraId="67135AA5">
      <w:pPr>
        <w:pStyle w:val="11"/>
        <w:bidi w:val="0"/>
        <w:rPr>
          <w:rFonts w:hint="eastAsia"/>
          <w:lang w:val="zh-CN"/>
        </w:rPr>
      </w:pPr>
      <w:r>
        <w:rPr>
          <w:rFonts w:hint="eastAsia"/>
          <w:b/>
          <w:bCs/>
          <w:lang w:val="zh-CN"/>
        </w:rPr>
        <w:t>党总支部书记、校长：</w:t>
      </w:r>
      <w:r>
        <w:rPr>
          <w:rFonts w:hint="eastAsia"/>
          <w:lang w:val="zh-CN"/>
        </w:rPr>
        <w:t>邓应福</w:t>
      </w:r>
    </w:p>
    <w:p w14:paraId="0F8E021D">
      <w:pPr>
        <w:pStyle w:val="11"/>
        <w:bidi w:val="0"/>
        <w:rPr>
          <w:rFonts w:hint="eastAsia"/>
          <w:lang w:val="zh-CN"/>
        </w:rPr>
      </w:pPr>
      <w:r>
        <w:rPr>
          <w:rFonts w:hint="eastAsia"/>
          <w:b/>
          <w:bCs/>
          <w:lang w:val="zh-CN"/>
        </w:rPr>
        <w:t>党总支部副书记：</w:t>
      </w:r>
      <w:r>
        <w:rPr>
          <w:rFonts w:hint="eastAsia"/>
          <w:lang w:val="zh-CN"/>
        </w:rPr>
        <w:t>吴水春</w:t>
      </w:r>
    </w:p>
    <w:p w14:paraId="77D7CB7D">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校</w:t>
      </w:r>
      <w:r>
        <w:rPr>
          <w:rFonts w:hint="eastAsia"/>
          <w:b/>
          <w:bCs/>
          <w:lang w:val="en-US" w:eastAsia="zh-CN"/>
        </w:rPr>
        <w:t xml:space="preserve"> </w:t>
      </w:r>
      <w:r>
        <w:rPr>
          <w:rFonts w:hint="eastAsia"/>
          <w:b/>
          <w:bCs/>
          <w:lang w:val="zh-CN"/>
        </w:rPr>
        <w:t>长：</w:t>
      </w:r>
      <w:r>
        <w:rPr>
          <w:rFonts w:hint="eastAsia"/>
          <w:lang w:val="zh-CN"/>
        </w:rPr>
        <w:t>谢秀红</w:t>
      </w:r>
      <w:r>
        <w:rPr>
          <w:rFonts w:hint="eastAsia"/>
          <w:lang w:val="en-US" w:eastAsia="zh-CN"/>
        </w:rPr>
        <w:t xml:space="preserve">   </w:t>
      </w:r>
      <w:r>
        <w:rPr>
          <w:rFonts w:hint="eastAsia"/>
          <w:lang w:val="zh-CN"/>
        </w:rPr>
        <w:t>董祖平</w:t>
      </w:r>
    </w:p>
    <w:p w14:paraId="052CD335">
      <w:pPr>
        <w:pStyle w:val="11"/>
        <w:bidi w:val="0"/>
        <w:rPr>
          <w:rFonts w:hint="eastAsia"/>
          <w:lang w:val="zh-CN"/>
        </w:rPr>
      </w:pPr>
      <w:r>
        <w:rPr>
          <w:rFonts w:hint="eastAsia"/>
          <w:b/>
          <w:bCs/>
          <w:lang w:val="zh-CN"/>
        </w:rPr>
        <w:t>工会主席：</w:t>
      </w:r>
      <w:r>
        <w:rPr>
          <w:rFonts w:hint="eastAsia"/>
          <w:lang w:val="zh-CN"/>
        </w:rPr>
        <w:t>吴水春</w:t>
      </w:r>
    </w:p>
    <w:p w14:paraId="5198C362">
      <w:pPr>
        <w:pStyle w:val="4"/>
        <w:bidi w:val="0"/>
        <w:rPr>
          <w:rFonts w:hint="eastAsia"/>
          <w:lang w:val="zh-CN"/>
        </w:rPr>
      </w:pPr>
      <w:r>
        <w:rPr>
          <w:rFonts w:hint="eastAsia"/>
          <w:lang w:val="zh-CN"/>
        </w:rPr>
        <w:t>【乌迳中学】</w:t>
      </w:r>
    </w:p>
    <w:p w14:paraId="7099F823">
      <w:pPr>
        <w:bidi w:val="0"/>
        <w:rPr>
          <w:rFonts w:hint="eastAsia"/>
          <w:lang w:val="zh-CN"/>
        </w:rPr>
      </w:pPr>
      <w:r>
        <w:rPr>
          <w:rFonts w:hint="eastAsia"/>
          <w:lang w:val="zh-CN"/>
        </w:rPr>
        <w:t>乌迳中学创办于1958年，原地址设在乌迳医院宿舍楼区，始称为乌迳公社乌迳小学初中部，1960年迁至雄信公路旁现今地址。1968年高中开始招生，成为当时南雄市上片地区规模较大的农村完全中学。“文化大革命”期间曾一度易名为“燎原中学”。1987年高中改制为农村职业高中，1990年升格为科级单位，1998年不设高中部，成为农村初级中学。1999年被评定为南雄市一级学校。进入21世纪，学校教育改革和发展迅速，办学规模不断壮大，2004年被评为韶关市一级学校，2015年按上级精神增设小学部。2018年学校有43个教学班，小学部15个班、学生665人，初中28个班、学生1330人，学生总人数1995人。</w:t>
      </w:r>
    </w:p>
    <w:p w14:paraId="1BF80770">
      <w:pPr>
        <w:bidi w:val="0"/>
        <w:rPr>
          <w:rFonts w:hint="eastAsia"/>
          <w:lang w:val="zh-CN"/>
        </w:rPr>
      </w:pPr>
      <w:r>
        <w:rPr>
          <w:rFonts w:hint="eastAsia"/>
          <w:b/>
          <w:bCs/>
          <w:lang w:val="zh-CN"/>
        </w:rPr>
        <w:t>队伍建设</w:t>
      </w:r>
      <w:r>
        <w:rPr>
          <w:rFonts w:hint="eastAsia"/>
          <w:b/>
          <w:bCs/>
          <w:lang w:val="en-US" w:eastAsia="zh-CN"/>
        </w:rPr>
        <w:t xml:space="preserve"> </w:t>
      </w:r>
      <w:r>
        <w:rPr>
          <w:rFonts w:hint="eastAsia"/>
          <w:lang w:val="en-US" w:eastAsia="zh-CN"/>
        </w:rPr>
        <w:t xml:space="preserve">  </w:t>
      </w:r>
      <w:r>
        <w:rPr>
          <w:rFonts w:hint="eastAsia"/>
          <w:lang w:val="zh-CN"/>
        </w:rPr>
        <w:t>抓好教职工政治与业务学习，积极开展教师队伍建设。年初，组织教职工学习全市教育工作会议精神，深入开展师德师风建设，提高教职工政治素养，经常组织教职工学习新课程理念、学习现代信息技术，积极参加各类培训。每周分别召开学校领导会议，及领导与全体班主任工作会议，就如何在新形势下更好地搞好班主任工作展开畅谈，彼此交换教育管理工作经验；注重加强行风建设及班子政治理论学习，提高班子综合素养。观看防腐拒变警示教育片，提高班子成员党性观念，促使班子成员廉洁奉公，勤政务实，全心全意为师生服务；注重学生行为规范教育，养成良好行为习惯，每学期开学初，德育处组织全体领导检查学生仪容仪表，对留长发、佩戴首饰、穿拖鞋等不符合学校要求的责令整改，并做好跟踪检查，学生生容生貌彻底改观。</w:t>
      </w:r>
    </w:p>
    <w:p w14:paraId="3CFEABFD">
      <w:pPr>
        <w:bidi w:val="0"/>
        <w:rPr>
          <w:rFonts w:hint="eastAsia"/>
          <w:lang w:val="zh-CN"/>
        </w:rPr>
      </w:pPr>
      <w:r>
        <w:rPr>
          <w:rFonts w:hint="eastAsia"/>
          <w:b/>
          <w:bCs/>
          <w:lang w:val="zh-CN"/>
        </w:rPr>
        <w:t>后勤管理</w:t>
      </w:r>
      <w:r>
        <w:rPr>
          <w:rFonts w:hint="eastAsia"/>
          <w:b/>
          <w:bCs/>
          <w:lang w:val="en-US" w:eastAsia="zh-CN"/>
        </w:rPr>
        <w:t xml:space="preserve">   </w:t>
      </w:r>
      <w:r>
        <w:rPr>
          <w:rFonts w:hint="eastAsia"/>
          <w:lang w:val="zh-CN"/>
        </w:rPr>
        <w:t>规范学校水电管理，及时登记、结算、公示学校、教职工以及学生用水用电情况，增加管理透明度，促使师生员工节约学校水电；加强学校校产资源管理，杜绝校产资源流失现象，提高校产利用率；财务工作坚持合理开支，账目日清月结，严格审批制度，并要求学校财务监督小组每月履行好民主监督职责，认真把关，做到开源节流，为学校各项工作正常运转提供切实保障。</w:t>
      </w:r>
    </w:p>
    <w:p w14:paraId="7CC73F36">
      <w:pPr>
        <w:bidi w:val="0"/>
        <w:rPr>
          <w:rFonts w:hint="eastAsia"/>
          <w:lang w:val="zh-CN"/>
        </w:rPr>
      </w:pPr>
      <w:r>
        <w:rPr>
          <w:rFonts w:hint="eastAsia"/>
          <w:b/>
          <w:bCs/>
          <w:lang w:val="zh-CN"/>
        </w:rPr>
        <w:t>校园建设</w:t>
      </w:r>
      <w:r>
        <w:rPr>
          <w:rFonts w:hint="eastAsia"/>
          <w:b/>
          <w:bCs/>
          <w:lang w:val="en-US" w:eastAsia="zh-CN"/>
        </w:rPr>
        <w:t xml:space="preserve">   </w:t>
      </w:r>
      <w:r>
        <w:rPr>
          <w:rFonts w:hint="eastAsia"/>
          <w:lang w:val="zh-CN"/>
        </w:rPr>
        <w:t>加快硬件建设速度，提高后勤服务质量。9月，着手进行学生宿舍楼改造，投资安装空气能热水器，极大改进学生冬天冲凉难问题；为教师每间办公室安装空调，改善教师办公条件。教学设施上，投入资金实现班班通，每间教室安装白板，解决教学一大难题，完成校园内供水、供电线路全面改造。</w:t>
      </w:r>
    </w:p>
    <w:p w14:paraId="77962E20">
      <w:pPr>
        <w:bidi w:val="0"/>
        <w:rPr>
          <w:rFonts w:hint="eastAsia"/>
          <w:lang w:val="zh-CN"/>
        </w:rPr>
      </w:pPr>
      <w:r>
        <w:rPr>
          <w:rFonts w:hint="eastAsia"/>
          <w:b/>
          <w:bCs/>
          <w:lang w:val="zh-CN"/>
        </w:rPr>
        <w:t>获奖情况</w:t>
      </w:r>
      <w:r>
        <w:rPr>
          <w:rFonts w:hint="eastAsia"/>
          <w:b/>
          <w:bCs/>
          <w:lang w:val="en-US" w:eastAsia="zh-CN"/>
        </w:rPr>
        <w:t xml:space="preserve">   </w:t>
      </w:r>
      <w:r>
        <w:rPr>
          <w:rFonts w:hint="eastAsia"/>
          <w:lang w:val="zh-CN"/>
        </w:rPr>
        <w:t>在南雄市艺术实践工作坊暨艺术作品展览活动中荣获南雄市2018年度美育创新成果一等奖。荣获南雄市2018年“学习十九大·共筑中国梦中小学文艺竞赛”中学组三等奖。获南雄市2018年“学习</w:t>
      </w:r>
      <w:r>
        <w:rPr>
          <w:rFonts w:hint="eastAsia"/>
          <w:lang w:val="en-US" w:eastAsia="zh-CN"/>
        </w:rPr>
        <w:t>党的</w:t>
      </w:r>
      <w:r>
        <w:rPr>
          <w:rFonts w:hint="eastAsia"/>
          <w:lang w:val="zh-CN"/>
        </w:rPr>
        <w:t>十九大·共筑中国梦中小学文艺竞赛”小学组二等奖。</w:t>
      </w:r>
    </w:p>
    <w:p w14:paraId="0F71FF11">
      <w:pPr>
        <w:bidi w:val="0"/>
        <w:jc w:val="right"/>
        <w:rPr>
          <w:rFonts w:hint="eastAsia"/>
          <w:b/>
          <w:bCs/>
          <w:lang w:val="zh-CN"/>
        </w:rPr>
      </w:pPr>
      <w:r>
        <w:rPr>
          <w:rFonts w:hint="eastAsia"/>
          <w:b/>
          <w:bCs/>
          <w:lang w:val="zh-CN"/>
        </w:rPr>
        <w:t>（陈荣华）</w:t>
      </w:r>
    </w:p>
    <w:p w14:paraId="0B6B50DF">
      <w:pPr>
        <w:pStyle w:val="11"/>
        <w:bidi w:val="0"/>
        <w:rPr>
          <w:rFonts w:hint="eastAsia"/>
          <w:b/>
          <w:bCs/>
          <w:lang w:val="zh-CN"/>
        </w:rPr>
      </w:pPr>
      <w:r>
        <w:rPr>
          <w:rFonts w:hint="eastAsia"/>
          <w:b/>
          <w:bCs/>
          <w:lang w:val="zh-CN"/>
        </w:rPr>
        <w:t>附：2018年乌迳中学领导班子成员名单</w:t>
      </w:r>
    </w:p>
    <w:p w14:paraId="7DE7CDDA">
      <w:pPr>
        <w:pStyle w:val="11"/>
        <w:bidi w:val="0"/>
        <w:rPr>
          <w:rFonts w:hint="eastAsia"/>
          <w:lang w:val="zh-CN"/>
        </w:rPr>
      </w:pPr>
      <w:r>
        <w:rPr>
          <w:rFonts w:hint="eastAsia"/>
          <w:b/>
          <w:bCs/>
          <w:lang w:val="zh-CN"/>
        </w:rPr>
        <w:t>校</w:t>
      </w:r>
      <w:r>
        <w:rPr>
          <w:rFonts w:hint="eastAsia"/>
          <w:b/>
          <w:bCs/>
          <w:lang w:val="en-US" w:eastAsia="zh-CN"/>
        </w:rPr>
        <w:t xml:space="preserve">  </w:t>
      </w:r>
      <w:r>
        <w:rPr>
          <w:rFonts w:hint="eastAsia"/>
          <w:b/>
          <w:bCs/>
          <w:lang w:val="zh-CN"/>
        </w:rPr>
        <w:t>长：</w:t>
      </w:r>
      <w:r>
        <w:rPr>
          <w:rFonts w:hint="eastAsia"/>
          <w:lang w:val="zh-CN"/>
        </w:rPr>
        <w:t>叶小洋</w:t>
      </w:r>
    </w:p>
    <w:p w14:paraId="5A7E8F8A">
      <w:pPr>
        <w:pStyle w:val="11"/>
        <w:bidi w:val="0"/>
        <w:rPr>
          <w:rFonts w:hint="eastAsia"/>
          <w:lang w:val="zh-CN"/>
        </w:rPr>
      </w:pPr>
      <w:r>
        <w:rPr>
          <w:rFonts w:hint="eastAsia"/>
          <w:b/>
          <w:bCs/>
          <w:lang w:val="zh-CN"/>
        </w:rPr>
        <w:t>副校长：</w:t>
      </w:r>
      <w:r>
        <w:rPr>
          <w:rFonts w:hint="eastAsia"/>
          <w:lang w:val="zh-CN"/>
        </w:rPr>
        <w:t>邓胜文</w:t>
      </w:r>
      <w:r>
        <w:rPr>
          <w:rFonts w:hint="eastAsia"/>
          <w:lang w:val="en-US" w:eastAsia="zh-CN"/>
        </w:rPr>
        <w:t xml:space="preserve">   </w:t>
      </w:r>
      <w:r>
        <w:rPr>
          <w:rFonts w:hint="eastAsia"/>
          <w:lang w:val="zh-CN"/>
        </w:rPr>
        <w:t>叶南光</w:t>
      </w:r>
    </w:p>
    <w:p w14:paraId="6348AAAC">
      <w:pPr>
        <w:pStyle w:val="3"/>
        <w:bidi w:val="0"/>
        <w:rPr>
          <w:rFonts w:hint="eastAsia"/>
          <w:lang w:val="zh-CN"/>
        </w:rPr>
      </w:pPr>
      <w:r>
        <w:rPr>
          <w:rFonts w:hint="eastAsia"/>
          <w:lang w:val="zh-CN"/>
        </w:rPr>
        <w:t>文化</w:t>
      </w:r>
    </w:p>
    <w:p w14:paraId="0EC2848E">
      <w:pPr>
        <w:pStyle w:val="4"/>
        <w:bidi w:val="0"/>
        <w:rPr>
          <w:rFonts w:hint="eastAsia"/>
          <w:lang w:val="zh-CN"/>
        </w:rPr>
      </w:pPr>
      <w:r>
        <w:rPr>
          <w:rFonts w:hint="eastAsia"/>
          <w:lang w:val="zh-CN"/>
        </w:rPr>
        <w:t>【概况】</w:t>
      </w:r>
    </w:p>
    <w:p w14:paraId="1BD49F6B">
      <w:pPr>
        <w:bidi w:val="0"/>
        <w:rPr>
          <w:rFonts w:hint="eastAsia"/>
          <w:lang w:val="zh-CN"/>
        </w:rPr>
      </w:pPr>
      <w:r>
        <w:rPr>
          <w:rFonts w:hint="eastAsia"/>
          <w:lang w:val="zh-CN"/>
        </w:rPr>
        <w:t>南雄市文化广电新闻出版局（简称“文广新局”），属正科级单位，内设人秘股、社会文化股、广播电视管理股、文化市场管理股、新闻出版管理办公室、非物质文化遗产管理股。其直属单位有市文化市场综合执法队，下属事业单位有图书馆、文化馆、博物馆、影剧院。</w:t>
      </w:r>
    </w:p>
    <w:p w14:paraId="7B3D3105">
      <w:pPr>
        <w:pStyle w:val="4"/>
        <w:bidi w:val="0"/>
        <w:rPr>
          <w:rFonts w:hint="eastAsia"/>
          <w:lang w:val="zh-CN"/>
        </w:rPr>
      </w:pPr>
      <w:r>
        <w:rPr>
          <w:rFonts w:hint="eastAsia"/>
          <w:lang w:val="zh-CN"/>
        </w:rPr>
        <w:t>【文化设施完善】</w:t>
      </w:r>
    </w:p>
    <w:p w14:paraId="6D839A56">
      <w:pPr>
        <w:bidi w:val="0"/>
        <w:rPr>
          <w:rFonts w:hint="eastAsia"/>
          <w:lang w:val="zh-CN"/>
        </w:rPr>
      </w:pPr>
      <w:r>
        <w:rPr>
          <w:rFonts w:hint="eastAsia"/>
          <w:lang w:val="zh-CN"/>
        </w:rPr>
        <w:t>2018年争取图书馆、文化馆（站）、博物馆免费开放资金213万元，确保对群众施行免费开放。争取上级资金640万元，本级财政120万元，合计760万元用于加快全市行政村（社区）综合性文化服务中心建设进度；文化馆改造工程进入搬迁阶段；图书馆新馆正在进行内部装修，预计2019年启用。选取全安镇全安村、帽子峰镇梨树村、古市镇溪口村、雄州街道黎口村、黄坑镇社前村等5个村农家书屋作为轮换点，增补图书2580册，平均每间增补516册。</w:t>
      </w:r>
    </w:p>
    <w:p w14:paraId="2992C716">
      <w:pPr>
        <w:pStyle w:val="4"/>
        <w:bidi w:val="0"/>
        <w:rPr>
          <w:rFonts w:hint="eastAsia"/>
          <w:lang w:val="zh-CN"/>
        </w:rPr>
      </w:pPr>
      <w:r>
        <w:rPr>
          <w:rFonts w:hint="eastAsia"/>
          <w:lang w:val="zh-CN"/>
        </w:rPr>
        <w:t>【群众文体活动】</w:t>
      </w:r>
    </w:p>
    <w:p w14:paraId="5F5A12B9">
      <w:pPr>
        <w:bidi w:val="0"/>
        <w:rPr>
          <w:rFonts w:hint="eastAsia"/>
          <w:lang w:val="zh-CN"/>
        </w:rPr>
      </w:pPr>
      <w:r>
        <w:rPr>
          <w:rFonts w:hint="eastAsia"/>
          <w:lang w:val="zh-CN"/>
        </w:rPr>
        <w:t>积极搭建群众艺术平台，联合多个部门举办南雄市第二届舞动新时代舞蹈大赛、南雄市第十届群众歌咏比赛两场大型群众赛事，每场次吸引群众超过5000人次；常年组织开展文化志愿者送欢乐下基层系列演出等文化惠民活动。结合重要节庆日，围绕全市中心工作组织开展各类文化惠民演出和展览。同时，依托文化站（室）、文体广场等场所，积极引导镇街组织开展舞蹈、合唱等群众参与性强的文体活动，并不断探索和创新活动模式，挖掘基层优秀艺术人才和文艺作品参加各级群众性文艺赛事。坚持开展送戏、送书、送电影下乡活动，定期在广州会馆古戏台（省级文物保护单位）和珠玑非遗展演中心古戏台（龙船歌省级非遗传承基地），展示采茶戏、龙船歌、小品小戏等节目。以镇街、社区文化广场为主阵地，以全市130多支业余文艺演出队伍为骨干，镇街、社区加强服务和引导，市文化馆跟上指导培训，送文化下乡，丰富群众精神文化生活，提升群众幸福指数。</w:t>
      </w:r>
    </w:p>
    <w:p w14:paraId="23FBD07C">
      <w:pPr>
        <w:pStyle w:val="4"/>
        <w:bidi w:val="0"/>
        <w:rPr>
          <w:rFonts w:hint="eastAsia"/>
          <w:lang w:val="zh-CN"/>
        </w:rPr>
      </w:pPr>
      <w:r>
        <w:rPr>
          <w:rFonts w:hint="eastAsia"/>
          <w:lang w:val="zh-CN"/>
        </w:rPr>
        <w:t>【文艺精品培植】</w:t>
      </w:r>
    </w:p>
    <w:p w14:paraId="07C80593">
      <w:pPr>
        <w:bidi w:val="0"/>
        <w:rPr>
          <w:rFonts w:hint="eastAsia"/>
          <w:lang w:val="zh-CN"/>
        </w:rPr>
      </w:pPr>
      <w:r>
        <w:rPr>
          <w:rFonts w:hint="eastAsia"/>
          <w:lang w:val="zh-CN"/>
        </w:rPr>
        <w:t>市图书馆结合读书猜谜、知识竞答、流动书香车、游园活动、演讲比赛、讲故事比赛等活动，全力推广全民阅读，自创品牌活动“莎莎姐姐讲故事”连续两年荣获韶关“优秀阅读项目”荣誉称号。市博物馆全年免费开放，成为市民和游客了解南雄历史、民俗的重要窗口。除几个长期展览外全年举办各种临时展览近40个，下乡镇、进校园开展巡回展览近百场，丰富和活跃市民文化生活，惠及群众超过20万人次。市文化馆坚持免费开办群众艺术培训班，馆员定期进校园、进社区、进企业开展辅导，年均培训辅导近15万人次。</w:t>
      </w:r>
    </w:p>
    <w:p w14:paraId="63204533">
      <w:pPr>
        <w:pStyle w:val="4"/>
        <w:bidi w:val="0"/>
        <w:rPr>
          <w:rFonts w:hint="eastAsia"/>
          <w:lang w:val="zh-CN"/>
        </w:rPr>
      </w:pPr>
      <w:r>
        <w:rPr>
          <w:rFonts w:hint="eastAsia"/>
          <w:lang w:val="zh-CN"/>
        </w:rPr>
        <w:t>【艺术创作开展】</w:t>
      </w:r>
    </w:p>
    <w:p w14:paraId="2015DE7A">
      <w:pPr>
        <w:bidi w:val="0"/>
        <w:rPr>
          <w:rFonts w:hint="eastAsia"/>
          <w:lang w:val="zh-CN"/>
        </w:rPr>
      </w:pPr>
      <w:r>
        <w:rPr>
          <w:rFonts w:hint="eastAsia"/>
          <w:lang w:val="zh-CN"/>
        </w:rPr>
        <w:t>组织广大文艺工作者深入学习习近平总书记文艺工作座谈会重要讲话精神，选派文艺骨干分期分批进行各种业务能力提升培训。把抓好精品生产、繁荣文艺创作作为重要任务落实，组织南雄市文艺界人士和业余作者创作一批弘扬主旋律、品位较高的艺术作品，并充分发挥优秀文艺作品在意识形态领域的鼓舞引导作用。其中，原创小品《老班长考婿》获广东省群众文艺作品小品评选戏剧类二等奖，音乐《珠玑情》获广东省群众文艺作品小品评选音乐类三等奖。</w:t>
      </w:r>
    </w:p>
    <w:p w14:paraId="7550FFB0">
      <w:pPr>
        <w:pStyle w:val="4"/>
        <w:bidi w:val="0"/>
        <w:rPr>
          <w:rFonts w:hint="eastAsia"/>
          <w:lang w:val="zh-CN"/>
        </w:rPr>
      </w:pPr>
      <w:r>
        <w:rPr>
          <w:rFonts w:hint="eastAsia"/>
          <w:lang w:val="zh-CN"/>
        </w:rPr>
        <w:t>【本土特色文化创建】</w:t>
      </w:r>
    </w:p>
    <w:p w14:paraId="6918DC0D">
      <w:pPr>
        <w:bidi w:val="0"/>
        <w:rPr>
          <w:rFonts w:hint="eastAsia"/>
          <w:lang w:val="zh-CN"/>
        </w:rPr>
      </w:pPr>
      <w:r>
        <w:rPr>
          <w:rFonts w:hint="eastAsia"/>
          <w:lang w:val="zh-CN"/>
        </w:rPr>
        <w:t>完成省级以上文保单位“四有”工作，对全市省级贫困村中的132个在第三次全国文物普查中列入不可移动文物名录全部进行挂牌，对55个文保单位签订属地管理使用协议，强化文物管理与保护措施。通过深入乡村调查文物现状，对亟须抢修文物向上级部门争取修缮资金792万元，其中，南粤雄关与古道部分文物修缮项目主体工程完工；乌迳新田村文物保护抢修工程于11月开工，计划2019年3月完工。还有一些文保单位正在编制保护规划方案，这些项目保护提升将丰富南雄市文化旅游路线，促进文旅融合发展。成功申报省级和市级非遗项目各1项，提升非遗项目队伍。借助广东省第九届老年人健身运动会向省内外参赛选手及嘉宾展示南雄百家姓氏文化和各类民俗文化表演，传承南雄姓氏文化。通过出版非遗书籍，吸引央视、新华社及省市媒体拍摄，与省内高校联合举办非遗主题活动，或在重要活动平台展示非遗项目，开展非遗进村、进社区、进校园活动，使南雄市非遗项目社会影响力和知晓度达到近几年顶峰。</w:t>
      </w:r>
    </w:p>
    <w:p w14:paraId="2797241B">
      <w:pPr>
        <w:pStyle w:val="4"/>
        <w:bidi w:val="0"/>
        <w:rPr>
          <w:rFonts w:hint="eastAsia"/>
          <w:lang w:val="zh-CN"/>
        </w:rPr>
      </w:pPr>
      <w:r>
        <w:rPr>
          <w:rFonts w:hint="eastAsia"/>
          <w:lang w:val="zh-CN"/>
        </w:rPr>
        <w:t>【执法队伍建设】</w:t>
      </w:r>
    </w:p>
    <w:p w14:paraId="5FD68A92">
      <w:pPr>
        <w:bidi w:val="0"/>
        <w:rPr>
          <w:rFonts w:hint="eastAsia"/>
          <w:lang w:val="zh-CN"/>
        </w:rPr>
      </w:pPr>
      <w:r>
        <w:rPr>
          <w:rFonts w:hint="eastAsia"/>
          <w:lang w:val="zh-CN"/>
        </w:rPr>
        <w:t>2018年，文化市场执法队开展春节期间安全生产大检查专项行动、易燃易爆行业领域安全生产专项检查、文化市场风险点、危险源管控专项检查、五一期间文化市场安全生产专项检查行动、珠玑古巷旅游景区环境整治行动、“扫黄打非”各项行动等。检查包括南雄市文物保护单位和相关文化经营场所的依法依规经营行为，也包括检查文化经营场所中防火设备、消防器材、消防通道是否反锁，存在杂物阻碍、应急措施等，对一些可能存在安全隐患的地方提出严重警告，现场发现问题，指导业主立即整改，杜绝文化市场安全隐患。出动执法人员2448人次，检查网吧96家次，书店180家次，印刷企业156家次，游戏机室12家次，歌舞娱乐场所96家次，文物保护单位72家次。在市“扫黄打非”办支持下，开展知识产权有关法律法规和文化市场识假辨假知识宣传活动，在知识产权活动宣传周期间，向文化市场经营单位、珠玑古巷景区发放宣传资料，倡导识假辨假，普及《中华人民共和国著作权法》等，让市民具备知识产权意识。全年向群众发放“扫黄打非”宣传资料5000余份，文化市场相关法律宣传资料1000余份，安全生产宣传资料1000余份。</w:t>
      </w:r>
    </w:p>
    <w:p w14:paraId="650D55DA">
      <w:pPr>
        <w:pStyle w:val="3"/>
        <w:bidi w:val="0"/>
        <w:rPr>
          <w:rFonts w:hint="eastAsia"/>
          <w:lang w:val="zh-CN"/>
        </w:rPr>
      </w:pPr>
      <w:r>
        <w:rPr>
          <w:rFonts w:hint="eastAsia"/>
          <w:lang w:val="zh-CN"/>
        </w:rPr>
        <w:t>图书管理</w:t>
      </w:r>
    </w:p>
    <w:p w14:paraId="5CA6589C">
      <w:pPr>
        <w:pStyle w:val="4"/>
        <w:bidi w:val="0"/>
        <w:rPr>
          <w:rFonts w:hint="eastAsia"/>
          <w:lang w:val="zh-CN"/>
        </w:rPr>
      </w:pPr>
      <w:r>
        <w:rPr>
          <w:rFonts w:hint="eastAsia"/>
          <w:lang w:val="zh-CN"/>
        </w:rPr>
        <w:t>【南雄市图书馆】</w:t>
      </w:r>
    </w:p>
    <w:p w14:paraId="64383F7E">
      <w:pPr>
        <w:bidi w:val="0"/>
        <w:rPr>
          <w:rFonts w:hint="eastAsia"/>
          <w:lang w:val="zh-CN"/>
        </w:rPr>
      </w:pPr>
      <w:r>
        <w:rPr>
          <w:rFonts w:hint="eastAsia"/>
          <w:lang w:val="zh-CN"/>
        </w:rPr>
        <w:t>南雄市图书馆是正股级公益一类事业单位，全馆核定事业编制11名（其中馆长1名，副馆长2名）。至2018年底有干部职工7人，其中大专学历以上6人，具备中级馆员职称4人。馆长陈丽娟，副馆长廖南城、廖莎。馆藏文献5万余册，订阅报刊100余种。2018年，新办理图书证714余张，拥有持证读者7810余人，外借图书达12.05万册次以上，接待各类读者约22.86万人次。</w:t>
      </w:r>
    </w:p>
    <w:p w14:paraId="0F3AF5B4">
      <w:pPr>
        <w:bidi w:val="0"/>
        <w:rPr>
          <w:rFonts w:hint="eastAsia"/>
          <w:lang w:val="zh-CN"/>
        </w:rPr>
      </w:pPr>
      <w:r>
        <w:rPr>
          <w:rFonts w:hint="eastAsia"/>
          <w:lang w:val="zh-CN"/>
        </w:rPr>
        <w:t>南雄市图书馆采用开放灵活的藏、借、阅、查一体的服务模式，实行全年免费开放、开架自助借阅、电话续借图书、免费上网、取消办证工本费等便民服务。创新图书馆导读和服务方式，利用网络开展图书推介和宣传，定期推荐好书、新碟以及专题书目。向读者推荐新书并做好预借、续借、导读工作。为广大人民群众提供多渠道、多层次的读书服务，推动学习型社会的建设，是知识信息的集散地，市民终身教育的学校。</w:t>
      </w:r>
    </w:p>
    <w:p w14:paraId="534D579D">
      <w:pPr>
        <w:pStyle w:val="4"/>
        <w:bidi w:val="0"/>
        <w:rPr>
          <w:rFonts w:hint="eastAsia"/>
          <w:lang w:val="zh-CN"/>
        </w:rPr>
      </w:pPr>
      <w:r>
        <w:rPr>
          <w:rFonts w:hint="eastAsia"/>
          <w:lang w:val="zh-CN"/>
        </w:rPr>
        <w:t>【特色活动开展】</w:t>
      </w:r>
    </w:p>
    <w:p w14:paraId="4A05AFEE">
      <w:pPr>
        <w:bidi w:val="0"/>
        <w:rPr>
          <w:rFonts w:hint="eastAsia"/>
          <w:lang w:val="zh-CN"/>
        </w:rPr>
      </w:pPr>
      <w:r>
        <w:rPr>
          <w:rFonts w:hint="eastAsia"/>
          <w:lang w:val="zh-CN"/>
        </w:rPr>
        <w:t>2月20日（农历正月初五）上午，由市文广新局主办、市图书馆承办的2018年“凯歌辞旧岁，瑞狗贺新春”有奖灯谜竞猜活动在雄州公园举行。活动中市图书馆工作人员和小小志愿者还向市民免费发放环保生活小常识宣传手册。2月20日下午，市图书馆在雄州公园举办2018年“旺狗贺岁，欢乐祥瑞”亲子趣味游园活动。游园活动内容包括盲人击鼓、吹乒乓球、套圈和投篮高手等4个项目。</w:t>
      </w:r>
    </w:p>
    <w:p w14:paraId="67A6D50C">
      <w:pPr>
        <w:bidi w:val="0"/>
        <w:rPr>
          <w:rFonts w:hint="eastAsia"/>
          <w:lang w:val="zh-CN"/>
        </w:rPr>
      </w:pPr>
      <w:r>
        <w:rPr>
          <w:rFonts w:hint="eastAsia"/>
          <w:lang w:val="zh-CN"/>
        </w:rPr>
        <w:t>4月23日是第23个“世界读书日”。在南亩镇农贸市场举行2018年“4·23世界读书日”趣味有奖灯谜竞猜活动；在图书馆借阅大厅开展“莎莎姐姐讲故事”和趣味有奖知识问答活动；开展“电影展播”活动；策划开展“让图书回家”还书免责活动等。5月29日，在“六一”儿童节即将到来之际，以2018年图书馆服务宣传周为契机，来到南雄市南亩学校，开展“新时代心悦读”走进校园读书活动，为乡镇儿童送去节日关怀。</w:t>
      </w:r>
    </w:p>
    <w:p w14:paraId="3B4E839D">
      <w:pPr>
        <w:pStyle w:val="4"/>
        <w:bidi w:val="0"/>
        <w:rPr>
          <w:rFonts w:hint="eastAsia"/>
          <w:lang w:val="zh-CN"/>
        </w:rPr>
      </w:pPr>
      <w:r>
        <w:rPr>
          <w:rFonts w:hint="eastAsia"/>
          <w:lang w:val="zh-CN"/>
        </w:rPr>
        <w:t>【阅读活动推广】</w:t>
      </w:r>
    </w:p>
    <w:p w14:paraId="5C8979C2">
      <w:pPr>
        <w:bidi w:val="0"/>
        <w:rPr>
          <w:rFonts w:hint="eastAsia"/>
          <w:lang w:val="zh-CN"/>
        </w:rPr>
      </w:pPr>
      <w:r>
        <w:rPr>
          <w:rFonts w:hint="eastAsia"/>
          <w:lang w:val="zh-CN"/>
        </w:rPr>
        <w:t>元旦期间在图书馆借阅大厅开展电影展播活动，供来馆读者免费观看。3月5日在三影塔广场开展学习雷锋活动，为市民免费现场办理借阅证，免费派送南雄文明礼仪手册、生活环保常识资料、消防知识宣传资料等，活动受到市民一致好评。4月7日开展由韶关市图书馆主办的第二届“学问杯”——《说出你的故事》演讲大赛活动选拔赛，30名选手参赛。4月3日，市图书馆在南亩学校举办预选初赛，推选10名优秀选手参加。获得初赛总排名的前两名参赛选手4月23日在市图书馆参加总决赛。6月5日上午，在三影塔广场开展“新时代心悦读”走进社区阅读推广活动，为广大群众送去“精神食粮”。暑假期间，在图书馆借阅大厅举办以“快乐暑假，共享悦读”为主题的2018年暑期系列读书活动。活动有：电影展播、少儿数学兴趣班、少儿拼音启蒙班、少儿水粉绘画班、莎莎姐姐讲故事、“作业无忧”学习活动、“小小志愿者”活动。9月22日上午，在图书馆借阅大厅举办2018年“我们的节日”——“浓情中秋”亲子月饼DIY活动。20组家庭参加此次活动。在活动中，小朋友和家长们享受到亲自动手的快乐，更深层次地理解了中秋节的含义。在“国庆节”长假期间，举办电影展播、“莎莎姐姐讲故事”等系列读书活动。12月23日下午，南雄市图书馆举办第四届“故事大王”比赛初赛，12月30日举行总决赛。</w:t>
      </w:r>
    </w:p>
    <w:p w14:paraId="05FC9F14">
      <w:pPr>
        <w:pStyle w:val="4"/>
        <w:bidi w:val="0"/>
        <w:rPr>
          <w:rFonts w:hint="eastAsia"/>
          <w:lang w:val="zh-CN"/>
        </w:rPr>
      </w:pPr>
      <w:r>
        <w:rPr>
          <w:rFonts w:hint="eastAsia"/>
          <w:lang w:val="zh-CN"/>
        </w:rPr>
        <w:t>【品牌活动开展】</w:t>
      </w:r>
    </w:p>
    <w:p w14:paraId="2DF56654">
      <w:pPr>
        <w:bidi w:val="0"/>
        <w:rPr>
          <w:rFonts w:hint="eastAsia"/>
          <w:lang w:val="zh-CN"/>
        </w:rPr>
      </w:pPr>
      <w:r>
        <w:rPr>
          <w:rFonts w:hint="eastAsia"/>
          <w:lang w:val="zh-CN"/>
        </w:rPr>
        <w:t>寒假期间，市图书馆在图书馆借阅大厅举办“莎莎姐姐讲故事，共同分享悦读时光”读书活动。</w:t>
      </w:r>
    </w:p>
    <w:p w14:paraId="21364432">
      <w:pPr>
        <w:bidi w:val="0"/>
        <w:rPr>
          <w:rFonts w:hint="eastAsia"/>
          <w:lang w:val="zh-CN"/>
        </w:rPr>
      </w:pPr>
      <w:r>
        <w:rPr>
          <w:rFonts w:hint="eastAsia"/>
          <w:lang w:val="zh-CN"/>
        </w:rPr>
        <w:t>暑期、国庆期间组织多场“莎莎姐姐讲故事，共同分享悦读时光”和趣味有奖知识问答活动。在趣味有奖知识问答环节，市图书馆准备小礼品，让孩子们在阅读乐趣中收获别样惊喜。</w:t>
      </w:r>
    </w:p>
    <w:p w14:paraId="0BA3A5AD">
      <w:pPr>
        <w:pStyle w:val="3"/>
        <w:bidi w:val="0"/>
        <w:rPr>
          <w:rFonts w:hint="eastAsia"/>
          <w:lang w:val="zh-CN"/>
        </w:rPr>
      </w:pPr>
      <w:r>
        <w:rPr>
          <w:rFonts w:hint="eastAsia"/>
          <w:lang w:val="zh-CN"/>
        </w:rPr>
        <w:t>文化艺术</w:t>
      </w:r>
    </w:p>
    <w:p w14:paraId="3DB5B5D5">
      <w:pPr>
        <w:pStyle w:val="4"/>
        <w:bidi w:val="0"/>
        <w:rPr>
          <w:rFonts w:hint="eastAsia"/>
          <w:lang w:val="zh-CN"/>
        </w:rPr>
      </w:pPr>
      <w:r>
        <w:rPr>
          <w:rFonts w:hint="eastAsia"/>
          <w:lang w:val="zh-CN"/>
        </w:rPr>
        <w:t>【南雄市文化馆】</w:t>
      </w:r>
    </w:p>
    <w:p w14:paraId="5B89DA00">
      <w:pPr>
        <w:bidi w:val="0"/>
        <w:rPr>
          <w:rFonts w:hint="eastAsia"/>
          <w:lang w:val="zh-CN"/>
        </w:rPr>
      </w:pPr>
      <w:r>
        <w:rPr>
          <w:rFonts w:hint="eastAsia"/>
          <w:lang w:val="zh-CN"/>
        </w:rPr>
        <w:t>南雄市文化馆是政府设立的专门从事群众文化工作和非物质文化传承保护工作的公益一类事业单位。其主要职责有：组织开展具有导向性、示范性的群众文化艺术活动；辅导农村、社区、企业等开展群众文化活动，辅导、培训文化站干部及文艺活动业务骨干，组织、指导、研究群众性文艺创作活动；组织开展群众文艺理论研究，搜集、整理、保护民族民间文化艺术遗产；负责文化志愿者队伍建设、管理、培训工作和文化志愿服务开展；执行全市非物质文化遗产保护的规划、计划和工作规范，组织实施全市非物质文化遗产的普查、认定、申报、保护和交流传播工作。</w:t>
      </w:r>
    </w:p>
    <w:p w14:paraId="58B832B9">
      <w:pPr>
        <w:bidi w:val="0"/>
        <w:rPr>
          <w:rFonts w:hint="eastAsia"/>
          <w:lang w:val="zh-CN"/>
        </w:rPr>
      </w:pPr>
      <w:r>
        <w:rPr>
          <w:rFonts w:hint="eastAsia"/>
          <w:lang w:val="zh-CN"/>
        </w:rPr>
        <w:t>文化馆现有在编人员23人，其中副高级职称2人，中级职称11人，初级职称6人。馆内设有行政办公室、群文部、培训部、创作部、演出部、非物质文化遗产保护中心办公室共6个部室。</w:t>
      </w:r>
    </w:p>
    <w:p w14:paraId="2D6BCD46">
      <w:pPr>
        <w:pStyle w:val="4"/>
        <w:bidi w:val="0"/>
        <w:rPr>
          <w:rFonts w:hint="eastAsia"/>
          <w:lang w:val="zh-CN"/>
        </w:rPr>
      </w:pPr>
      <w:r>
        <w:rPr>
          <w:rFonts w:hint="eastAsia"/>
          <w:lang w:val="zh-CN"/>
        </w:rPr>
        <w:t>【群众文化活动品牌创立】</w:t>
      </w:r>
    </w:p>
    <w:p w14:paraId="5EED415C">
      <w:pPr>
        <w:bidi w:val="0"/>
        <w:rPr>
          <w:rFonts w:hint="eastAsia"/>
          <w:lang w:val="zh-CN"/>
        </w:rPr>
      </w:pPr>
      <w:r>
        <w:rPr>
          <w:rFonts w:hint="eastAsia"/>
          <w:lang w:val="zh-CN"/>
        </w:rPr>
        <w:t>1月30日，在广州会馆举行南雄市“风·雅·颂”文化惠民表彰汇演活动。汇演活动对2017年“风·雅·颂”文化惠民活动工作小结，并表彰工作中的先进团队和先进个人，其中文化馆被评为先进集体。5月26日晚上举办“南雄市第二届舞动新时代舞蹈大赛”。7月18日—8月20日举办第十届群众歌咏大赛，决赛决出一等奖1名，二等奖2名，三等奖3名，优秀奖6名。</w:t>
      </w:r>
    </w:p>
    <w:p w14:paraId="06BB2AF3">
      <w:pPr>
        <w:pStyle w:val="4"/>
        <w:bidi w:val="0"/>
        <w:rPr>
          <w:rFonts w:hint="eastAsia"/>
          <w:lang w:val="zh-CN"/>
        </w:rPr>
      </w:pPr>
      <w:r>
        <w:rPr>
          <w:rFonts w:hint="eastAsia"/>
          <w:lang w:val="zh-CN"/>
        </w:rPr>
        <w:t>【文艺活动开展】</w:t>
      </w:r>
    </w:p>
    <w:p w14:paraId="215C2F1D">
      <w:pPr>
        <w:bidi w:val="0"/>
        <w:rPr>
          <w:rFonts w:hint="eastAsia"/>
          <w:lang w:val="zh-CN"/>
        </w:rPr>
      </w:pPr>
      <w:r>
        <w:rPr>
          <w:rFonts w:hint="eastAsia"/>
          <w:lang w:val="zh-CN"/>
        </w:rPr>
        <w:t>1月4日，由中共韶关市委宣传部主办、韶关市文化馆承办、南雄市文化馆协办的“中国梦·我的梦文化志愿者送欢乐下基层系列演出活动”在南雄市时代广场和福利院举行。2月17日，文化馆组织群众在雄州公园举办2018年南雄市群众广场文艺演出活动。3月3日至4日，文化馆协助广东京剧艺术促进会赴中央苏区南雄慰问演出经典名剧《秦香莲》，分别在三影塔、珠玑文体广场演出。这是南雄有史以来京剧大戏首次在南雄演出。文化馆组织人员开展送戏下乡文化惠民巡演，从1月至12月到辖区农村行政村演出36场。演出内容以舞蹈、粤北采茶戏为主，其中粤北采茶戏《阿三戏公爷》和采茶戏《钓拐》获得观看村民一致好评。4月28日举办以“中国梦·劳动美”为主题的庆祝“五一”国际劳动节文艺晚会。5月10日，南雄市文化馆文化进企业走进乐华陶瓷文艺演出，演出节目有歌舞、独唱、合唱等，该厂近千名员工观看演出。8月14日到9月底，文化馆组织人员开展戏曲进农村巡演活动，编排地方采茶戏到辖区农村共演出10场。9月8日，南雄市文化馆联合南雄市摄影家协会共同举办以“走进新时代”为主题的摄影采风交流活动。广东省第九届老年人健身运动会开、闭幕式分别于2018年10月17日和11月1日在南雄市体育馆举行，文化馆负责开、闭幕式的文艺演出，涉及演职人员537人，11月1日晚上圆满完成。</w:t>
      </w:r>
    </w:p>
    <w:p w14:paraId="2C0A11DA">
      <w:pPr>
        <w:pStyle w:val="4"/>
        <w:bidi w:val="0"/>
        <w:rPr>
          <w:rFonts w:hint="eastAsia"/>
          <w:lang w:val="zh-CN"/>
        </w:rPr>
      </w:pPr>
      <w:r>
        <w:rPr>
          <w:rFonts w:hint="eastAsia"/>
          <w:lang w:val="zh-CN"/>
        </w:rPr>
        <w:t>【文艺精品创作】</w:t>
      </w:r>
    </w:p>
    <w:p w14:paraId="48A65E31">
      <w:pPr>
        <w:bidi w:val="0"/>
        <w:rPr>
          <w:rFonts w:hint="eastAsia"/>
          <w:lang w:val="zh-CN"/>
        </w:rPr>
      </w:pPr>
      <w:r>
        <w:rPr>
          <w:rFonts w:hint="eastAsia"/>
          <w:lang w:val="zh-CN"/>
        </w:rPr>
        <w:t>2018年，文化馆全力将抓好精品生产繁荣文艺创作作为一项重要任务来落实。11月组织、策划、导演、排练的小戏《醉酒》参加广东省第九届群众戏剧曲艺花会获铜奖；田培、黄文彬创作的歌曲《风度名相》获韶关市群众文艺作品评选音乐类一等奖；李凤梅创作的小品《安然入睡》获韶关市群众文艺作品评选戏剧类一等奖；曾诚、赖昀创作的快板表演唱《美丽乡村是我家》获韶关市群众文艺作品评选曲艺类二等奖；赖昀创作的小品《特殊的生日》获韶关市群众文艺作品评选戏剧类三等奖；李光利创作的小品《一碗鸡汤》获韶关市群众文艺作品评选戏剧类三等奖；黄恢伟创作的小品《升职之后》获韶关市群众文艺作品评选戏剧类三等奖；曾诚创作的音乐快板《放歌乐昌峡礼赞水利人》获韶关市群众文艺作品评选戏曲类三等奖；陈至明创作的小品《拜年》获韶关市群众文艺作品评选戏剧类优秀奖。</w:t>
      </w:r>
    </w:p>
    <w:p w14:paraId="692C942A">
      <w:pPr>
        <w:pStyle w:val="4"/>
        <w:bidi w:val="0"/>
        <w:rPr>
          <w:rFonts w:hint="eastAsia"/>
          <w:lang w:val="zh-CN"/>
        </w:rPr>
      </w:pPr>
      <w:r>
        <w:rPr>
          <w:rFonts w:hint="eastAsia"/>
          <w:lang w:val="zh-CN"/>
        </w:rPr>
        <w:t>【文化交流培训、展览、讲座】</w:t>
      </w:r>
    </w:p>
    <w:p w14:paraId="33F99B3D">
      <w:pPr>
        <w:bidi w:val="0"/>
        <w:rPr>
          <w:rFonts w:hint="eastAsia"/>
          <w:lang w:val="zh-CN"/>
        </w:rPr>
      </w:pPr>
      <w:r>
        <w:rPr>
          <w:rFonts w:hint="eastAsia"/>
          <w:lang w:val="zh-CN"/>
        </w:rPr>
        <w:t>2月1日，为深入学习宣传贯彻党的十九大精神，把乐昌峡水利枢纽管理处广大党员干部职工的思想和行动统一到党的十九大精神上来，全面落实党的十九大作出的决策部署，乐昌峡水利枢纽管理处和文化馆进行《采茶花鼓手牵手——走进乐昌峡文化交流演出》活动。当晚就在文化馆的开场舞《茶韵飘香》中拉开序幕，随后大家都拿出拿手好戏纷纷闪亮登场。有戏曲情景演唱、情景山歌演唱、民俗茶艺和花鼓戏等15个节目。4月18日“粤北采茶戏进校园”在韶关市浈江区实验学校进行。活动中，文化馆的文化志愿者们表演采茶舞蹈《斑鸠调》、粤北采茶戏《阿三戏公爷》和快板《展翅腾飞金凤凰》。开展“粤北采茶戏进校园”活动，旨在通过弘扬传统曲艺文化，让青少年了解更多文化形式，培养对采茶戏兴趣，对校园文化建设起到积极推动作用。</w:t>
      </w:r>
    </w:p>
    <w:p w14:paraId="1B3E793F">
      <w:pPr>
        <w:bidi w:val="0"/>
        <w:rPr>
          <w:rFonts w:hint="eastAsia"/>
          <w:lang w:val="zh-CN"/>
        </w:rPr>
      </w:pPr>
      <w:r>
        <w:rPr>
          <w:rFonts w:hint="eastAsia"/>
          <w:lang w:val="zh-CN"/>
        </w:rPr>
        <w:t>4月19日，南雄文化馆与浈江区文化馆、曲江区文化馆、始兴县文化馆等进行文化交流。其中，在曲江区文化馆举办曲江南雄采茶艺术交流演出，南雄文化馆表演粤北采茶戏《阿三戏公爷》、采茶舞蹈《斑鸠调》，曲江区文化馆表演采茶舞蹈《再唱采茶调》、现代采茶小戏《果香情》、折子戏《钓拐》选段，两地采茶人加强学习，共同传承采茶戏，实现粤北采茶一家亲。</w:t>
      </w:r>
    </w:p>
    <w:p w14:paraId="637B14D0">
      <w:pPr>
        <w:bidi w:val="0"/>
        <w:rPr>
          <w:rFonts w:hint="eastAsia"/>
          <w:lang w:val="zh-CN"/>
        </w:rPr>
      </w:pPr>
      <w:r>
        <w:rPr>
          <w:rFonts w:hint="eastAsia"/>
          <w:lang w:val="zh-CN"/>
        </w:rPr>
        <w:t>文化馆组织专业老师到新城小学为课外兴趣班学生免费培训民乐。免费培训班深受新城小学全校师生的喜爱，较大程度弥补了学校民乐专业教师资源的不足，丰富学生的校园生活，为孩子们搭建展示平台，也促进校园文化发展。文化馆以免费文化进校园的方式，让更多的孩子享受文化所带来的魅力，让群众文化队伍更加强大，共享文化发展的成果。每周二和周四举办成人形体舞培训班一期，通过举办形体舞培训，缓解现代女性在塑造优美形体、培养高雅气质上日益增强的需求，既能达到锻炼目的，又能学到各类舞蹈组合。</w:t>
      </w:r>
    </w:p>
    <w:p w14:paraId="0CA0D6D2">
      <w:pPr>
        <w:bidi w:val="0"/>
        <w:rPr>
          <w:rFonts w:hint="eastAsia"/>
          <w:lang w:val="zh-CN"/>
        </w:rPr>
      </w:pPr>
      <w:r>
        <w:rPr>
          <w:rFonts w:hint="eastAsia"/>
          <w:lang w:val="zh-CN"/>
        </w:rPr>
        <w:t>9月18日，由广东省文化厅、中国艺术研究院指导，广东省艺术研究所、广东粤剧院、中国艺术研究院戏曲研究所联合主办的2018“粤戏越精彩”在广东粤剧艺术中心拉开帷幕。文化馆采茶戏《醉酒》参与“广东优秀现代折子戏展演”演出，并获得专家及观众好评。</w:t>
      </w:r>
    </w:p>
    <w:p w14:paraId="2A4D2C20">
      <w:pPr>
        <w:bidi w:val="0"/>
        <w:rPr>
          <w:rFonts w:hint="eastAsia"/>
          <w:lang w:val="zh-CN"/>
        </w:rPr>
      </w:pPr>
      <w:r>
        <w:rPr>
          <w:rFonts w:hint="eastAsia"/>
          <w:lang w:val="zh-CN"/>
        </w:rPr>
        <w:t>由文化和旅游部艺术司、中共江西省委宣传部、江西省文化厅、抚州市人民政府主办的2018年“茶香中国”首届全国采茶戏汇演，于9月29日至11月14日在江西省抚州市举办，采茶戏《阿三戏公爷》参与汇演。</w:t>
      </w:r>
    </w:p>
    <w:p w14:paraId="5B11B9EC">
      <w:pPr>
        <w:bidi w:val="0"/>
        <w:rPr>
          <w:rFonts w:hint="eastAsia"/>
          <w:lang w:val="zh-CN"/>
        </w:rPr>
      </w:pPr>
      <w:r>
        <w:rPr>
          <w:rFonts w:hint="eastAsia"/>
          <w:lang w:val="zh-CN"/>
        </w:rPr>
        <w:t>11月16日组织、策划、导演、排练的小戏《醉酒》参加广东省第九届群众戏剧曲艺花会获铜奖。</w:t>
      </w:r>
    </w:p>
    <w:p w14:paraId="6DE615AA">
      <w:pPr>
        <w:pStyle w:val="4"/>
        <w:bidi w:val="0"/>
        <w:rPr>
          <w:rFonts w:hint="eastAsia"/>
          <w:lang w:val="zh-CN"/>
        </w:rPr>
      </w:pPr>
      <w:r>
        <w:rPr>
          <w:rFonts w:hint="eastAsia"/>
          <w:lang w:val="zh-CN"/>
        </w:rPr>
        <w:t>【非物质文化遗产保护工作】</w:t>
      </w:r>
    </w:p>
    <w:p w14:paraId="388873C2">
      <w:pPr>
        <w:bidi w:val="0"/>
        <w:rPr>
          <w:rFonts w:hint="eastAsia"/>
          <w:lang w:val="zh-CN"/>
        </w:rPr>
      </w:pPr>
      <w:r>
        <w:rPr>
          <w:rFonts w:hint="eastAsia"/>
          <w:lang w:val="zh-CN"/>
        </w:rPr>
        <w:t>1月23日在珠玑古巷2018年非遗创意大赛调研。1月20日-28日在南雄市广州会馆、珠玑古巷、梅关古道协助拍摄粤北采茶戏、香火龙等非遗项目。1月20日-2月13日在湖口镇罗田村协助恢复湖口镇罗田古兵营舞。2月18日在珠玑古巷南雄市省级非遗项目龙船歌迎春展演。2月27日在百顺镇白竹片村非遗纪录片百顺香火龙拍摄调研。2月28日-30日在南亩镇官田里溪村非遗纪录片南亩茶花灯拍摄。3月3日协助南方日报社在珠玑镇珠玑古巷采访珠玑、雄州镇非物质文化遗产项目拍摄采访，及珠玑龙船歌培训班培训。3月19日在全安镇荷塘村考察南雄非遗项目全安高脚狮。3月21日在广州会馆协助新华社拍摄非物质文化遗产国家级项目采茶戏《阿三戏公爷》。非遗图片展于2018年2月12日—3月3日在南雄市时代广场展出。6月5日上午，由南雄市文化广播电视新闻出版局主办，南雄市文化馆和南雄市博物馆承办的“文化和自然遗产日”大型宣传活动在该市三影塔文化广场举行。本次活动以“多彩非遗，美好生活”为主题，将珍贵的非物质文化遗产带到群众身边。除利用宣传展板展示南雄市文化遗产保护成果外，文化馆工作人员还向市民发放《中华人民共和国非物质文化遗产法》《中华人民共和国文物保护法》宣传册、增加知识问答环节，进行文化遗产宣传，使市民较好地了解非遗保护的丰硕成果，拉近群众与非物质遗产之间的距离，提高人们对非物质文化遗产保护意识，让“文化和自然遗产日”更加深入人心。6月18日，正值传统节日端午佳节，在“广东最美街巷”——珠玑古巷举行民俗“萧统太子的祭祀”巡游活动，内容有抬茅船、唱龙船歌、飘色、太子菩萨等。珠玑镇洋湖村也举办闹端午民间艺术巡游活动，巡游活动有龙舞、狮舞、飘色、迎游茅船、龙船菩萨出游和唱龙船歌等民间艺术，这些具有地方特色的民俗活动其寓意是祈求村庄风调雨顺、村民平安安康。10月1日—3日，文化馆选送《全安高脚狮》《南亩茶花灯》参加在韶关市第二届民间艺术花会巡游及表演，非遗项目《藤制工艺品》《南雄酿豆腐》《南雄板鸭》参加韶关市第二届民间艺术花会的非遗墟市，获得群众好评。</w:t>
      </w:r>
    </w:p>
    <w:p w14:paraId="686ADC34">
      <w:pPr>
        <w:pStyle w:val="3"/>
        <w:bidi w:val="0"/>
        <w:rPr>
          <w:rFonts w:hint="eastAsia"/>
          <w:lang w:val="zh-CN"/>
        </w:rPr>
      </w:pPr>
      <w:r>
        <w:rPr>
          <w:rFonts w:hint="eastAsia"/>
          <w:lang w:val="zh-CN"/>
        </w:rPr>
        <w:t>文化古迹</w:t>
      </w:r>
    </w:p>
    <w:p w14:paraId="10B600A9">
      <w:pPr>
        <w:pStyle w:val="4"/>
        <w:bidi w:val="0"/>
        <w:rPr>
          <w:rFonts w:hint="eastAsia"/>
          <w:lang w:val="zh-CN"/>
        </w:rPr>
      </w:pPr>
      <w:r>
        <w:rPr>
          <w:rFonts w:hint="eastAsia"/>
          <w:lang w:val="zh-CN"/>
        </w:rPr>
        <w:t>【南雄市博物馆】</w:t>
      </w:r>
    </w:p>
    <w:p w14:paraId="4E03B4E2">
      <w:pPr>
        <w:bidi w:val="0"/>
        <w:rPr>
          <w:rFonts w:hint="eastAsia"/>
          <w:lang w:val="zh-CN"/>
        </w:rPr>
      </w:pPr>
      <w:r>
        <w:rPr>
          <w:rFonts w:hint="eastAsia"/>
          <w:lang w:val="zh-CN"/>
        </w:rPr>
        <w:t>南雄市博物馆于1982年成立，馆舍于1985年9月建成并向社会开放陈列展览。现馆舍为拆迁新建馆，2005年建成使用。南雄市博物馆是征集、典藏、陈列代表自然和人类文化遗产的实物的非营利机构，正股级一类事业单位，是历史、自然类综合型博物馆，是国家三级博物馆、韶关市爱国主义教育基地、广东省中共党史教育基地、中国小记者宣传教育采访基地。</w:t>
      </w:r>
    </w:p>
    <w:p w14:paraId="7E8CFD84">
      <w:pPr>
        <w:pStyle w:val="4"/>
        <w:bidi w:val="0"/>
        <w:rPr>
          <w:rFonts w:hint="eastAsia"/>
          <w:lang w:val="zh-CN"/>
        </w:rPr>
      </w:pPr>
      <w:r>
        <w:rPr>
          <w:rFonts w:hint="eastAsia"/>
          <w:lang w:val="zh-CN"/>
        </w:rPr>
        <w:t>【社教工作】</w:t>
      </w:r>
    </w:p>
    <w:p w14:paraId="19AC6C4E">
      <w:pPr>
        <w:bidi w:val="0"/>
        <w:rPr>
          <w:rFonts w:hint="eastAsia"/>
          <w:lang w:val="zh-CN"/>
        </w:rPr>
      </w:pPr>
      <w:r>
        <w:rPr>
          <w:rFonts w:hint="eastAsia"/>
          <w:lang w:val="zh-CN"/>
        </w:rPr>
        <w:t>博物馆有4个固定展览：恐龙化石展、南雄革命史展、南雄民俗历史文化展和奇石展，2018年举办8场临时展览，包括“贯彻党的十九大精神，坚定文化自信2018新春书法展”“学廉洁成语讲传统故事”廉洁主题系列图片展、“广东历史名城—南雄图片展”等。到社区、乡镇和校园开展巡回展览。2018年选择“学廉洁成语讲传统故事”廉洁主题系列图片展和“南雄市第一次全国可移动文物普查图片展”2个优秀展览，开展进校园和下乡镇巡回展出，流动展出35场，参观人数约9万人次。</w:t>
      </w:r>
    </w:p>
    <w:p w14:paraId="1B2EB7ED">
      <w:pPr>
        <w:pStyle w:val="4"/>
        <w:bidi w:val="0"/>
        <w:rPr>
          <w:rFonts w:hint="eastAsia"/>
          <w:lang w:val="zh-CN"/>
        </w:rPr>
      </w:pPr>
      <w:r>
        <w:rPr>
          <w:rFonts w:hint="eastAsia"/>
          <w:lang w:val="zh-CN"/>
        </w:rPr>
        <w:t>【文物保护】</w:t>
      </w:r>
    </w:p>
    <w:p w14:paraId="63213C0B">
      <w:pPr>
        <w:bidi w:val="0"/>
        <w:rPr>
          <w:rFonts w:hint="eastAsia"/>
          <w:lang w:val="zh-CN"/>
        </w:rPr>
      </w:pPr>
      <w:r>
        <w:rPr>
          <w:rFonts w:hint="eastAsia"/>
          <w:lang w:val="zh-CN"/>
        </w:rPr>
        <w:t>完成南粤雄关与古道部分文物修缮工程。南粤雄关与古道部分文物修缮工程于2018年3月开工，2018年12月全面完成。完成第八批广东省文物保护单位水西桥、小竹塔、平林惜字塔、新龙塔测绘工作和“四有”档案的编制工作。完成三影塔保护规划编制方案、南粤雄关与古道保护规划编制和广州会馆保护规划编制最终稿的制定，水西桥修缮方案初稿编制也已完成。完成《广东省南雄市第一次全国可移动文物普查工作报告》编辑和印制工作。《广东省南雄市第一次全国可移动文物普查精品图录（暂定）》已完成编辑，上报韶关有关部门审核。</w:t>
      </w:r>
    </w:p>
    <w:p w14:paraId="424949DE">
      <w:pPr>
        <w:bidi w:val="0"/>
        <w:jc w:val="right"/>
        <w:rPr>
          <w:rFonts w:hint="eastAsia"/>
          <w:b/>
          <w:bCs/>
          <w:lang w:val="zh-CN"/>
        </w:rPr>
      </w:pPr>
      <w:r>
        <w:rPr>
          <w:rFonts w:hint="eastAsia"/>
          <w:b/>
          <w:bCs/>
          <w:lang w:val="zh-CN"/>
        </w:rPr>
        <w:t>（廖</w:t>
      </w:r>
      <w:r>
        <w:rPr>
          <w:rFonts w:hint="eastAsia"/>
          <w:b/>
          <w:bCs/>
          <w:lang w:val="en-US" w:eastAsia="zh-CN"/>
        </w:rPr>
        <w:t xml:space="preserve">  </w:t>
      </w:r>
      <w:r>
        <w:rPr>
          <w:rFonts w:hint="eastAsia"/>
          <w:b/>
          <w:bCs/>
          <w:lang w:val="zh-CN"/>
        </w:rPr>
        <w:t>莎）</w:t>
      </w:r>
    </w:p>
    <w:p w14:paraId="0BAB6B97">
      <w:pPr>
        <w:pStyle w:val="11"/>
        <w:bidi w:val="0"/>
        <w:rPr>
          <w:rFonts w:hint="eastAsia"/>
          <w:b/>
          <w:bCs/>
          <w:lang w:val="zh-CN"/>
        </w:rPr>
      </w:pPr>
      <w:r>
        <w:rPr>
          <w:rFonts w:hint="eastAsia"/>
          <w:b/>
          <w:bCs/>
          <w:lang w:val="zh-CN"/>
        </w:rPr>
        <w:t>附：2018年市文广新局领导班子成员名单</w:t>
      </w:r>
    </w:p>
    <w:p w14:paraId="30867976">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李卫兰</w:t>
      </w:r>
    </w:p>
    <w:p w14:paraId="7513296E">
      <w:pPr>
        <w:pStyle w:val="11"/>
        <w:bidi w:val="0"/>
        <w:rPr>
          <w:rFonts w:hint="eastAsia"/>
          <w:lang w:val="zh-CN"/>
        </w:rPr>
      </w:pPr>
      <w:r>
        <w:rPr>
          <w:rFonts w:hint="eastAsia"/>
          <w:b/>
          <w:bCs/>
          <w:lang w:val="zh-CN"/>
        </w:rPr>
        <w:t>副局长：</w:t>
      </w:r>
      <w:r>
        <w:rPr>
          <w:rFonts w:hint="eastAsia"/>
          <w:lang w:val="zh-CN"/>
        </w:rPr>
        <w:t>何润红</w:t>
      </w:r>
      <w:r>
        <w:rPr>
          <w:rFonts w:hint="eastAsia"/>
          <w:lang w:val="en-US" w:eastAsia="zh-CN"/>
        </w:rPr>
        <w:t xml:space="preserve">   </w:t>
      </w:r>
      <w:r>
        <w:rPr>
          <w:rFonts w:hint="eastAsia"/>
          <w:lang w:val="zh-CN"/>
        </w:rPr>
        <w:t>陈章林</w:t>
      </w:r>
    </w:p>
    <w:p w14:paraId="280C5CED">
      <w:pPr>
        <w:pStyle w:val="11"/>
        <w:bidi w:val="0"/>
        <w:ind w:leftChars="400"/>
        <w:rPr>
          <w:rFonts w:hint="eastAsia"/>
          <w:lang w:val="zh-CN"/>
        </w:rPr>
      </w:pPr>
      <w:r>
        <w:rPr>
          <w:rFonts w:hint="eastAsia"/>
          <w:lang w:val="zh-CN"/>
        </w:rPr>
        <w:t>姚</w:t>
      </w:r>
      <w:r>
        <w:rPr>
          <w:rFonts w:hint="eastAsia"/>
          <w:lang w:val="en-US" w:eastAsia="zh-CN"/>
        </w:rPr>
        <w:t xml:space="preserve">  </w:t>
      </w:r>
      <w:r>
        <w:rPr>
          <w:rFonts w:hint="eastAsia"/>
          <w:lang w:val="zh-CN"/>
        </w:rPr>
        <w:t>璟</w:t>
      </w:r>
    </w:p>
    <w:p w14:paraId="2C17CD3C">
      <w:pPr>
        <w:pStyle w:val="3"/>
        <w:bidi w:val="0"/>
        <w:rPr>
          <w:rFonts w:hint="eastAsia"/>
          <w:lang w:val="zh-CN"/>
        </w:rPr>
      </w:pPr>
      <w:r>
        <w:rPr>
          <w:rFonts w:hint="eastAsia"/>
          <w:lang w:val="zh-CN"/>
        </w:rPr>
        <w:t>广播电视</w:t>
      </w:r>
    </w:p>
    <w:p w14:paraId="643F359E">
      <w:pPr>
        <w:pStyle w:val="4"/>
        <w:bidi w:val="0"/>
        <w:rPr>
          <w:rFonts w:hint="eastAsia"/>
          <w:lang w:val="zh-CN"/>
        </w:rPr>
      </w:pPr>
      <w:r>
        <w:rPr>
          <w:rFonts w:hint="eastAsia"/>
          <w:lang w:val="zh-CN"/>
        </w:rPr>
        <w:t>【概况】</w:t>
      </w:r>
    </w:p>
    <w:p w14:paraId="06E0D012">
      <w:pPr>
        <w:bidi w:val="0"/>
        <w:rPr>
          <w:rFonts w:hint="eastAsia"/>
          <w:lang w:val="zh-CN"/>
        </w:rPr>
      </w:pPr>
      <w:r>
        <w:rPr>
          <w:rFonts w:hint="eastAsia"/>
          <w:lang w:val="zh-CN"/>
        </w:rPr>
        <w:t>南雄市广播电视局于1983年成立，前身是南雄县广播站；2005年5月，根据文化广播电视体制改革的精神，取消南雄市广播电视局，将原南雄市广播电视局下属的南雄人民广播电台、南雄电视台、南雄市有线电视台、南雄市微波发射中心4个机构合并，重新组建南雄市广播电视台；2015年5月，完成广电网络改革重组工作，实现台网分离，广电网络业务由省广播电视网络股份有限公司管理。</w:t>
      </w:r>
    </w:p>
    <w:p w14:paraId="3949BB6B">
      <w:pPr>
        <w:bidi w:val="0"/>
        <w:rPr>
          <w:rFonts w:hint="eastAsia"/>
          <w:lang w:val="zh-CN"/>
        </w:rPr>
      </w:pPr>
      <w:r>
        <w:rPr>
          <w:rFonts w:hint="eastAsia"/>
          <w:lang w:val="zh-CN"/>
        </w:rPr>
        <w:t>南雄市广播电视台内设8个机构：办公室、财务部、新闻中心、总编室、广告部、播出部、技术部、无线发射台。编制人数61人，现在职人员54人，退休人员25人。</w:t>
      </w:r>
    </w:p>
    <w:p w14:paraId="673DE637">
      <w:pPr>
        <w:pStyle w:val="4"/>
        <w:bidi w:val="0"/>
        <w:rPr>
          <w:rFonts w:hint="eastAsia"/>
          <w:lang w:val="zh-CN"/>
        </w:rPr>
      </w:pPr>
      <w:r>
        <w:rPr>
          <w:rFonts w:hint="eastAsia"/>
          <w:lang w:val="zh-CN"/>
        </w:rPr>
        <w:t>【新闻宣传】</w:t>
      </w:r>
    </w:p>
    <w:p w14:paraId="00CC02EE">
      <w:pPr>
        <w:bidi w:val="0"/>
        <w:rPr>
          <w:rFonts w:hint="eastAsia"/>
          <w:lang w:val="zh-CN"/>
        </w:rPr>
      </w:pPr>
      <w:r>
        <w:rPr>
          <w:rFonts w:hint="eastAsia"/>
          <w:lang w:val="zh-CN"/>
        </w:rPr>
        <w:t>2018年，坚持办好本台《南雄新闻》，同时积极开辟专栏，加大新闻上送力度和精品创作。全年广播电台、电视台分别播出稿件2911条和2214条。上送韶关广播电台、电视台播出稿件数分别为467条和602条。新闻宣传工作继续走在韶关各县市（区）前列。</w:t>
      </w:r>
    </w:p>
    <w:p w14:paraId="6EFDAF71">
      <w:pPr>
        <w:bidi w:val="0"/>
        <w:rPr>
          <w:rFonts w:hint="eastAsia"/>
          <w:lang w:val="zh-CN"/>
        </w:rPr>
      </w:pPr>
      <w:r>
        <w:rPr>
          <w:rFonts w:hint="eastAsia"/>
          <w:lang w:val="zh-CN"/>
        </w:rPr>
        <w:t>创新宣传方式，组织开办《学习贯彻党的十九大精神》《学习贯彻习近平重要讲话精神》《学习贯彻落实习近平总书记视察广东重要讲话精神》《开展扫黑除恶建设平安南雄》《城乡建设惠民生》《新时代的奋斗者》《南雄新风尚·我们的节日》《老健会·每日赛讯》等多档专栏；发挥主流媒体作用，为南雄振兴发展加油助力。</w:t>
      </w:r>
    </w:p>
    <w:p w14:paraId="52DBB8C2">
      <w:pPr>
        <w:pStyle w:val="4"/>
        <w:bidi w:val="0"/>
        <w:rPr>
          <w:rFonts w:hint="eastAsia"/>
          <w:lang w:val="zh-CN"/>
        </w:rPr>
      </w:pPr>
      <w:r>
        <w:rPr>
          <w:rFonts w:hint="eastAsia"/>
          <w:lang w:val="zh-CN"/>
        </w:rPr>
        <w:t>【广告宣传】</w:t>
      </w:r>
    </w:p>
    <w:p w14:paraId="72CAA460">
      <w:pPr>
        <w:bidi w:val="0"/>
        <w:rPr>
          <w:rFonts w:hint="eastAsia"/>
          <w:lang w:val="zh-CN"/>
        </w:rPr>
      </w:pPr>
      <w:r>
        <w:rPr>
          <w:rFonts w:hint="eastAsia"/>
          <w:lang w:val="zh-CN"/>
        </w:rPr>
        <w:t>商业广告2018年在稳定康绿宝、金友公司、雄州壹品等大客户前提下，积极上门服务，攻破新汇房产、美居建材、周大生珠宝、邓坊泉水谷漂流等重点客户，完成广告创收，为全台经济工作稳定起到积极作用。</w:t>
      </w:r>
    </w:p>
    <w:p w14:paraId="3F9B8FDA">
      <w:pPr>
        <w:bidi w:val="0"/>
        <w:rPr>
          <w:rFonts w:hint="eastAsia"/>
          <w:lang w:val="zh-CN"/>
        </w:rPr>
      </w:pPr>
      <w:r>
        <w:rPr>
          <w:rFonts w:hint="eastAsia"/>
          <w:lang w:val="zh-CN"/>
        </w:rPr>
        <w:t>公益广告安排公益广告播出，南雄综合频道和公共频道每天播放的公益广告共计播放32条，保护环境类50次/天，讲文明树新风类36次/天，廉政类48次/天，保护未成年类18次/天，交通安全类24次/天，防灾减灾类18次/天，消防安全类42次/天，全年播出条次为8.61万次。</w:t>
      </w:r>
    </w:p>
    <w:p w14:paraId="3E4A46CA">
      <w:pPr>
        <w:pStyle w:val="4"/>
        <w:bidi w:val="0"/>
        <w:rPr>
          <w:rFonts w:hint="eastAsia"/>
          <w:lang w:val="zh-CN"/>
        </w:rPr>
      </w:pPr>
      <w:r>
        <w:rPr>
          <w:rFonts w:hint="eastAsia"/>
          <w:lang w:val="zh-CN"/>
        </w:rPr>
        <w:t>【栏目宣传】</w:t>
      </w:r>
    </w:p>
    <w:p w14:paraId="70670388">
      <w:pPr>
        <w:bidi w:val="0"/>
        <w:rPr>
          <w:rFonts w:hint="eastAsia"/>
          <w:lang w:val="zh-CN"/>
        </w:rPr>
      </w:pPr>
      <w:r>
        <w:rPr>
          <w:rFonts w:hint="eastAsia"/>
          <w:lang w:val="zh-CN"/>
        </w:rPr>
        <w:t>电视台成立栏目部，主动服务对接跟踪好栏目主体单位，开设在播栏目《精准扶贫在行动》《建设美丽乡村》《法治在线》《与安全同行》《警务报道》《绿色家园》《病虫测报》等16个栏目，其中《建设美丽乡村》《法治在线》《恐龙之声》《电商平台促创业》为新开设栏目。全年采拍播出栏目51期。总体运作平稳有序，实现栏目创收145万元。2018年11月，新签订《中医与健康》《红色印记》《畜牧防疫》等栏目。</w:t>
      </w:r>
    </w:p>
    <w:p w14:paraId="6A798427">
      <w:pPr>
        <w:pStyle w:val="4"/>
        <w:bidi w:val="0"/>
        <w:rPr>
          <w:rFonts w:hint="eastAsia"/>
          <w:lang w:val="zh-CN"/>
        </w:rPr>
      </w:pPr>
      <w:r>
        <w:rPr>
          <w:rFonts w:hint="eastAsia"/>
          <w:lang w:val="zh-CN"/>
        </w:rPr>
        <w:t>【新媒体宣传】</w:t>
      </w:r>
    </w:p>
    <w:p w14:paraId="7DC7B89C">
      <w:pPr>
        <w:bidi w:val="0"/>
        <w:rPr>
          <w:rFonts w:hint="eastAsia"/>
          <w:lang w:val="zh-CN"/>
        </w:rPr>
      </w:pPr>
      <w:r>
        <w:rPr>
          <w:rFonts w:hint="eastAsia"/>
          <w:lang w:val="zh-CN"/>
        </w:rPr>
        <w:t>积极发挥主流媒体优势，加大媒体融合力度，积极开拓新媒体市场。同时发挥本台微信公众号的优势和特点，对重点新闻稿件进行再加工，一系列主题报道和重大报道都进行二次传播，形成立体化宣传格局，取得明显宣传成效。2018年，微信“粉丝”关注量达到3.6万多人，全年发布微信2400多条，“打开微信看南雄”成了广大市民的一种新时尚，同时也成了展示南雄形象、宣传推介南雄的又一平台。其中微信推文《央视〈中国影像方志〉南雄篇完整版视频来了，引爆全国！》一经发布，通过多方转发，深受用户关注，引起极大反响，文章阅读量达到4.8万多，创“南雄市广播电视台”微信公众号阅读量的历史新高。微信推文采用“视频+文字+图片”方式制作文章内容，很好地对接新媒体发展融合，多件新媒体作品获韶关市委宣传部、韶关市广播电视台、韶关新闻协会奖励与表彰。</w:t>
      </w:r>
    </w:p>
    <w:p w14:paraId="33D03173">
      <w:pPr>
        <w:pStyle w:val="4"/>
        <w:bidi w:val="0"/>
        <w:rPr>
          <w:rFonts w:hint="eastAsia"/>
          <w:lang w:val="zh-CN"/>
        </w:rPr>
      </w:pPr>
      <w:r>
        <w:rPr>
          <w:rFonts w:hint="eastAsia"/>
          <w:lang w:val="zh-CN"/>
        </w:rPr>
        <w:t>【融媒体中心建设】</w:t>
      </w:r>
    </w:p>
    <w:p w14:paraId="6B6DD34D">
      <w:pPr>
        <w:bidi w:val="0"/>
        <w:rPr>
          <w:rFonts w:hint="eastAsia"/>
          <w:lang w:val="zh-CN"/>
        </w:rPr>
      </w:pPr>
      <w:r>
        <w:rPr>
          <w:rFonts w:hint="eastAsia"/>
          <w:lang w:val="zh-CN"/>
        </w:rPr>
        <w:t>12月7日，南雄市融媒体中心在广播电视台举行揭牌仪式，标志着南雄市新闻宣传和融媒体中心建设进入新发展阶段，成为韶关各县市区首批揭牌单位。</w:t>
      </w:r>
    </w:p>
    <w:p w14:paraId="560CA2A4">
      <w:pPr>
        <w:pStyle w:val="4"/>
        <w:bidi w:val="0"/>
        <w:rPr>
          <w:rFonts w:hint="eastAsia"/>
          <w:lang w:val="zh-CN"/>
        </w:rPr>
      </w:pPr>
      <w:r>
        <w:rPr>
          <w:rFonts w:hint="eastAsia"/>
          <w:lang w:val="zh-CN"/>
        </w:rPr>
        <w:t>【获得荣誉】</w:t>
      </w:r>
    </w:p>
    <w:p w14:paraId="7F82BD5B">
      <w:pPr>
        <w:bidi w:val="0"/>
        <w:rPr>
          <w:rFonts w:hint="eastAsia"/>
          <w:lang w:val="zh-CN"/>
        </w:rPr>
      </w:pPr>
      <w:r>
        <w:rPr>
          <w:rFonts w:hint="eastAsia"/>
          <w:b/>
          <w:bCs/>
          <w:lang w:val="zh-CN"/>
        </w:rPr>
        <w:t>2018年度广东省广播电视县级获奖作品</w:t>
      </w:r>
      <w:r>
        <w:rPr>
          <w:rFonts w:hint="eastAsia"/>
          <w:b/>
          <w:bCs/>
          <w:lang w:val="en-US" w:eastAsia="zh-CN"/>
        </w:rPr>
        <w:t xml:space="preserve">   </w:t>
      </w:r>
      <w:r>
        <w:rPr>
          <w:rFonts w:hint="eastAsia"/>
          <w:lang w:val="zh-CN"/>
        </w:rPr>
        <w:t>一等奖：电视消息《张屋村“三变”改革村民收租分红当股东》（主创人员：蓝惠娟、李莹莹、刘文斌、王丹、杨余波）、电视专题片《“深山”里的第一书记》（吴荧屏、李英坚、刘文斌、王丹、蓝惠娟）；二等奖：电视短消息《省首个竣工垦造水田项目：昔日荒坡地今日千亩“粮仓”》（主创人员：刘文斌、郭秀红、陈思茜、叶志平、王丹）；三等奖：广播长消息《官陂村创办扶贫车间不让一位贫困残疾人掉队》（主创人员：黄金华、何小红、李英坚、陈祖福）、微信公众号推文《〈中国影像方志〉南雄篇系列作品》（主创人员：潘文玉、李宁）。</w:t>
      </w:r>
    </w:p>
    <w:p w14:paraId="3018258F">
      <w:pPr>
        <w:bidi w:val="0"/>
        <w:rPr>
          <w:rFonts w:hint="eastAsia"/>
          <w:lang w:val="zh-CN"/>
        </w:rPr>
      </w:pPr>
      <w:r>
        <w:rPr>
          <w:rFonts w:hint="eastAsia"/>
          <w:b/>
          <w:bCs/>
          <w:lang w:val="zh-CN"/>
        </w:rPr>
        <w:t>2018年度韶关市广播电视节目奖评选获奖作品</w:t>
      </w:r>
      <w:r>
        <w:rPr>
          <w:rFonts w:hint="eastAsia"/>
          <w:b/>
          <w:bCs/>
          <w:lang w:val="en-US" w:eastAsia="zh-CN"/>
        </w:rPr>
        <w:t xml:space="preserve">   </w:t>
      </w:r>
      <w:r>
        <w:rPr>
          <w:rFonts w:hint="eastAsia"/>
          <w:lang w:val="zh-CN"/>
        </w:rPr>
        <w:t>一等奖：长消息《官陂村创办扶贫车间不让一位贫困残疾人掉队》（主创人员：何小红、陈祖福、刘伊芸、郭秀红）；电视作品《张屋村“三变”改革村民收租分红当股东》（主创人员：蓝惠娟、李莹莹、刘文斌、杨余波、王丹）；二等奖：电视短消息《省首个竣工垦造水田项目：昔日荒坡地今日千亩“粮仓”》（主创人员：刘文斌、郭秀红、陈思茜、叶志平、王丹）、公益广告长作品《南雄一分钟》（主创人员：董玮李宁潘文玉胡正升）、微信公众号推文《〈中国影像方志〉南雄篇系列作品》（主创人员：潘文玉、李宁）；三等奖：广播系列报道《庆祝改革开放四十年》（主创人员：黄金华、何小红、李英坚、陈祖福）、广播新闻专题《港珠澳大桥“建设功臣”张宝兰》（黄金华、何小红、吴荧屏、刘文斌）、电视长消息《危旧农房变股金村民助力古巷改造升级》（主创人员：邓进前、李英坚、叶健富、李莹莹、马嘉爽）、电视系列报道《古道新村”系列（三集）》（主创人员：蓝惠娟吴荧屏李英坚叶健富王丹马嘉爽）、电视新闻评论《舆论声讨中的珠玑纸业，何去何从？》（主创人员：蓝惠娟吴荧屏杨余波邓进前陈祖福）、电视专题片《“深山”里的第一书记》（吴荧屏、李英坚、刘文斌、王丹）。</w:t>
      </w:r>
    </w:p>
    <w:p w14:paraId="0B1EAD6B">
      <w:pPr>
        <w:bidi w:val="0"/>
        <w:rPr>
          <w:rFonts w:hint="eastAsia"/>
          <w:lang w:val="zh-CN"/>
        </w:rPr>
      </w:pPr>
      <w:r>
        <w:rPr>
          <w:rFonts w:hint="eastAsia"/>
          <w:b/>
          <w:bCs/>
          <w:lang w:val="zh-CN"/>
        </w:rPr>
        <w:t>2018年度韶关市好新闻作品</w:t>
      </w:r>
      <w:r>
        <w:rPr>
          <w:rFonts w:hint="eastAsia"/>
          <w:b/>
          <w:bCs/>
          <w:lang w:val="en-US" w:eastAsia="zh-CN"/>
        </w:rPr>
        <w:t xml:space="preserve">   </w:t>
      </w:r>
      <w:r>
        <w:rPr>
          <w:rFonts w:hint="eastAsia"/>
          <w:lang w:val="zh-CN"/>
        </w:rPr>
        <w:t>一等奖：电视作品《张屋村“三变”改革村民收租分红当股东》（主创人员：李莹莹、刘文斌、李英坚、王丹）。</w:t>
      </w:r>
    </w:p>
    <w:p w14:paraId="4023A972">
      <w:pPr>
        <w:bidi w:val="0"/>
        <w:rPr>
          <w:rFonts w:hint="eastAsia"/>
          <w:lang w:val="zh-CN"/>
        </w:rPr>
      </w:pPr>
      <w:r>
        <w:rPr>
          <w:rFonts w:hint="eastAsia"/>
          <w:lang w:val="zh-CN"/>
        </w:rPr>
        <w:t>2</w:t>
      </w:r>
      <w:r>
        <w:rPr>
          <w:rFonts w:hint="eastAsia"/>
          <w:b/>
          <w:bCs/>
          <w:lang w:val="zh-CN"/>
        </w:rPr>
        <w:t>018年度韶关市优秀融合作品</w:t>
      </w:r>
      <w:r>
        <w:rPr>
          <w:rFonts w:hint="eastAsia"/>
          <w:b/>
          <w:bCs/>
          <w:lang w:val="en-US" w:eastAsia="zh-CN"/>
        </w:rPr>
        <w:t xml:space="preserve">   </w:t>
      </w:r>
      <w:r>
        <w:rPr>
          <w:rFonts w:hint="eastAsia"/>
          <w:lang w:val="zh-CN"/>
        </w:rPr>
        <w:t>一等奖：微信公众号推文《〈中国影像方志〉南雄篇系列作品》（主创人员：蓝惠娟、潘文玉）。</w:t>
      </w:r>
    </w:p>
    <w:p w14:paraId="1A1AC769">
      <w:pPr>
        <w:bidi w:val="0"/>
        <w:rPr>
          <w:rFonts w:hint="eastAsia"/>
          <w:lang w:val="zh-CN"/>
        </w:rPr>
      </w:pPr>
      <w:r>
        <w:rPr>
          <w:rFonts w:hint="eastAsia"/>
          <w:b/>
          <w:bCs/>
          <w:lang w:val="zh-CN"/>
        </w:rPr>
        <w:t>个人奖项</w:t>
      </w:r>
      <w:r>
        <w:rPr>
          <w:rFonts w:hint="eastAsia"/>
          <w:b/>
          <w:bCs/>
          <w:lang w:val="en-US" w:eastAsia="zh-CN"/>
        </w:rPr>
        <w:t xml:space="preserve">   </w:t>
      </w:r>
      <w:r>
        <w:rPr>
          <w:rFonts w:hint="eastAsia"/>
          <w:lang w:val="zh-CN"/>
        </w:rPr>
        <w:t>李英坚获得韶关“工匠精神”先进个人；吴荧屏获得韶关市“优秀新闻工作者”；邓进前、杨余波获得省第九届老年人体育健身大会优秀个人；李莹莹获得南雄市第五届姓氏文化节先进个人；马嘉爽《南雄新闻》在2018年度客家地区广播电视播音主持作品，获电视类播音作品三等奖；杨余波《南雄新闻》电视播音获2018年度韶关市广播电视节目奖三等奖。</w:t>
      </w:r>
    </w:p>
    <w:p w14:paraId="450FFE98">
      <w:pPr>
        <w:bidi w:val="0"/>
        <w:rPr>
          <w:rFonts w:hint="eastAsia"/>
          <w:lang w:val="zh-CN"/>
        </w:rPr>
      </w:pPr>
      <w:r>
        <w:rPr>
          <w:rFonts w:hint="eastAsia"/>
          <w:b/>
          <w:bCs/>
          <w:lang w:val="zh-CN"/>
        </w:rPr>
        <w:t>其他</w:t>
      </w:r>
      <w:r>
        <w:rPr>
          <w:rFonts w:hint="eastAsia"/>
          <w:b/>
          <w:bCs/>
          <w:lang w:val="en-US" w:eastAsia="zh-CN"/>
        </w:rPr>
        <w:t xml:space="preserve">   </w:t>
      </w:r>
      <w:r>
        <w:rPr>
          <w:rFonts w:hint="eastAsia"/>
          <w:lang w:val="zh-CN"/>
        </w:rPr>
        <w:t>电视专题片《初心》获国家烟草行业一等奖；电视专题片《“深山”里的第一书记》获韶关组织部门电教片评比一等奖；微信公众号推文《南雄庆祝首届“中国农民丰收节”，错过现场的你一定不要错过看这里……》获韶关市首届“中国农民丰收节”暨生态农业博览会优秀新媒体作品二等奖。</w:t>
      </w:r>
    </w:p>
    <w:p w14:paraId="51AA6B42">
      <w:pPr>
        <w:pStyle w:val="4"/>
        <w:bidi w:val="0"/>
        <w:rPr>
          <w:rFonts w:hint="eastAsia"/>
          <w:lang w:val="zh-CN"/>
        </w:rPr>
      </w:pPr>
      <w:r>
        <w:rPr>
          <w:rFonts w:hint="eastAsia"/>
          <w:lang w:val="zh-CN"/>
        </w:rPr>
        <w:t>【安全播出】</w:t>
      </w:r>
    </w:p>
    <w:p w14:paraId="0340077C">
      <w:pPr>
        <w:bidi w:val="0"/>
        <w:rPr>
          <w:rFonts w:hint="eastAsia"/>
          <w:lang w:val="zh-CN"/>
        </w:rPr>
      </w:pPr>
      <w:r>
        <w:rPr>
          <w:rFonts w:hint="eastAsia"/>
          <w:lang w:val="zh-CN"/>
        </w:rPr>
        <w:t>圆满完成2018年春节、十三届中国人大一次会议、2018年上合峰会、2018年国庆期间等重要保障期的安全播出任务。全年实现“零事故”安全播出目标。</w:t>
      </w:r>
    </w:p>
    <w:p w14:paraId="45149588">
      <w:pPr>
        <w:pStyle w:val="4"/>
        <w:bidi w:val="0"/>
        <w:rPr>
          <w:rFonts w:hint="eastAsia"/>
          <w:lang w:val="zh-CN"/>
        </w:rPr>
      </w:pPr>
      <w:r>
        <w:rPr>
          <w:rFonts w:hint="eastAsia"/>
          <w:lang w:val="zh-CN"/>
        </w:rPr>
        <w:t>【党建工作】</w:t>
      </w:r>
    </w:p>
    <w:p w14:paraId="27EED07C">
      <w:pPr>
        <w:bidi w:val="0"/>
        <w:rPr>
          <w:rFonts w:hint="eastAsia"/>
          <w:lang w:val="zh-CN"/>
        </w:rPr>
      </w:pPr>
      <w:r>
        <w:rPr>
          <w:rFonts w:hint="eastAsia"/>
          <w:lang w:val="zh-CN"/>
        </w:rPr>
        <w:t>加强组织建设，3月5日进行支部改选，明确各个支部委员职责分工，同时指定一名台领导分管党建工作，确保党建工作专人负责；组织党员参观始兴红色革命遗址中共广东省委粤北省委旧址（红围），参观信丰县油山镇赣粤边游击战争旧址。</w:t>
      </w:r>
    </w:p>
    <w:p w14:paraId="2F77A70C">
      <w:pPr>
        <w:pStyle w:val="4"/>
        <w:bidi w:val="0"/>
        <w:rPr>
          <w:rFonts w:hint="eastAsia"/>
          <w:lang w:val="zh-CN"/>
        </w:rPr>
      </w:pPr>
      <w:r>
        <w:rPr>
          <w:rFonts w:hint="eastAsia"/>
          <w:lang w:val="zh-CN"/>
        </w:rPr>
        <w:t>【栏目设置】</w:t>
      </w:r>
    </w:p>
    <w:p w14:paraId="41C9DCB4">
      <w:pPr>
        <w:bidi w:val="0"/>
        <w:rPr>
          <w:rFonts w:hint="eastAsia"/>
          <w:lang w:val="zh-CN"/>
        </w:rPr>
      </w:pPr>
      <w:r>
        <w:rPr>
          <w:rFonts w:hint="eastAsia"/>
          <w:lang w:val="zh-CN"/>
        </w:rPr>
        <w:t>2018年固定栏目有《南雄新闻》《法治在线》《恐龙之声》《精准扶贫在行动》《建设美丽乡村》《电与生活》《健康在线》《食品药品安全播报》《税务之窗》《病虫测报》《绿色家园》《警务报道》《乡贤风采》《与安全同行》《电商平台促创业》《红色印记》《卫计前沿》《民生水务》，以及《学习贯彻党的十九大精神》《学习贯彻习近平重要讲话精神》《学习贯彻落实习近平总书记视察广东重要讲话精神》《开展扫黑除恶建设平安南雄》《城乡建设惠民生》《新时代的奋斗者》《南雄新风尚·我们的节日》《老健会·每日赛讯》等专栏。</w:t>
      </w:r>
    </w:p>
    <w:p w14:paraId="0C5DA292">
      <w:pPr>
        <w:bidi w:val="0"/>
        <w:jc w:val="right"/>
        <w:rPr>
          <w:rFonts w:hint="eastAsia"/>
          <w:b/>
          <w:bCs/>
          <w:lang w:val="zh-CN"/>
        </w:rPr>
      </w:pPr>
      <w:r>
        <w:rPr>
          <w:rFonts w:hint="eastAsia"/>
          <w:b/>
          <w:bCs/>
          <w:lang w:val="zh-CN"/>
        </w:rPr>
        <w:t>（刘伊芸）</w:t>
      </w:r>
    </w:p>
    <w:p w14:paraId="05A45091">
      <w:pPr>
        <w:pStyle w:val="11"/>
        <w:bidi w:val="0"/>
        <w:rPr>
          <w:rFonts w:hint="eastAsia"/>
          <w:b/>
          <w:bCs/>
          <w:lang w:val="zh-CN"/>
        </w:rPr>
      </w:pPr>
      <w:r>
        <w:rPr>
          <w:rFonts w:hint="eastAsia"/>
          <w:b/>
          <w:bCs/>
          <w:lang w:val="zh-CN"/>
        </w:rPr>
        <w:t>附：2018年市广播电视台领导班子成员名单</w:t>
      </w:r>
    </w:p>
    <w:p w14:paraId="63F8A164">
      <w:pPr>
        <w:pStyle w:val="11"/>
        <w:bidi w:val="0"/>
        <w:rPr>
          <w:rFonts w:hint="eastAsia"/>
          <w:lang w:val="zh-CN"/>
        </w:rPr>
      </w:pPr>
      <w:r>
        <w:rPr>
          <w:rFonts w:hint="eastAsia"/>
          <w:b/>
          <w:bCs/>
          <w:lang w:val="zh-CN"/>
        </w:rPr>
        <w:t>台</w:t>
      </w:r>
      <w:r>
        <w:rPr>
          <w:rFonts w:hint="eastAsia"/>
          <w:b/>
          <w:bCs/>
          <w:lang w:val="en-US" w:eastAsia="zh-CN"/>
        </w:rPr>
        <w:t xml:space="preserve">    </w:t>
      </w:r>
      <w:r>
        <w:rPr>
          <w:rFonts w:hint="eastAsia"/>
          <w:b/>
          <w:bCs/>
          <w:lang w:val="zh-CN"/>
        </w:rPr>
        <w:t>长：</w:t>
      </w:r>
      <w:r>
        <w:rPr>
          <w:rFonts w:hint="eastAsia"/>
          <w:lang w:val="zh-CN"/>
        </w:rPr>
        <w:t>孔令平</w:t>
      </w:r>
    </w:p>
    <w:p w14:paraId="1009F6A1">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台</w:t>
      </w:r>
      <w:r>
        <w:rPr>
          <w:rFonts w:hint="eastAsia"/>
          <w:b/>
          <w:bCs/>
          <w:lang w:val="en-US" w:eastAsia="zh-CN"/>
        </w:rPr>
        <w:t xml:space="preserve"> </w:t>
      </w:r>
      <w:r>
        <w:rPr>
          <w:rFonts w:hint="eastAsia"/>
          <w:b/>
          <w:bCs/>
          <w:lang w:val="zh-CN"/>
        </w:rPr>
        <w:t>长：</w:t>
      </w:r>
      <w:r>
        <w:rPr>
          <w:rFonts w:hint="eastAsia"/>
          <w:lang w:val="zh-CN"/>
        </w:rPr>
        <w:t>刘</w:t>
      </w:r>
      <w:r>
        <w:rPr>
          <w:rFonts w:hint="eastAsia"/>
          <w:lang w:val="en-US" w:eastAsia="zh-CN"/>
        </w:rPr>
        <w:t xml:space="preserve">  </w:t>
      </w:r>
      <w:r>
        <w:rPr>
          <w:rFonts w:hint="eastAsia"/>
          <w:lang w:val="zh-CN"/>
        </w:rPr>
        <w:t>勇（任至3月）</w:t>
      </w:r>
    </w:p>
    <w:p w14:paraId="5DB633D8">
      <w:pPr>
        <w:pStyle w:val="11"/>
        <w:bidi w:val="0"/>
        <w:ind w:leftChars="500"/>
        <w:rPr>
          <w:rFonts w:hint="eastAsia"/>
          <w:lang w:val="zh-CN"/>
        </w:rPr>
      </w:pPr>
      <w:r>
        <w:rPr>
          <w:rFonts w:hint="eastAsia"/>
          <w:lang w:val="zh-CN"/>
        </w:rPr>
        <w:t>蓝惠娟</w:t>
      </w:r>
    </w:p>
    <w:p w14:paraId="6F1DDB30">
      <w:pPr>
        <w:pStyle w:val="11"/>
        <w:bidi w:val="0"/>
        <w:ind w:leftChars="500"/>
        <w:rPr>
          <w:rFonts w:hint="eastAsia"/>
          <w:lang w:val="zh-CN"/>
        </w:rPr>
      </w:pPr>
      <w:r>
        <w:rPr>
          <w:rFonts w:hint="eastAsia"/>
          <w:lang w:val="zh-CN"/>
        </w:rPr>
        <w:t>刘秀萍</w:t>
      </w:r>
    </w:p>
    <w:p w14:paraId="56FD2FDE">
      <w:pPr>
        <w:pStyle w:val="11"/>
        <w:bidi w:val="0"/>
        <w:ind w:leftChars="500"/>
        <w:rPr>
          <w:rFonts w:hint="eastAsia"/>
          <w:lang w:val="zh-CN"/>
        </w:rPr>
      </w:pPr>
      <w:r>
        <w:rPr>
          <w:rFonts w:hint="eastAsia"/>
          <w:lang w:val="zh-CN"/>
        </w:rPr>
        <w:t>董</w:t>
      </w:r>
      <w:r>
        <w:rPr>
          <w:rFonts w:hint="eastAsia"/>
          <w:lang w:val="en-US" w:eastAsia="zh-CN"/>
        </w:rPr>
        <w:t xml:space="preserve">  </w:t>
      </w:r>
      <w:r>
        <w:rPr>
          <w:rFonts w:hint="eastAsia"/>
          <w:lang w:val="zh-CN"/>
        </w:rPr>
        <w:t>玮（3月任职）</w:t>
      </w:r>
    </w:p>
    <w:p w14:paraId="085A8451">
      <w:pPr>
        <w:pStyle w:val="11"/>
        <w:bidi w:val="0"/>
        <w:rPr>
          <w:rFonts w:hint="eastAsia"/>
          <w:lang w:val="zh-CN"/>
        </w:rPr>
      </w:pPr>
      <w:r>
        <w:rPr>
          <w:rFonts w:hint="eastAsia"/>
          <w:b/>
          <w:bCs/>
          <w:lang w:val="zh-CN"/>
        </w:rPr>
        <w:t>工会主席：</w:t>
      </w:r>
      <w:r>
        <w:rPr>
          <w:rFonts w:hint="eastAsia"/>
          <w:lang w:val="zh-CN"/>
        </w:rPr>
        <w:t>廖跃梅</w:t>
      </w:r>
    </w:p>
    <w:p w14:paraId="6E2DCFB2">
      <w:pPr>
        <w:pStyle w:val="3"/>
        <w:bidi w:val="0"/>
        <w:rPr>
          <w:rFonts w:hint="eastAsia"/>
          <w:lang w:val="zh-CN"/>
        </w:rPr>
      </w:pPr>
      <w:r>
        <w:rPr>
          <w:rFonts w:hint="eastAsia"/>
          <w:lang w:val="zh-CN"/>
        </w:rPr>
        <w:t>旅游</w:t>
      </w:r>
    </w:p>
    <w:p w14:paraId="47E1FDC2">
      <w:pPr>
        <w:pStyle w:val="4"/>
        <w:bidi w:val="0"/>
        <w:rPr>
          <w:rFonts w:hint="eastAsia"/>
          <w:lang w:val="zh-CN"/>
        </w:rPr>
      </w:pPr>
      <w:r>
        <w:rPr>
          <w:rFonts w:hint="eastAsia"/>
          <w:lang w:val="zh-CN"/>
        </w:rPr>
        <w:t>【概况】</w:t>
      </w:r>
    </w:p>
    <w:p w14:paraId="6EF86FCC">
      <w:pPr>
        <w:bidi w:val="0"/>
        <w:rPr>
          <w:rFonts w:hint="eastAsia"/>
          <w:lang w:val="zh-CN"/>
        </w:rPr>
      </w:pPr>
      <w:r>
        <w:rPr>
          <w:rFonts w:hint="eastAsia"/>
          <w:lang w:val="zh-CN"/>
        </w:rPr>
        <w:t>南雄市旅游局为市人民政府工作部门，正科级，设办公室、行业管理股、市场监督管理股3个职能股室。行政编制6名。其中局长1名、副局长3名；正科级领导职数1名、副科级领导职数3名。后勤服务人员1名。根据《关于收回各有关市直机关纪检组编制的通知》（雄编〔2017〕29号），收回相应编制，实行人随编走原则，收回1名人员编制后，2018年实际行政编制6名。其中局长1名、副局长2名；正科级领导职数1名、副科级领导职数3名。后勤服务人员1名。根据《关于印发〈南雄市旅游发展服务中心机构编制方案〉的通知》（雄编〔2015〕37号），设立南雄市旅游发展服务中心，为市旅游局管理的公益一类事业单位，事业编制4名。其中主任1名。根据《关于同意市旅游局发展服务中心增挂旅游信息中心牌子的批复》（雄编〔2017〕5号），增加旅游发展服务中心事业编制2名，增加后旅游发展服务中心有事业编制6名。2018年，全市接待游客499.67万人次，同比增长8.93%；实现旅游总收入36.15亿元，同比增长12.35%。</w:t>
      </w:r>
    </w:p>
    <w:p w14:paraId="1721FE4C">
      <w:pPr>
        <w:bidi w:val="0"/>
        <w:rPr>
          <w:rFonts w:hint="eastAsia"/>
          <w:lang w:val="zh-CN"/>
        </w:rPr>
      </w:pPr>
      <w:r>
        <w:rPr>
          <w:rFonts w:hint="eastAsia"/>
          <w:lang w:val="zh-CN"/>
        </w:rPr>
        <w:t>2018年旅游局被评为2017年度政协提案办理工作先进单位；坪田镇被评为中国最美银杏文化小镇，灵潭村入选2018年中国美丽休闲乡村名单，珠玑古巷·梅关古道被评为中国公路科普教育基地；南雄市入选广东省旅游综合竞争力“十强”，珠玑文化小镇入选第二批省级特色小镇，乌迳镇被评为2017年广东省休闲农业与乡村旅游示范镇，“银杏染秋”入选广东省最具影响力旅游品牌；“畅游南雄”入选广东省最具影响力旅游微信公众号；新田古村落被评为2018韶关乡村旅游季·最美古村落。</w:t>
      </w:r>
    </w:p>
    <w:p w14:paraId="0076E711">
      <w:pPr>
        <w:pStyle w:val="4"/>
        <w:bidi w:val="0"/>
        <w:rPr>
          <w:rFonts w:hint="eastAsia"/>
          <w:lang w:val="zh-CN"/>
        </w:rPr>
      </w:pPr>
      <w:r>
        <w:rPr>
          <w:rFonts w:hint="eastAsia"/>
          <w:lang w:val="zh-CN"/>
        </w:rPr>
        <w:t>【旅游项目发展】</w:t>
      </w:r>
    </w:p>
    <w:p w14:paraId="4077C3CE">
      <w:pPr>
        <w:bidi w:val="0"/>
        <w:rPr>
          <w:rFonts w:hint="eastAsia"/>
          <w:lang w:val="zh-CN"/>
        </w:rPr>
      </w:pPr>
      <w:r>
        <w:rPr>
          <w:rFonts w:hint="eastAsia"/>
          <w:lang w:val="zh-CN"/>
        </w:rPr>
        <w:t>“大珠玑”旅游项目建设进展顺利。以“广府之源、姓氏名都”为定位，结合南粤古驿道保护修复和活化利用，打造大珠玑旅游圈。做好珠玑文化小镇申报为省级特色小镇工作，11月珠玑文化小镇入选第二批省级特色小镇；聘请智纲智库完成《南雄大珠玑旅游圈战略策划》；加快推进珠玑建制镇、美丽乡村以及省级新农村示范片建设。目前，已完成珠玑古巷·梅关古道控规修编（初稿）、重点地块修建性详规等规划（初稿）的编制；珠玑古巷百姓堂完成投资4530万元，完成70%工程。珠玑至梅关古驿道24千米已完成80%修复工程，完成投资2200万元；新田至大竹乌迳古驿道完成50%修复工程，完成投资800万元；完成投资4亿元，全面推进梅关古驿道沿线周边村庄新农村建设、人居环境整治和建制镇项目建设；已经与保利集团签订投资开发珠玑古巷框架协议，争取2019年签订投资协议，全面启动珠玑古巷开发工作。</w:t>
      </w:r>
    </w:p>
    <w:p w14:paraId="5828D243">
      <w:pPr>
        <w:bidi w:val="0"/>
        <w:rPr>
          <w:rFonts w:hint="eastAsia"/>
          <w:lang w:val="zh-CN"/>
        </w:rPr>
      </w:pPr>
      <w:r>
        <w:rPr>
          <w:rFonts w:hint="eastAsia"/>
          <w:lang w:val="zh-CN"/>
        </w:rPr>
        <w:t>把旅游重点项目作为产业攻坚工作来抓，实行市领导挂点联系旅游项目，发挥旅发委和旅游重点项目协调推进工作机制，及时解决项目建设存在的困难和问题，云峰山生态旅游区、香草世界森林公园、帽子峰景区、仁和国际商务酒店等旅游项目如火如荼推进。1-10月完成投资3.5亿元。</w:t>
      </w:r>
    </w:p>
    <w:p w14:paraId="4E5E3DC4">
      <w:pPr>
        <w:pStyle w:val="4"/>
        <w:bidi w:val="0"/>
        <w:rPr>
          <w:rFonts w:hint="eastAsia"/>
          <w:lang w:val="zh-CN"/>
        </w:rPr>
      </w:pPr>
      <w:r>
        <w:rPr>
          <w:rFonts w:hint="eastAsia"/>
          <w:lang w:val="zh-CN"/>
        </w:rPr>
        <w:t>【全域旅游创建】</w:t>
      </w:r>
    </w:p>
    <w:p w14:paraId="2EA1B491">
      <w:pPr>
        <w:bidi w:val="0"/>
        <w:rPr>
          <w:rFonts w:hint="eastAsia"/>
          <w:lang w:val="zh-CN"/>
        </w:rPr>
      </w:pPr>
      <w:r>
        <w:rPr>
          <w:rFonts w:hint="eastAsia"/>
          <w:lang w:val="zh-CN"/>
        </w:rPr>
        <w:t>成立创建工作领导小组和创建办，市长亲自抓创建工作，定期召开协调会议，听取相关创建工作汇报。聘请巅峰置业公司为南雄市开展全域旅游进行评估，在此基础上制定创建全域旅游示范区三年行动计划，明确工作目标和各单位责任。在全域旅游工作会议后，结合省会议精神，及时召开全域旅游工作推进会，进一步明确创建工作任务和验收标准，市长林小龙亲自对创建工作进行安排部署，创建工作有序推进。</w:t>
      </w:r>
    </w:p>
    <w:p w14:paraId="33E91D12">
      <w:pPr>
        <w:pStyle w:val="4"/>
        <w:bidi w:val="0"/>
        <w:rPr>
          <w:rFonts w:hint="eastAsia"/>
          <w:lang w:val="zh-CN"/>
        </w:rPr>
      </w:pPr>
      <w:r>
        <w:rPr>
          <w:rFonts w:hint="eastAsia"/>
          <w:lang w:val="zh-CN"/>
        </w:rPr>
        <w:t>【旅游市场拓展】</w:t>
      </w:r>
    </w:p>
    <w:p w14:paraId="5E221483">
      <w:pPr>
        <w:bidi w:val="0"/>
        <w:rPr>
          <w:rFonts w:hint="eastAsia"/>
          <w:lang w:val="zh-CN"/>
        </w:rPr>
      </w:pPr>
      <w:r>
        <w:rPr>
          <w:rFonts w:hint="eastAsia"/>
          <w:lang w:val="zh-CN"/>
        </w:rPr>
        <w:t>注重以旅游节庆活动为载体，把南雄文化、特产、风光推出去，把市场、游客、机遇引进来。3月，省旅游局主办的红色旅游系列活动启动仪式在南雄市举办。此外，组织“珠玑穿越梦·端午华裳行——中华传统服饰节活动”“爱南雄·正芳华”旅游使者大赛、“中国农民丰收节”暨生态农业博览会南雄分会场、银杏文化旅游节等旅游节庆活动，吸引众多省内外游客前来观光旅游。</w:t>
      </w:r>
    </w:p>
    <w:p w14:paraId="6B7345F4">
      <w:pPr>
        <w:pStyle w:val="4"/>
        <w:bidi w:val="0"/>
        <w:rPr>
          <w:rFonts w:hint="eastAsia"/>
          <w:lang w:val="zh-CN"/>
        </w:rPr>
      </w:pPr>
      <w:r>
        <w:rPr>
          <w:rFonts w:hint="eastAsia"/>
          <w:lang w:val="zh-CN"/>
        </w:rPr>
        <w:t>【旅游工作服务】</w:t>
      </w:r>
    </w:p>
    <w:p w14:paraId="757106D7">
      <w:pPr>
        <w:bidi w:val="0"/>
        <w:rPr>
          <w:rFonts w:hint="eastAsia"/>
          <w:lang w:val="zh-CN"/>
        </w:rPr>
      </w:pPr>
      <w:r>
        <w:rPr>
          <w:rFonts w:hint="eastAsia"/>
          <w:lang w:val="zh-CN"/>
        </w:rPr>
        <w:t>注重抓好旅游从业人员业务培训和旅游志愿服务工作，进一步提升旅游服务水平。特别组建30名政务导游队伍，组织政务导游服务2018年南雄市外出乡贤经贸推介座谈会、广东省抓党建促脱贫攻坚工作现场会等大型活动和旅游节庆活动20多场次。政务导游良好的综合素质和业务水平得到国家、省、市接待嘉宾充分肯定和一致好评。</w:t>
      </w:r>
    </w:p>
    <w:p w14:paraId="4E611A93">
      <w:pPr>
        <w:bidi w:val="0"/>
        <w:ind w:left="0" w:leftChars="0" w:firstLine="0" w:firstLineChars="0"/>
        <w:jc w:val="center"/>
        <w:rPr>
          <w:rFonts w:hint="eastAsia"/>
          <w:b/>
          <w:bCs/>
          <w:lang w:val="zh-CN"/>
        </w:rPr>
      </w:pPr>
      <w:r>
        <w:rPr>
          <w:rFonts w:hint="eastAsia"/>
          <w:b/>
          <w:bCs/>
          <w:lang w:val="zh-CN"/>
        </w:rPr>
        <w:t>表26</w:t>
      </w:r>
      <w:r>
        <w:rPr>
          <w:rFonts w:hint="eastAsia"/>
          <w:b/>
          <w:bCs/>
          <w:lang w:val="en-US" w:eastAsia="zh-CN"/>
        </w:rPr>
        <w:t xml:space="preserve">  </w:t>
      </w:r>
      <w:r>
        <w:rPr>
          <w:rFonts w:hint="eastAsia"/>
          <w:b/>
          <w:bCs/>
          <w:lang w:val="zh-CN"/>
        </w:rPr>
        <w:t>2018年南雄市旅游经济发展情况表</w:t>
      </w:r>
    </w:p>
    <w:tbl>
      <w:tblPr>
        <w:tblStyle w:val="7"/>
        <w:tblW w:w="4998" w:type="pct"/>
        <w:tblInd w:w="0" w:type="dxa"/>
        <w:tblLayout w:type="autofit"/>
        <w:tblCellMar>
          <w:top w:w="0" w:type="dxa"/>
          <w:left w:w="0" w:type="dxa"/>
          <w:bottom w:w="0" w:type="dxa"/>
          <w:right w:w="0" w:type="dxa"/>
        </w:tblCellMar>
      </w:tblPr>
      <w:tblGrid>
        <w:gridCol w:w="1052"/>
        <w:gridCol w:w="1738"/>
        <w:gridCol w:w="1738"/>
        <w:gridCol w:w="1738"/>
        <w:gridCol w:w="1738"/>
        <w:gridCol w:w="1738"/>
      </w:tblGrid>
      <w:tr w14:paraId="00DC4BCF">
        <w:tblPrEx>
          <w:tblCellMar>
            <w:top w:w="0" w:type="dxa"/>
            <w:left w:w="0" w:type="dxa"/>
            <w:bottom w:w="0" w:type="dxa"/>
            <w:right w:w="0" w:type="dxa"/>
          </w:tblCellMar>
        </w:tblPrEx>
        <w:trPr>
          <w:trHeight w:val="566" w:hRule="atLeast"/>
          <w:tblHeader/>
        </w:trPr>
        <w:tc>
          <w:tcPr>
            <w:tcW w:w="540" w:type="pct"/>
            <w:tcBorders>
              <w:top w:val="single" w:color="000000" w:sz="4" w:space="0"/>
              <w:left w:val="nil"/>
              <w:bottom w:val="single" w:color="000000" w:sz="4" w:space="0"/>
              <w:right w:val="single" w:color="000000" w:sz="4" w:space="0"/>
            </w:tcBorders>
            <w:shd w:val="clear" w:color="auto" w:fill="FFFFFF"/>
            <w:noWrap w:val="0"/>
            <w:tcMar>
              <w:top w:w="0" w:type="dxa"/>
              <w:left w:w="0" w:type="dxa"/>
              <w:bottom w:w="0" w:type="dxa"/>
              <w:right w:w="0" w:type="dxa"/>
            </w:tcMar>
            <w:vAlign w:val="center"/>
          </w:tcPr>
          <w:p w14:paraId="3ECDE474">
            <w:pPr>
              <w:pStyle w:val="11"/>
              <w:bidi w:val="0"/>
              <w:jc w:val="center"/>
              <w:rPr>
                <w:rFonts w:hint="eastAsia"/>
                <w:b/>
                <w:bCs/>
                <w:color w:val="000000"/>
                <w:lang w:val="zh-CN"/>
              </w:rPr>
            </w:pPr>
            <w:r>
              <w:rPr>
                <w:rFonts w:hint="eastAsia"/>
                <w:b/>
                <w:bCs/>
                <w:color w:val="000000"/>
                <w:lang w:val="zh-CN"/>
              </w:rPr>
              <w:t>类别</w:t>
            </w:r>
          </w:p>
        </w:tc>
        <w:tc>
          <w:tcPr>
            <w:tcW w:w="891" w:type="pct"/>
            <w:tcBorders>
              <w:top w:val="single" w:color="000000" w:sz="4" w:space="0"/>
              <w:left w:val="single" w:color="000000" w:sz="4" w:space="0"/>
              <w:bottom w:val="single" w:color="000000" w:sz="4" w:space="0"/>
              <w:right w:val="single" w:color="000000" w:sz="4" w:space="0"/>
            </w:tcBorders>
            <w:shd w:val="clear" w:color="auto" w:fill="FFFFFF"/>
            <w:noWrap w:val="0"/>
            <w:tcMar>
              <w:top w:w="0" w:type="dxa"/>
              <w:left w:w="0" w:type="dxa"/>
              <w:bottom w:w="0" w:type="dxa"/>
              <w:right w:w="0" w:type="dxa"/>
            </w:tcMar>
            <w:vAlign w:val="center"/>
          </w:tcPr>
          <w:p w14:paraId="6DF44F27">
            <w:pPr>
              <w:pStyle w:val="11"/>
              <w:bidi w:val="0"/>
              <w:jc w:val="center"/>
              <w:rPr>
                <w:rFonts w:hint="eastAsia"/>
                <w:b/>
                <w:bCs/>
                <w:color w:val="000000"/>
                <w:lang w:val="zh-CN"/>
              </w:rPr>
            </w:pPr>
            <w:r>
              <w:rPr>
                <w:rFonts w:hint="eastAsia"/>
                <w:b/>
                <w:bCs/>
                <w:color w:val="000000"/>
                <w:lang w:val="zh-CN"/>
              </w:rPr>
              <w:t>旅游人数（万人次）</w:t>
            </w:r>
          </w:p>
        </w:tc>
        <w:tc>
          <w:tcPr>
            <w:tcW w:w="891" w:type="pct"/>
            <w:tcBorders>
              <w:top w:val="single" w:color="000000" w:sz="4" w:space="0"/>
              <w:left w:val="single" w:color="000000" w:sz="4" w:space="0"/>
              <w:bottom w:val="single" w:color="000000" w:sz="4" w:space="0"/>
              <w:right w:val="single" w:color="000000" w:sz="4" w:space="0"/>
            </w:tcBorders>
            <w:shd w:val="clear" w:color="auto" w:fill="FFFFFF"/>
            <w:noWrap w:val="0"/>
            <w:tcMar>
              <w:top w:w="0" w:type="dxa"/>
              <w:left w:w="0" w:type="dxa"/>
              <w:bottom w:w="0" w:type="dxa"/>
              <w:right w:w="0" w:type="dxa"/>
            </w:tcMar>
            <w:vAlign w:val="center"/>
          </w:tcPr>
          <w:p w14:paraId="270AA03D">
            <w:pPr>
              <w:pStyle w:val="11"/>
              <w:bidi w:val="0"/>
              <w:jc w:val="center"/>
              <w:rPr>
                <w:rFonts w:hint="eastAsia"/>
                <w:b/>
                <w:bCs/>
                <w:color w:val="000000"/>
                <w:lang w:val="zh-CN"/>
              </w:rPr>
            </w:pPr>
            <w:r>
              <w:rPr>
                <w:rFonts w:hint="eastAsia"/>
                <w:b/>
                <w:bCs/>
                <w:color w:val="000000"/>
                <w:lang w:val="zh-CN"/>
              </w:rPr>
              <w:t>旅游总收入（亿元）</w:t>
            </w:r>
          </w:p>
        </w:tc>
        <w:tc>
          <w:tcPr>
            <w:tcW w:w="891" w:type="pct"/>
            <w:tcBorders>
              <w:top w:val="single" w:color="000000" w:sz="4" w:space="0"/>
              <w:left w:val="single" w:color="000000" w:sz="4" w:space="0"/>
              <w:bottom w:val="single" w:color="000000" w:sz="4" w:space="0"/>
              <w:right w:val="single" w:color="000000" w:sz="4" w:space="0"/>
            </w:tcBorders>
            <w:shd w:val="clear" w:color="auto" w:fill="FFFFFF"/>
            <w:noWrap w:val="0"/>
            <w:tcMar>
              <w:top w:w="0" w:type="dxa"/>
              <w:left w:w="0" w:type="dxa"/>
              <w:bottom w:w="0" w:type="dxa"/>
              <w:right w:w="0" w:type="dxa"/>
            </w:tcMar>
            <w:vAlign w:val="center"/>
          </w:tcPr>
          <w:p w14:paraId="4B7A13CB">
            <w:pPr>
              <w:pStyle w:val="11"/>
              <w:bidi w:val="0"/>
              <w:jc w:val="center"/>
              <w:rPr>
                <w:rFonts w:hint="eastAsia"/>
                <w:b/>
                <w:bCs/>
                <w:color w:val="000000"/>
                <w:lang w:val="zh-CN"/>
              </w:rPr>
            </w:pPr>
            <w:r>
              <w:rPr>
                <w:rFonts w:hint="eastAsia"/>
                <w:b/>
                <w:bCs/>
                <w:color w:val="000000"/>
                <w:lang w:val="zh-CN"/>
              </w:rPr>
              <w:t>过夜人数（万人次）</w:t>
            </w:r>
          </w:p>
        </w:tc>
        <w:tc>
          <w:tcPr>
            <w:tcW w:w="891" w:type="pct"/>
            <w:tcBorders>
              <w:top w:val="single" w:color="000000" w:sz="4" w:space="0"/>
              <w:left w:val="single" w:color="000000" w:sz="4" w:space="0"/>
              <w:bottom w:val="single" w:color="000000" w:sz="4" w:space="0"/>
              <w:right w:val="single" w:color="000000" w:sz="4" w:space="0"/>
            </w:tcBorders>
            <w:shd w:val="clear" w:color="auto" w:fill="FFFFFF"/>
            <w:noWrap w:val="0"/>
            <w:tcMar>
              <w:top w:w="0" w:type="dxa"/>
              <w:left w:w="0" w:type="dxa"/>
              <w:bottom w:w="0" w:type="dxa"/>
              <w:right w:w="0" w:type="dxa"/>
            </w:tcMar>
            <w:vAlign w:val="center"/>
          </w:tcPr>
          <w:p w14:paraId="09CF515C">
            <w:pPr>
              <w:pStyle w:val="11"/>
              <w:bidi w:val="0"/>
              <w:jc w:val="center"/>
              <w:rPr>
                <w:rFonts w:hint="eastAsia"/>
                <w:b/>
                <w:bCs/>
                <w:color w:val="000000"/>
                <w:lang w:val="zh-CN"/>
              </w:rPr>
            </w:pPr>
            <w:r>
              <w:rPr>
                <w:rFonts w:hint="eastAsia"/>
                <w:b/>
                <w:bCs/>
                <w:color w:val="000000"/>
                <w:lang w:val="zh-CN"/>
              </w:rPr>
              <w:t>一日游人数</w:t>
            </w:r>
          </w:p>
          <w:p w14:paraId="17C78FC6">
            <w:pPr>
              <w:pStyle w:val="11"/>
              <w:bidi w:val="0"/>
              <w:jc w:val="center"/>
              <w:rPr>
                <w:rFonts w:hint="eastAsia"/>
                <w:b/>
                <w:bCs/>
                <w:color w:val="000000"/>
                <w:lang w:val="zh-CN"/>
              </w:rPr>
            </w:pPr>
            <w:r>
              <w:rPr>
                <w:rFonts w:hint="eastAsia"/>
                <w:b/>
                <w:bCs/>
                <w:color w:val="000000"/>
                <w:lang w:val="zh-CN"/>
              </w:rPr>
              <w:t>（万人次）</w:t>
            </w:r>
          </w:p>
        </w:tc>
        <w:tc>
          <w:tcPr>
            <w:tcW w:w="891" w:type="pct"/>
            <w:tcBorders>
              <w:top w:val="single" w:color="000000" w:sz="4" w:space="0"/>
              <w:left w:val="single" w:color="000000" w:sz="4" w:space="0"/>
              <w:bottom w:val="single" w:color="000000" w:sz="4" w:space="0"/>
              <w:right w:val="nil"/>
            </w:tcBorders>
            <w:shd w:val="clear" w:color="auto" w:fill="FFFFFF"/>
            <w:noWrap w:val="0"/>
            <w:tcMar>
              <w:top w:w="0" w:type="dxa"/>
              <w:left w:w="0" w:type="dxa"/>
              <w:bottom w:w="0" w:type="dxa"/>
              <w:right w:w="0" w:type="dxa"/>
            </w:tcMar>
            <w:vAlign w:val="center"/>
          </w:tcPr>
          <w:p w14:paraId="1F787CC3">
            <w:pPr>
              <w:pStyle w:val="11"/>
              <w:bidi w:val="0"/>
              <w:jc w:val="center"/>
              <w:rPr>
                <w:rFonts w:hint="eastAsia"/>
                <w:b/>
                <w:bCs/>
                <w:color w:val="000000"/>
                <w:lang w:val="zh-CN"/>
              </w:rPr>
            </w:pPr>
            <w:r>
              <w:rPr>
                <w:rFonts w:hint="eastAsia"/>
                <w:b/>
                <w:bCs/>
                <w:color w:val="000000"/>
                <w:lang w:val="zh-CN"/>
              </w:rPr>
              <w:t>旅游从业人员</w:t>
            </w:r>
          </w:p>
          <w:p w14:paraId="19E8F16D">
            <w:pPr>
              <w:pStyle w:val="11"/>
              <w:bidi w:val="0"/>
              <w:jc w:val="center"/>
              <w:rPr>
                <w:rFonts w:hint="eastAsia"/>
                <w:b/>
                <w:bCs/>
                <w:color w:val="000000"/>
                <w:lang w:val="zh-CN"/>
              </w:rPr>
            </w:pPr>
            <w:r>
              <w:rPr>
                <w:rFonts w:hint="eastAsia"/>
                <w:b/>
                <w:bCs/>
                <w:color w:val="000000"/>
                <w:lang w:val="zh-CN"/>
              </w:rPr>
              <w:t>（万人）</w:t>
            </w:r>
          </w:p>
        </w:tc>
      </w:tr>
      <w:tr w14:paraId="04BC5354">
        <w:tblPrEx>
          <w:tblCellMar>
            <w:top w:w="0" w:type="dxa"/>
            <w:left w:w="0" w:type="dxa"/>
            <w:bottom w:w="0" w:type="dxa"/>
            <w:right w:w="0" w:type="dxa"/>
          </w:tblCellMar>
        </w:tblPrEx>
        <w:trPr>
          <w:trHeight w:val="396" w:hRule="atLeast"/>
        </w:trPr>
        <w:tc>
          <w:tcPr>
            <w:tcW w:w="540" w:type="pct"/>
            <w:tcBorders>
              <w:top w:val="single" w:color="000000" w:sz="4" w:space="0"/>
              <w:left w:val="nil"/>
              <w:bottom w:val="single" w:color="000000" w:sz="4" w:space="0"/>
              <w:right w:val="single" w:color="000000" w:sz="4" w:space="0"/>
            </w:tcBorders>
            <w:shd w:val="clear" w:color="auto" w:fill="FFFFFF"/>
            <w:noWrap w:val="0"/>
            <w:tcMar>
              <w:top w:w="0" w:type="dxa"/>
              <w:left w:w="57" w:type="dxa"/>
              <w:bottom w:w="0" w:type="dxa"/>
              <w:right w:w="57" w:type="dxa"/>
            </w:tcMar>
            <w:vAlign w:val="center"/>
          </w:tcPr>
          <w:p w14:paraId="024E58B9">
            <w:pPr>
              <w:pStyle w:val="11"/>
              <w:bidi w:val="0"/>
              <w:jc w:val="center"/>
              <w:rPr>
                <w:rFonts w:hint="eastAsia"/>
                <w:color w:val="000000"/>
                <w:lang w:val="zh-CN"/>
              </w:rPr>
            </w:pPr>
            <w:r>
              <w:rPr>
                <w:rFonts w:hint="eastAsia"/>
                <w:color w:val="000000"/>
                <w:lang w:val="zh-CN"/>
              </w:rPr>
              <w:t>南雄市</w:t>
            </w:r>
          </w:p>
        </w:tc>
        <w:tc>
          <w:tcPr>
            <w:tcW w:w="891" w:type="pct"/>
            <w:tcBorders>
              <w:top w:val="single" w:color="000000" w:sz="4" w:space="0"/>
              <w:left w:val="single" w:color="000000" w:sz="4" w:space="0"/>
              <w:bottom w:val="single" w:color="000000" w:sz="4" w:space="0"/>
              <w:right w:val="single" w:color="000000" w:sz="4" w:space="0"/>
            </w:tcBorders>
            <w:shd w:val="clear" w:color="auto" w:fill="FFFFFF"/>
            <w:noWrap w:val="0"/>
            <w:tcMar>
              <w:top w:w="0" w:type="dxa"/>
              <w:left w:w="57" w:type="dxa"/>
              <w:bottom w:w="0" w:type="dxa"/>
              <w:right w:w="57" w:type="dxa"/>
            </w:tcMar>
            <w:vAlign w:val="center"/>
          </w:tcPr>
          <w:p w14:paraId="768C4E77">
            <w:pPr>
              <w:pStyle w:val="11"/>
              <w:bidi w:val="0"/>
              <w:jc w:val="center"/>
              <w:rPr>
                <w:rFonts w:hint="eastAsia"/>
                <w:color w:val="000000"/>
                <w:lang w:val="zh-CN"/>
              </w:rPr>
            </w:pPr>
            <w:r>
              <w:rPr>
                <w:rFonts w:hint="eastAsia"/>
                <w:color w:val="000000"/>
                <w:lang w:val="zh-CN"/>
              </w:rPr>
              <w:t>499.67</w:t>
            </w:r>
          </w:p>
        </w:tc>
        <w:tc>
          <w:tcPr>
            <w:tcW w:w="891" w:type="pct"/>
            <w:tcBorders>
              <w:top w:val="single" w:color="000000" w:sz="4" w:space="0"/>
              <w:left w:val="single" w:color="000000" w:sz="4" w:space="0"/>
              <w:bottom w:val="single" w:color="000000" w:sz="4" w:space="0"/>
              <w:right w:val="single" w:color="000000" w:sz="4" w:space="0"/>
            </w:tcBorders>
            <w:shd w:val="clear" w:color="auto" w:fill="FFFFFF"/>
            <w:noWrap w:val="0"/>
            <w:tcMar>
              <w:top w:w="0" w:type="dxa"/>
              <w:left w:w="57" w:type="dxa"/>
              <w:bottom w:w="0" w:type="dxa"/>
              <w:right w:w="57" w:type="dxa"/>
            </w:tcMar>
            <w:vAlign w:val="center"/>
          </w:tcPr>
          <w:p w14:paraId="31B0541E">
            <w:pPr>
              <w:pStyle w:val="11"/>
              <w:bidi w:val="0"/>
              <w:jc w:val="center"/>
              <w:rPr>
                <w:rFonts w:hint="eastAsia"/>
                <w:color w:val="000000"/>
                <w:lang w:val="zh-CN"/>
              </w:rPr>
            </w:pPr>
            <w:r>
              <w:rPr>
                <w:rFonts w:hint="eastAsia"/>
                <w:color w:val="000000"/>
                <w:lang w:val="zh-CN"/>
              </w:rPr>
              <w:t>36.15</w:t>
            </w:r>
          </w:p>
        </w:tc>
        <w:tc>
          <w:tcPr>
            <w:tcW w:w="891" w:type="pct"/>
            <w:tcBorders>
              <w:top w:val="single" w:color="000000" w:sz="4" w:space="0"/>
              <w:left w:val="single" w:color="000000" w:sz="4" w:space="0"/>
              <w:bottom w:val="single" w:color="000000" w:sz="4" w:space="0"/>
              <w:right w:val="single" w:color="000000" w:sz="4" w:space="0"/>
            </w:tcBorders>
            <w:shd w:val="clear" w:color="auto" w:fill="FFFFFF"/>
            <w:noWrap w:val="0"/>
            <w:tcMar>
              <w:top w:w="0" w:type="dxa"/>
              <w:left w:w="57" w:type="dxa"/>
              <w:bottom w:w="0" w:type="dxa"/>
              <w:right w:w="57" w:type="dxa"/>
            </w:tcMar>
            <w:vAlign w:val="center"/>
          </w:tcPr>
          <w:p w14:paraId="6F005891">
            <w:pPr>
              <w:pStyle w:val="11"/>
              <w:bidi w:val="0"/>
              <w:jc w:val="center"/>
              <w:rPr>
                <w:rFonts w:hint="eastAsia"/>
                <w:color w:val="000000"/>
                <w:lang w:val="zh-CN"/>
              </w:rPr>
            </w:pPr>
            <w:r>
              <w:rPr>
                <w:rFonts w:hint="eastAsia"/>
                <w:color w:val="000000"/>
                <w:lang w:val="zh-CN"/>
              </w:rPr>
              <w:t>338.22</w:t>
            </w:r>
          </w:p>
        </w:tc>
        <w:tc>
          <w:tcPr>
            <w:tcW w:w="891" w:type="pct"/>
            <w:tcBorders>
              <w:top w:val="single" w:color="000000" w:sz="4" w:space="0"/>
              <w:left w:val="single" w:color="000000" w:sz="4" w:space="0"/>
              <w:bottom w:val="single" w:color="000000" w:sz="4" w:space="0"/>
              <w:right w:val="single" w:color="000000" w:sz="4" w:space="0"/>
            </w:tcBorders>
            <w:shd w:val="clear" w:color="auto" w:fill="FFFFFF"/>
            <w:noWrap w:val="0"/>
            <w:tcMar>
              <w:top w:w="0" w:type="dxa"/>
              <w:left w:w="57" w:type="dxa"/>
              <w:bottom w:w="0" w:type="dxa"/>
              <w:right w:w="57" w:type="dxa"/>
            </w:tcMar>
            <w:vAlign w:val="center"/>
          </w:tcPr>
          <w:p w14:paraId="59BB3115">
            <w:pPr>
              <w:pStyle w:val="11"/>
              <w:bidi w:val="0"/>
              <w:jc w:val="center"/>
              <w:rPr>
                <w:rFonts w:hint="eastAsia"/>
                <w:color w:val="000000"/>
                <w:lang w:val="zh-CN"/>
              </w:rPr>
            </w:pPr>
            <w:r>
              <w:rPr>
                <w:rFonts w:hint="eastAsia"/>
                <w:color w:val="000000"/>
                <w:lang w:val="zh-CN"/>
              </w:rPr>
              <w:t>161.45</w:t>
            </w:r>
          </w:p>
        </w:tc>
        <w:tc>
          <w:tcPr>
            <w:tcW w:w="891" w:type="pct"/>
            <w:tcBorders>
              <w:top w:val="single" w:color="000000" w:sz="4" w:space="0"/>
              <w:left w:val="single" w:color="000000" w:sz="4" w:space="0"/>
              <w:bottom w:val="single" w:color="000000" w:sz="4" w:space="0"/>
              <w:right w:val="nil"/>
            </w:tcBorders>
            <w:shd w:val="clear" w:color="auto" w:fill="FFFFFF"/>
            <w:noWrap w:val="0"/>
            <w:tcMar>
              <w:top w:w="0" w:type="dxa"/>
              <w:left w:w="57" w:type="dxa"/>
              <w:bottom w:w="0" w:type="dxa"/>
              <w:right w:w="57" w:type="dxa"/>
            </w:tcMar>
            <w:vAlign w:val="center"/>
          </w:tcPr>
          <w:p w14:paraId="562891E3">
            <w:pPr>
              <w:pStyle w:val="11"/>
              <w:bidi w:val="0"/>
              <w:jc w:val="center"/>
              <w:rPr>
                <w:rFonts w:hint="eastAsia"/>
                <w:color w:val="000000"/>
                <w:lang w:val="zh-CN"/>
              </w:rPr>
            </w:pPr>
            <w:r>
              <w:rPr>
                <w:rFonts w:hint="eastAsia"/>
                <w:color w:val="000000"/>
                <w:lang w:val="zh-CN"/>
              </w:rPr>
              <w:t>1.7</w:t>
            </w:r>
          </w:p>
        </w:tc>
      </w:tr>
    </w:tbl>
    <w:p w14:paraId="1DC3AFB8">
      <w:pPr>
        <w:bidi w:val="0"/>
        <w:jc w:val="right"/>
        <w:rPr>
          <w:rFonts w:hint="eastAsia"/>
          <w:b/>
          <w:bCs/>
          <w:lang w:val="zh-CN"/>
        </w:rPr>
      </w:pPr>
      <w:r>
        <w:rPr>
          <w:rFonts w:hint="eastAsia"/>
          <w:b/>
          <w:bCs/>
          <w:lang w:val="zh-CN"/>
        </w:rPr>
        <w:t>（张</w:t>
      </w:r>
      <w:r>
        <w:rPr>
          <w:rFonts w:hint="eastAsia"/>
          <w:b/>
          <w:bCs/>
          <w:lang w:val="en-US" w:eastAsia="zh-CN"/>
        </w:rPr>
        <w:t xml:space="preserve">  </w:t>
      </w:r>
      <w:r>
        <w:rPr>
          <w:rFonts w:hint="eastAsia"/>
          <w:b/>
          <w:bCs/>
          <w:lang w:val="zh-CN"/>
        </w:rPr>
        <w:t>燕）</w:t>
      </w:r>
    </w:p>
    <w:p w14:paraId="02A05D6C">
      <w:pPr>
        <w:pStyle w:val="11"/>
        <w:bidi w:val="0"/>
        <w:rPr>
          <w:rFonts w:hint="eastAsia"/>
          <w:b/>
          <w:bCs/>
          <w:lang w:val="zh-CN"/>
        </w:rPr>
      </w:pPr>
      <w:r>
        <w:rPr>
          <w:rFonts w:hint="eastAsia"/>
          <w:b/>
          <w:bCs/>
          <w:lang w:val="zh-CN"/>
        </w:rPr>
        <w:t>附：2018年市旅游局领导班子成员名单</w:t>
      </w:r>
    </w:p>
    <w:p w14:paraId="6AB0479A">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郭秀丽</w:t>
      </w:r>
    </w:p>
    <w:p w14:paraId="6760D092">
      <w:pPr>
        <w:pStyle w:val="11"/>
        <w:bidi w:val="0"/>
        <w:rPr>
          <w:rFonts w:hint="eastAsia"/>
          <w:lang w:val="zh-CN"/>
        </w:rPr>
      </w:pPr>
      <w:r>
        <w:rPr>
          <w:rFonts w:hint="eastAsia"/>
          <w:b/>
          <w:bCs/>
          <w:lang w:val="zh-CN"/>
        </w:rPr>
        <w:t>党组成员：</w:t>
      </w:r>
      <w:r>
        <w:rPr>
          <w:rFonts w:hint="eastAsia"/>
          <w:lang w:val="zh-CN"/>
        </w:rPr>
        <w:t>温世雄</w:t>
      </w:r>
    </w:p>
    <w:p w14:paraId="2E5DB21C">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廖春花</w:t>
      </w:r>
    </w:p>
    <w:p w14:paraId="7F79C050">
      <w:pPr>
        <w:pStyle w:val="11"/>
        <w:bidi w:val="0"/>
        <w:ind w:leftChars="500"/>
        <w:rPr>
          <w:rFonts w:hint="eastAsia"/>
          <w:lang w:val="zh-CN"/>
        </w:rPr>
      </w:pPr>
      <w:r>
        <w:rPr>
          <w:rFonts w:hint="eastAsia"/>
          <w:lang w:val="zh-CN"/>
        </w:rPr>
        <w:t>管豪斌（2月任职）</w:t>
      </w:r>
    </w:p>
    <w:p w14:paraId="4718887A">
      <w:pPr>
        <w:pStyle w:val="3"/>
        <w:bidi w:val="0"/>
        <w:rPr>
          <w:rFonts w:hint="eastAsia"/>
          <w:lang w:val="zh-CN"/>
        </w:rPr>
      </w:pPr>
      <w:r>
        <w:rPr>
          <w:rFonts w:hint="eastAsia"/>
          <w:lang w:val="zh-CN"/>
        </w:rPr>
        <w:t>体育</w:t>
      </w:r>
    </w:p>
    <w:p w14:paraId="1301826A">
      <w:pPr>
        <w:pStyle w:val="4"/>
        <w:bidi w:val="0"/>
        <w:rPr>
          <w:rFonts w:hint="eastAsia"/>
          <w:lang w:val="zh-CN"/>
        </w:rPr>
      </w:pPr>
      <w:r>
        <w:rPr>
          <w:rFonts w:hint="eastAsia"/>
          <w:lang w:val="zh-CN"/>
        </w:rPr>
        <w:t>【概况】</w:t>
      </w:r>
    </w:p>
    <w:p w14:paraId="03FA0EC7">
      <w:pPr>
        <w:bidi w:val="0"/>
        <w:rPr>
          <w:rFonts w:hint="eastAsia"/>
          <w:lang w:val="zh-CN"/>
        </w:rPr>
      </w:pPr>
      <w:r>
        <w:rPr>
          <w:rFonts w:hint="eastAsia"/>
          <w:lang w:val="zh-CN"/>
        </w:rPr>
        <w:t>南雄市体育局是市政府直属事业单位。内设办公室、群体股、竞训股；编制6人，在职人员6人。下辖南雄市青少年业余体育学校，编制6人，在职人员9人。体校有国家高级教练1名、二级教练6名，设有田径、举重等韶关市重点训练项目训练班，并在部分学校设立训练网点。</w:t>
      </w:r>
    </w:p>
    <w:p w14:paraId="39E2CF14">
      <w:pPr>
        <w:pStyle w:val="4"/>
        <w:bidi w:val="0"/>
        <w:rPr>
          <w:rFonts w:hint="eastAsia"/>
          <w:lang w:val="zh-CN"/>
        </w:rPr>
      </w:pPr>
      <w:r>
        <w:rPr>
          <w:rFonts w:hint="eastAsia"/>
          <w:lang w:val="zh-CN"/>
        </w:rPr>
        <w:t>【群众体育发展】</w:t>
      </w:r>
    </w:p>
    <w:p w14:paraId="55AFC50A">
      <w:pPr>
        <w:bidi w:val="0"/>
        <w:rPr>
          <w:rFonts w:hint="eastAsia"/>
          <w:lang w:val="zh-CN"/>
        </w:rPr>
      </w:pPr>
      <w:r>
        <w:rPr>
          <w:rFonts w:hint="eastAsia"/>
          <w:lang w:val="zh-CN"/>
        </w:rPr>
        <w:t>举办一系列活动，促进全民健身活动开展。以节日文体活动为载体，经常性开展全民健身活动。2018年春节期间，组织开展篮球赛、象棋、羽毛球、趣味体育等系列体育活动；4月26日—5月3日，组织珠玑镇洋湖村委会篮球队参加韶关市首届“劳动者杯”篮球赛，喜获男子公开组冠军；5月—11月，举办2018“生态南雄快乐垂钓”钓鱼系列比赛；5月26—27日，举办2018年南雄市“乒协杯”乒乓球团体赛；6月16日，组织1支队伍参加韶关市龙舟赛。6月29日—9月6日，承办南雄市第二届职工男子篮球联赛，共有41个代表队参加比赛，经过127场精彩比赛，教育系统代表队、乌迳镇代表队、小水电行业联队分别获得机关事业组、乡镇组、企业组第一名。8月26日—30日，承办南雄市“乡贤杯”羽毛球赛，为南雄外出乡贤搭建交流平台。协助供电、人民银行、税务等部门开展职工体育赛事；指导全市各镇开展群众性的体育竞赛活动，经常下到各镇协办各类体育赛事。促进竞技体育与学校体育同步发展。指导全市中小学认真落实《学校体育工作条例》，坚持两课两操活动，把体育教育摆在学校教育重要位置。加强对学校竞技体育的指导和组织训练，切实抓好传统体育项目学校竞技体育开展。加强对承担参赛市运会比赛项目所在学校检查力度，确保训练质量，确保按时参赛，并力求争取最佳成绩。同时，与市教育局密切合作，开展学生“阳光体育”活动，中小学生乒乓球赛、篮球赛。2018年12月20日完成全市68个省定贫困村农民体育健身工程建设。</w:t>
      </w:r>
    </w:p>
    <w:p w14:paraId="002AE8CD">
      <w:pPr>
        <w:pStyle w:val="4"/>
        <w:bidi w:val="0"/>
        <w:rPr>
          <w:rFonts w:hint="eastAsia"/>
          <w:lang w:val="zh-CN"/>
        </w:rPr>
      </w:pPr>
      <w:r>
        <w:rPr>
          <w:rFonts w:hint="eastAsia"/>
          <w:lang w:val="zh-CN"/>
        </w:rPr>
        <w:t>【升级改造工程】</w:t>
      </w:r>
    </w:p>
    <w:p w14:paraId="284384BB">
      <w:pPr>
        <w:bidi w:val="0"/>
        <w:rPr>
          <w:rFonts w:hint="eastAsia"/>
          <w:lang w:val="zh-CN"/>
        </w:rPr>
      </w:pPr>
      <w:r>
        <w:rPr>
          <w:rFonts w:hint="eastAsia"/>
          <w:lang w:val="zh-CN"/>
        </w:rPr>
        <w:t>认真抓好雄州体育馆改造工程和羽毛球馆升级改造建设工作。6月完成雄州体育馆升级改造工程；羽毛球馆升级改造工程于1月23日开工，8月底完工。</w:t>
      </w:r>
    </w:p>
    <w:p w14:paraId="2E76FC9C">
      <w:pPr>
        <w:pStyle w:val="4"/>
        <w:bidi w:val="0"/>
        <w:rPr>
          <w:rFonts w:hint="eastAsia"/>
          <w:lang w:val="zh-CN"/>
        </w:rPr>
      </w:pPr>
      <w:r>
        <w:rPr>
          <w:rFonts w:hint="eastAsia"/>
          <w:lang w:val="zh-CN"/>
        </w:rPr>
        <w:t>【重要赛事活动】</w:t>
      </w:r>
    </w:p>
    <w:p w14:paraId="1B40C0D9">
      <w:pPr>
        <w:bidi w:val="0"/>
        <w:rPr>
          <w:rFonts w:hint="eastAsia"/>
          <w:lang w:val="zh-CN"/>
        </w:rPr>
      </w:pPr>
      <w:r>
        <w:rPr>
          <w:rFonts w:hint="eastAsia"/>
          <w:lang w:val="zh-CN"/>
        </w:rPr>
        <w:t>2018年10月17日上午，由广东省体育局主办、省老龄办协办、省老年人体育协会承办的广东省第九届老年人体育健身大会开幕式在南雄市体育馆隆重举行。广东省老年人体育健身大会自1986年开始，已举办八届。这次健身大会从10月17日至11月1日，历时16天，是历届以来时间最长、项目最广、人数最多的一次健身大会，各地市以及省直单位、行业体协2400多人报名参赛，个别项目特邀港澳台代表队参加。广东省第九届老年人体育健身大会设广场舞、健身气功、门球、柔力球、气排球、网球、象棋、桥牌、乒乓球、钓鱼、太极拳（剑）、持杖健步走、健身球操等13个项目。</w:t>
      </w:r>
    </w:p>
    <w:p w14:paraId="585CEFCC">
      <w:pPr>
        <w:bidi w:val="0"/>
        <w:rPr>
          <w:rFonts w:hint="eastAsia"/>
          <w:lang w:val="zh-CN"/>
        </w:rPr>
      </w:pPr>
      <w:r>
        <w:rPr>
          <w:rFonts w:hint="eastAsia"/>
          <w:b/>
          <w:bCs/>
          <w:lang w:val="zh-CN"/>
        </w:rPr>
        <w:t>广场舞比赛</w:t>
      </w:r>
      <w:r>
        <w:rPr>
          <w:rFonts w:hint="eastAsia"/>
          <w:b/>
          <w:bCs/>
          <w:lang w:val="en-US" w:eastAsia="zh-CN"/>
        </w:rPr>
        <w:t xml:space="preserve">   </w:t>
      </w:r>
      <w:r>
        <w:rPr>
          <w:rFonts w:hint="eastAsia"/>
          <w:lang w:val="zh-CN"/>
        </w:rPr>
        <w:t>10月17至18日在市体育馆举行。有19个代表队计207人参赛。湛江市、东莞市、深圳市、河源市、揭阳市、广州市、汕尾市等7个代表队获得广场舞自选套路优秀奖。</w:t>
      </w:r>
    </w:p>
    <w:p w14:paraId="06EB07F9">
      <w:pPr>
        <w:bidi w:val="0"/>
        <w:rPr>
          <w:rFonts w:hint="eastAsia"/>
          <w:lang w:val="zh-CN"/>
        </w:rPr>
      </w:pPr>
      <w:r>
        <w:rPr>
          <w:rFonts w:hint="eastAsia"/>
          <w:b/>
          <w:bCs/>
          <w:lang w:val="zh-CN"/>
        </w:rPr>
        <w:t>健身气功比赛</w:t>
      </w:r>
      <w:r>
        <w:rPr>
          <w:rFonts w:hint="eastAsia"/>
          <w:b/>
          <w:bCs/>
          <w:lang w:val="en-US" w:eastAsia="zh-CN"/>
        </w:rPr>
        <w:t xml:space="preserve">   </w:t>
      </w:r>
      <w:r>
        <w:rPr>
          <w:rFonts w:hint="eastAsia"/>
          <w:lang w:val="zh-CN"/>
        </w:rPr>
        <w:t>10月17至19日在市羽毛球馆举行。来自全省各地市老体协及行业协会16个代表队171人参赛。湛江市、东莞市、深圳市、广州市、河源市、汕头市、江门市、汕尾市、惠州市、中山市等10个代表队获得健身气功集体项目优秀奖。</w:t>
      </w:r>
    </w:p>
    <w:p w14:paraId="7283C259">
      <w:pPr>
        <w:bidi w:val="0"/>
        <w:rPr>
          <w:rFonts w:hint="eastAsia"/>
          <w:lang w:val="zh-CN"/>
        </w:rPr>
      </w:pPr>
      <w:r>
        <w:rPr>
          <w:rFonts w:hint="eastAsia"/>
          <w:b/>
          <w:bCs/>
          <w:lang w:val="zh-CN"/>
        </w:rPr>
        <w:t>门球交流比赛</w:t>
      </w:r>
      <w:r>
        <w:rPr>
          <w:rFonts w:hint="eastAsia"/>
          <w:b/>
          <w:bCs/>
          <w:lang w:val="en-US" w:eastAsia="zh-CN"/>
        </w:rPr>
        <w:t xml:space="preserve">   </w:t>
      </w:r>
      <w:r>
        <w:rPr>
          <w:rFonts w:hint="eastAsia"/>
          <w:lang w:val="zh-CN"/>
        </w:rPr>
        <w:t>10月20日在市全民健身广场举行，来自全省各地21个代表队计185名门球运动员以赛会友，同场切磋交流。经过比拼，潮州市、肇庆市、河源市、清远市、台湾高雄市、汕头市、茂名市、佛山市等8个代表队获得五人团体赛优秀奖。澳门英豪、惠州市、佛山市、河源市、汕头市、台湾高雄市、潮州市、茂名石化等8个代表队获得混合双人赛优秀奖。</w:t>
      </w:r>
    </w:p>
    <w:p w14:paraId="102CC630">
      <w:pPr>
        <w:bidi w:val="0"/>
        <w:rPr>
          <w:rFonts w:hint="eastAsia"/>
          <w:lang w:val="zh-CN"/>
        </w:rPr>
      </w:pPr>
      <w:r>
        <w:rPr>
          <w:rFonts w:hint="eastAsia"/>
          <w:b/>
          <w:bCs/>
          <w:lang w:val="zh-CN"/>
        </w:rPr>
        <w:t>柔力球项目</w:t>
      </w:r>
      <w:r>
        <w:rPr>
          <w:rFonts w:hint="eastAsia"/>
          <w:b/>
          <w:bCs/>
          <w:lang w:val="en-US" w:eastAsia="zh-CN"/>
        </w:rPr>
        <w:t xml:space="preserve">   </w:t>
      </w:r>
      <w:r>
        <w:rPr>
          <w:rFonts w:hint="eastAsia"/>
          <w:lang w:val="zh-CN"/>
        </w:rPr>
        <w:t>10月20日至21日在市体育馆举行，吸引全省17个代表队258名运动员参加。本次比赛设集体规定套路、集体健身套路、集体自选套路。梅州市、中山市、汕尾市、阳江市等4个代表队获得集体规定套路优秀奖，江门市、茂名市、梅州市、汕头市等4个代表队获得集体健身套路优秀奖。河源市、肇庆市、茂名市、中山市、梅州市、阳江市等6个代表队获得集体自选套路优秀奖。</w:t>
      </w:r>
    </w:p>
    <w:p w14:paraId="1D171924">
      <w:pPr>
        <w:bidi w:val="0"/>
        <w:rPr>
          <w:rFonts w:hint="eastAsia"/>
          <w:lang w:val="zh-CN"/>
        </w:rPr>
      </w:pPr>
      <w:r>
        <w:rPr>
          <w:rFonts w:hint="eastAsia"/>
          <w:b/>
          <w:bCs/>
          <w:lang w:val="zh-CN"/>
        </w:rPr>
        <w:t>钓鱼比赛</w:t>
      </w:r>
      <w:r>
        <w:rPr>
          <w:rFonts w:hint="eastAsia"/>
          <w:b/>
          <w:bCs/>
          <w:lang w:val="en-US" w:eastAsia="zh-CN"/>
        </w:rPr>
        <w:t xml:space="preserve">   </w:t>
      </w:r>
      <w:r>
        <w:rPr>
          <w:rFonts w:hint="eastAsia"/>
          <w:lang w:val="zh-CN"/>
        </w:rPr>
        <w:t>10月27日至28日在市鱼梦乐园钓鱼场举行。参加本次大会钓鱼交流活动有22个代表队，66名运动员参赛。韶关市、广州市、深圳市、省老干中心、汕头市、惠州市、茂名市等7个代表队获得团体优秀奖。</w:t>
      </w:r>
    </w:p>
    <w:p w14:paraId="2C900801">
      <w:pPr>
        <w:bidi w:val="0"/>
        <w:rPr>
          <w:rFonts w:hint="eastAsia"/>
          <w:lang w:val="zh-CN"/>
        </w:rPr>
      </w:pPr>
      <w:r>
        <w:rPr>
          <w:rFonts w:hint="eastAsia"/>
          <w:b/>
          <w:bCs/>
          <w:lang w:val="zh-CN"/>
        </w:rPr>
        <w:t>桥牌交流活动</w:t>
      </w:r>
      <w:r>
        <w:rPr>
          <w:rFonts w:hint="eastAsia"/>
          <w:b/>
          <w:bCs/>
          <w:lang w:val="en-US" w:eastAsia="zh-CN"/>
        </w:rPr>
        <w:t xml:space="preserve">   </w:t>
      </w:r>
      <w:r>
        <w:rPr>
          <w:rFonts w:hint="eastAsia"/>
          <w:lang w:val="zh-CN"/>
        </w:rPr>
        <w:t>10月27日至29日在市迎宾馆举行，有11个代表队参加，参赛队员63人。珠海市、省老干中心、中山市、东莞市等4个代表队获得优秀奖。</w:t>
      </w:r>
    </w:p>
    <w:p w14:paraId="698CF575">
      <w:pPr>
        <w:bidi w:val="0"/>
        <w:rPr>
          <w:rFonts w:hint="eastAsia"/>
          <w:lang w:val="zh-CN"/>
        </w:rPr>
      </w:pPr>
      <w:r>
        <w:rPr>
          <w:rFonts w:hint="eastAsia"/>
          <w:b/>
          <w:bCs/>
          <w:lang w:val="zh-CN"/>
        </w:rPr>
        <w:t>象棋比赛</w:t>
      </w:r>
      <w:r>
        <w:rPr>
          <w:rFonts w:hint="eastAsia"/>
          <w:b/>
          <w:bCs/>
          <w:lang w:val="en-US" w:eastAsia="zh-CN"/>
        </w:rPr>
        <w:t xml:space="preserve">   </w:t>
      </w:r>
      <w:r>
        <w:rPr>
          <w:rFonts w:hint="eastAsia"/>
          <w:lang w:val="zh-CN"/>
        </w:rPr>
        <w:t>10月23日至25日在市迎宾馆举行，这次比赛有来自全省的15个代表队计97人参加。江门市、珠海市、中山市、省老干部中心、茂名市、揭阳市等6个代表队获得团体赛优秀奖。</w:t>
      </w:r>
    </w:p>
    <w:p w14:paraId="46A77CE7">
      <w:pPr>
        <w:bidi w:val="0"/>
        <w:rPr>
          <w:rFonts w:hint="eastAsia"/>
          <w:lang w:val="zh-CN"/>
        </w:rPr>
      </w:pPr>
      <w:r>
        <w:rPr>
          <w:rFonts w:hint="eastAsia"/>
          <w:b/>
          <w:bCs/>
          <w:lang w:val="zh-CN"/>
        </w:rPr>
        <w:t>乒乓球交流活动</w:t>
      </w:r>
      <w:r>
        <w:rPr>
          <w:rFonts w:hint="eastAsia"/>
          <w:b/>
          <w:bCs/>
          <w:lang w:val="en-US" w:eastAsia="zh-CN"/>
        </w:rPr>
        <w:t xml:space="preserve">   </w:t>
      </w:r>
      <w:r>
        <w:rPr>
          <w:rFonts w:hint="eastAsia"/>
          <w:lang w:val="zh-CN"/>
        </w:rPr>
        <w:t>10月24日至26日在市体育馆举行，有21个代表队计168名运动员参加比赛。广州市、揭阳市、江门市、惠州市、省老干部中心、茂名市、东莞市等7个代表队获得团体优秀奖。</w:t>
      </w:r>
    </w:p>
    <w:p w14:paraId="7F1BED25">
      <w:pPr>
        <w:bidi w:val="0"/>
        <w:rPr>
          <w:rFonts w:hint="eastAsia"/>
          <w:lang w:val="zh-CN"/>
        </w:rPr>
      </w:pPr>
      <w:r>
        <w:rPr>
          <w:rFonts w:hint="eastAsia"/>
          <w:b/>
          <w:bCs/>
          <w:lang w:val="zh-CN"/>
        </w:rPr>
        <w:t>男子女子气排球交流活动</w:t>
      </w:r>
      <w:r>
        <w:rPr>
          <w:rFonts w:hint="eastAsia"/>
          <w:b/>
          <w:bCs/>
          <w:lang w:val="en-US" w:eastAsia="zh-CN"/>
        </w:rPr>
        <w:t xml:space="preserve">   </w:t>
      </w:r>
      <w:r>
        <w:rPr>
          <w:rFonts w:hint="eastAsia"/>
          <w:lang w:val="zh-CN"/>
        </w:rPr>
        <w:t>10月21日至26日在市羽毛球馆举行，有12支女队，12支男队216人参赛。这次气排球比赛分男子组（60-70岁）和女子组（55-70岁）。珠江水利、广技师、茂名市、汕头市等4个代表队获得男子组优秀奖；珠江水利、广技师、茂名市、汕头市等4个代表队获得女子组优秀奖。</w:t>
      </w:r>
    </w:p>
    <w:p w14:paraId="7F03AEC1">
      <w:pPr>
        <w:bidi w:val="0"/>
        <w:rPr>
          <w:rFonts w:hint="eastAsia"/>
          <w:lang w:val="zh-CN"/>
        </w:rPr>
      </w:pPr>
      <w:r>
        <w:rPr>
          <w:rFonts w:hint="eastAsia"/>
          <w:b/>
          <w:bCs/>
          <w:lang w:val="zh-CN"/>
        </w:rPr>
        <w:t>网球交流活动</w:t>
      </w:r>
      <w:r>
        <w:rPr>
          <w:rFonts w:hint="eastAsia"/>
          <w:b/>
          <w:bCs/>
          <w:lang w:val="en-US" w:eastAsia="zh-CN"/>
        </w:rPr>
        <w:t xml:space="preserve"> </w:t>
      </w:r>
      <w:r>
        <w:rPr>
          <w:rFonts w:hint="eastAsia"/>
          <w:lang w:val="en-US" w:eastAsia="zh-CN"/>
        </w:rPr>
        <w:t xml:space="preserve">  </w:t>
      </w:r>
      <w:r>
        <w:rPr>
          <w:rFonts w:hint="eastAsia"/>
          <w:lang w:val="zh-CN"/>
        </w:rPr>
        <w:t>10月22至25日在清远市体育馆网球场举行。参加这次交流活动的有11个代表队112人参赛。汕头市、省老干部中心、茂名市、佛山市等4个代表队获优秀奖。</w:t>
      </w:r>
    </w:p>
    <w:p w14:paraId="52494C9D">
      <w:pPr>
        <w:bidi w:val="0"/>
        <w:rPr>
          <w:rFonts w:hint="eastAsia"/>
          <w:lang w:val="zh-CN"/>
        </w:rPr>
      </w:pPr>
      <w:r>
        <w:rPr>
          <w:rFonts w:hint="eastAsia"/>
          <w:b/>
          <w:bCs/>
          <w:lang w:val="zh-CN"/>
        </w:rPr>
        <w:t>太极拳剑交流活动</w:t>
      </w:r>
      <w:r>
        <w:rPr>
          <w:rFonts w:hint="eastAsia"/>
          <w:b/>
          <w:bCs/>
          <w:lang w:val="en-US" w:eastAsia="zh-CN"/>
        </w:rPr>
        <w:t xml:space="preserve">   </w:t>
      </w:r>
      <w:r>
        <w:rPr>
          <w:rFonts w:hint="eastAsia"/>
          <w:lang w:val="zh-CN"/>
        </w:rPr>
        <w:t>10月28日至30日在市羽毛球馆举行，有18个代表队196人参加比赛。经过7个单项的男女分组和男女混合集体项目的比赛，深圳市、湛江市、河源市、揭阳市、佛山市、广州市、梅州市、江门市、潮州市、汕尾市等10个代表队获得集体42式太极剑优秀奖。</w:t>
      </w:r>
    </w:p>
    <w:p w14:paraId="7DCAD515">
      <w:pPr>
        <w:bidi w:val="0"/>
        <w:rPr>
          <w:rFonts w:hint="eastAsia"/>
          <w:lang w:val="zh-CN"/>
        </w:rPr>
      </w:pPr>
      <w:r>
        <w:rPr>
          <w:rFonts w:hint="eastAsia"/>
          <w:b/>
          <w:bCs/>
          <w:lang w:val="zh-CN"/>
        </w:rPr>
        <w:t>持杖健身走交流活动</w:t>
      </w:r>
      <w:r>
        <w:rPr>
          <w:rFonts w:hint="eastAsia"/>
          <w:b/>
          <w:bCs/>
          <w:lang w:val="en-US" w:eastAsia="zh-CN"/>
        </w:rPr>
        <w:t xml:space="preserve">   </w:t>
      </w:r>
      <w:r>
        <w:rPr>
          <w:rFonts w:hint="eastAsia"/>
          <w:lang w:val="zh-CN"/>
        </w:rPr>
        <w:t>10月31日分别在市羽毛球馆、实验中学田径场、雄州公园举行。共有11个代表队173名运动员参赛，依次进行4×400米场地接力、手杖操、户外穿越三个单项交流活动。珠海市、深圳市、韶关市、江门市等4个代表队获得4×400米场地接力优秀奖。佛山市、江门市、汕头市、深圳市等4个代表队获得手杖操优秀奖。佛山市、茂名市、肇庆市、江门市等4个代表队获得户外穿越优秀奖。</w:t>
      </w:r>
    </w:p>
    <w:p w14:paraId="71D14C96">
      <w:pPr>
        <w:bidi w:val="0"/>
        <w:rPr>
          <w:rFonts w:hint="eastAsia"/>
          <w:lang w:val="zh-CN"/>
        </w:rPr>
      </w:pPr>
      <w:r>
        <w:rPr>
          <w:rFonts w:hint="eastAsia"/>
          <w:b/>
          <w:bCs/>
          <w:lang w:val="zh-CN"/>
        </w:rPr>
        <w:t>健身球操交流活动</w:t>
      </w:r>
      <w:r>
        <w:rPr>
          <w:rFonts w:hint="eastAsia"/>
          <w:b/>
          <w:bCs/>
          <w:lang w:val="en-US" w:eastAsia="zh-CN"/>
        </w:rPr>
        <w:t xml:space="preserve">   </w:t>
      </w:r>
      <w:r>
        <w:rPr>
          <w:rFonts w:hint="eastAsia"/>
          <w:lang w:val="zh-CN"/>
        </w:rPr>
        <w:t>10月31日至11月1日在市体育馆举行，有13个代表队156名运动员参赛，惠州市、深圳市、广州市、河源市、阳江市、潮州市等6个代表队获得自选套路优胜奖；珠海市、佛山市、茂名市、潮州市队、中山市等5个代表队获得健身套路优胜奖；惠州市、深圳市、珠海市、广州市、揭阳市等5个代表队获得规定套路优胜奖。</w:t>
      </w:r>
    </w:p>
    <w:p w14:paraId="4A8B4945">
      <w:pPr>
        <w:bidi w:val="0"/>
        <w:rPr>
          <w:rFonts w:hint="eastAsia"/>
          <w:lang w:val="zh-CN"/>
        </w:rPr>
      </w:pPr>
      <w:r>
        <w:rPr>
          <w:rFonts w:hint="eastAsia"/>
          <w:lang w:val="zh-CN"/>
        </w:rPr>
        <w:t>11月1日晚，广东省第九届老年人体育健身大会在韶关南雄市体育馆落下帷幕。本次大会遵循“体育健身、老有所乐、红色苏区、生态南雄”的主题，短暂16天里，2410名运动员进行12个项目交流活动。238个队次获得优胜奖，146个队次获得优秀奖。大会分别授予广州市、深圳市、珠海市、汕头市、韶关市、河源市、惠州市、汕尾市、东莞市、江门市、阳江市、茂名市最佳组织奖；分别授予韶关市体育局、南雄市人民政府特殊贡献奖。</w:t>
      </w:r>
    </w:p>
    <w:p w14:paraId="1C22A31E">
      <w:pPr>
        <w:pStyle w:val="4"/>
        <w:bidi w:val="0"/>
        <w:rPr>
          <w:rFonts w:hint="eastAsia"/>
          <w:lang w:val="zh-CN"/>
        </w:rPr>
      </w:pPr>
      <w:r>
        <w:rPr>
          <w:rFonts w:hint="eastAsia"/>
          <w:lang w:val="zh-CN"/>
        </w:rPr>
        <w:t>【参加广东省第十五届运动会】</w:t>
      </w:r>
    </w:p>
    <w:p w14:paraId="085E2F5B">
      <w:pPr>
        <w:bidi w:val="0"/>
        <w:rPr>
          <w:rFonts w:hint="eastAsia"/>
          <w:lang w:val="zh-CN"/>
        </w:rPr>
      </w:pPr>
      <w:r>
        <w:rPr>
          <w:rFonts w:hint="eastAsia"/>
          <w:lang w:val="zh-CN"/>
        </w:rPr>
        <w:t>组队参加省第十五届运动会比赛，南雄籍运动员在自行车、田径、皮划艇、举重、跳高、气步（手）枪等项目获得名次。其中，陈文强获公路自行车男子甲组一千米第一名、男子场地自行车四千米团体第一名；杨秋玉获公路自行车女子甲组十千米第一名，与队友陈晓娟获场地自行车女子甲组20千米团体第二名；叶萍萍获公路自行车女子乙组500米第三名。南雄籍运动员参加省运会获213分。</w:t>
      </w:r>
    </w:p>
    <w:p w14:paraId="4B36D320">
      <w:pPr>
        <w:pStyle w:val="4"/>
        <w:bidi w:val="0"/>
        <w:rPr>
          <w:rFonts w:hint="eastAsia"/>
          <w:lang w:val="zh-CN"/>
        </w:rPr>
      </w:pPr>
      <w:r>
        <w:rPr>
          <w:rFonts w:hint="eastAsia"/>
          <w:lang w:val="zh-CN"/>
        </w:rPr>
        <w:t>【体育经济发展】</w:t>
      </w:r>
    </w:p>
    <w:p w14:paraId="0091DF82">
      <w:pPr>
        <w:bidi w:val="0"/>
        <w:rPr>
          <w:rFonts w:hint="eastAsia"/>
          <w:lang w:val="zh-CN"/>
        </w:rPr>
      </w:pPr>
      <w:r>
        <w:rPr>
          <w:rFonts w:hint="eastAsia"/>
          <w:lang w:val="zh-CN"/>
        </w:rPr>
        <w:t>2018年加强网点管理，加大宣传力度，体育彩票年销售量2000万元。</w:t>
      </w:r>
    </w:p>
    <w:p w14:paraId="0EEAB2E0">
      <w:pPr>
        <w:pStyle w:val="4"/>
        <w:bidi w:val="0"/>
        <w:rPr>
          <w:rFonts w:hint="eastAsia"/>
          <w:lang w:val="zh-CN"/>
        </w:rPr>
      </w:pPr>
      <w:r>
        <w:rPr>
          <w:rFonts w:hint="eastAsia"/>
          <w:lang w:val="zh-CN"/>
        </w:rPr>
        <w:t>【体育项目发展】</w:t>
      </w:r>
    </w:p>
    <w:p w14:paraId="747F02DB">
      <w:pPr>
        <w:bidi w:val="0"/>
        <w:rPr>
          <w:rFonts w:hint="eastAsia"/>
          <w:lang w:val="zh-CN"/>
        </w:rPr>
      </w:pPr>
      <w:r>
        <w:rPr>
          <w:rFonts w:hint="eastAsia"/>
          <w:lang w:val="zh-CN"/>
        </w:rPr>
        <w:t>组织开展“15分钟健身圈”建设工作，完成雄州街道五洲村委会前坪、全安镇羊角村村委会前坪、南雄市北城大道旁、工业园区等4个“15分钟健身圈”建设工作。</w:t>
      </w:r>
      <w:r>
        <w:rPr>
          <w:rFonts w:hint="eastAsia"/>
          <w:b/>
          <w:bCs/>
          <w:lang w:val="zh-CN"/>
        </w:rPr>
        <w:t>（马</w:t>
      </w:r>
      <w:r>
        <w:rPr>
          <w:rFonts w:hint="eastAsia"/>
          <w:b/>
          <w:bCs/>
          <w:lang w:val="en-US" w:eastAsia="zh-CN"/>
        </w:rPr>
        <w:t xml:space="preserve">  </w:t>
      </w:r>
      <w:r>
        <w:rPr>
          <w:rFonts w:hint="eastAsia"/>
          <w:b/>
          <w:bCs/>
          <w:lang w:val="zh-CN"/>
        </w:rPr>
        <w:t>平）</w:t>
      </w:r>
    </w:p>
    <w:p w14:paraId="3679C95A">
      <w:pPr>
        <w:pStyle w:val="11"/>
        <w:bidi w:val="0"/>
        <w:rPr>
          <w:rFonts w:hint="eastAsia"/>
          <w:b/>
          <w:bCs/>
          <w:lang w:val="zh-CN"/>
        </w:rPr>
      </w:pPr>
      <w:r>
        <w:rPr>
          <w:rFonts w:hint="eastAsia"/>
          <w:b/>
          <w:bCs/>
          <w:lang w:val="zh-CN"/>
        </w:rPr>
        <w:t>附：2018年市体育局领导班子成员名单</w:t>
      </w:r>
    </w:p>
    <w:p w14:paraId="2191FA2F">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吴林山</w:t>
      </w:r>
    </w:p>
    <w:p w14:paraId="28DD4DF8">
      <w:pPr>
        <w:pStyle w:val="11"/>
        <w:bidi w:val="0"/>
        <w:rPr>
          <w:rFonts w:hint="eastAsia"/>
          <w:lang w:val="zh-CN"/>
        </w:rPr>
      </w:pPr>
      <w:r>
        <w:rPr>
          <w:rFonts w:hint="eastAsia"/>
          <w:b/>
          <w:bCs/>
          <w:lang w:val="zh-CN"/>
        </w:rPr>
        <w:t>副局长：</w:t>
      </w:r>
      <w:r>
        <w:rPr>
          <w:rFonts w:hint="eastAsia"/>
          <w:lang w:val="zh-CN"/>
        </w:rPr>
        <w:t>陈志高</w:t>
      </w:r>
      <w:r>
        <w:rPr>
          <w:rFonts w:hint="eastAsia"/>
          <w:lang w:val="en-US" w:eastAsia="zh-CN"/>
        </w:rPr>
        <w:t xml:space="preserve">   </w:t>
      </w:r>
      <w:r>
        <w:rPr>
          <w:rFonts w:hint="eastAsia"/>
          <w:lang w:val="zh-CN"/>
        </w:rPr>
        <w:t>曾智君</w:t>
      </w:r>
    </w:p>
    <w:p w14:paraId="271C7A3E">
      <w:pPr>
        <w:pStyle w:val="3"/>
        <w:bidi w:val="0"/>
        <w:rPr>
          <w:rFonts w:hint="eastAsia"/>
          <w:lang w:val="zh-CN"/>
        </w:rPr>
      </w:pPr>
      <w:r>
        <w:rPr>
          <w:rFonts w:hint="eastAsia"/>
          <w:lang w:val="zh-CN"/>
        </w:rPr>
        <w:t>广电网络</w:t>
      </w:r>
    </w:p>
    <w:p w14:paraId="718CC6D9">
      <w:pPr>
        <w:pStyle w:val="4"/>
        <w:bidi w:val="0"/>
        <w:rPr>
          <w:rFonts w:hint="eastAsia"/>
          <w:lang w:val="zh-CN"/>
        </w:rPr>
      </w:pPr>
      <w:r>
        <w:rPr>
          <w:rFonts w:hint="eastAsia"/>
          <w:lang w:val="zh-CN"/>
        </w:rPr>
        <w:t>【概况】</w:t>
      </w:r>
    </w:p>
    <w:p w14:paraId="1D845965">
      <w:pPr>
        <w:bidi w:val="0"/>
        <w:rPr>
          <w:rFonts w:hint="eastAsia"/>
          <w:lang w:val="zh-CN"/>
        </w:rPr>
      </w:pPr>
      <w:r>
        <w:rPr>
          <w:rFonts w:hint="eastAsia"/>
          <w:lang w:val="zh-CN"/>
        </w:rPr>
        <w:t>广东省广播电视网络股份有限公司韶关南雄分公司（以下简称分公司）内设综合部、市场部、建设运维部3个部门，下辖市区1个综合营业厅以及湖口、珠玑、全安、古市、黄坑、乌迳、水口7个乡镇中心站；现有员工62人。</w:t>
      </w:r>
    </w:p>
    <w:p w14:paraId="5B1D362D">
      <w:pPr>
        <w:pStyle w:val="4"/>
        <w:bidi w:val="0"/>
        <w:rPr>
          <w:rFonts w:hint="eastAsia"/>
          <w:lang w:val="zh-CN"/>
        </w:rPr>
      </w:pPr>
      <w:r>
        <w:rPr>
          <w:rFonts w:hint="eastAsia"/>
          <w:lang w:val="zh-CN"/>
        </w:rPr>
        <w:t>【业务开展】</w:t>
      </w:r>
    </w:p>
    <w:p w14:paraId="0D78F868">
      <w:pPr>
        <w:bidi w:val="0"/>
        <w:rPr>
          <w:rFonts w:hint="eastAsia"/>
          <w:lang w:val="zh-CN"/>
        </w:rPr>
      </w:pPr>
      <w:r>
        <w:rPr>
          <w:rFonts w:hint="eastAsia"/>
          <w:lang w:val="zh-CN"/>
        </w:rPr>
        <w:t>分公司建立以市场为导向、客户为中心、效益为目标的运营模式，打破传统电视模式，积极开展标清升高清、宽带、高清互动、点播、谷豆tv、智能网关、政企专线、ICT、工程配套等新业务。</w:t>
      </w:r>
    </w:p>
    <w:p w14:paraId="215AA5CF">
      <w:pPr>
        <w:pStyle w:val="4"/>
        <w:bidi w:val="0"/>
        <w:rPr>
          <w:rFonts w:hint="eastAsia"/>
          <w:lang w:val="zh-CN"/>
        </w:rPr>
      </w:pPr>
      <w:r>
        <w:rPr>
          <w:rFonts w:hint="eastAsia"/>
          <w:lang w:val="zh-CN"/>
        </w:rPr>
        <w:t>【网络建设】</w:t>
      </w:r>
    </w:p>
    <w:p w14:paraId="0B364B28">
      <w:pPr>
        <w:bidi w:val="0"/>
        <w:rPr>
          <w:rFonts w:hint="eastAsia"/>
          <w:lang w:val="zh-CN"/>
        </w:rPr>
      </w:pPr>
      <w:r>
        <w:rPr>
          <w:rFonts w:hint="eastAsia"/>
          <w:lang w:val="zh-CN"/>
        </w:rPr>
        <w:t>2018年，分公司投资975万元用于网络改造及新建工程建设，现分公司网络涵盖城区和全安、主田、邓坊、湖口、水口、南亩、古市、乌迳、百顺、江头、珠玑、黄坑、界址、坪田等14个乡镇。</w:t>
      </w:r>
    </w:p>
    <w:p w14:paraId="1D343F15">
      <w:pPr>
        <w:pStyle w:val="4"/>
        <w:bidi w:val="0"/>
        <w:rPr>
          <w:rFonts w:hint="eastAsia"/>
          <w:lang w:val="zh-CN"/>
        </w:rPr>
      </w:pPr>
      <w:r>
        <w:rPr>
          <w:rFonts w:hint="eastAsia"/>
          <w:lang w:val="zh-CN"/>
        </w:rPr>
        <w:t>【便民服务】</w:t>
      </w:r>
    </w:p>
    <w:p w14:paraId="2F020899">
      <w:pPr>
        <w:bidi w:val="0"/>
        <w:rPr>
          <w:rFonts w:hint="eastAsia"/>
          <w:lang w:val="zh-CN"/>
        </w:rPr>
      </w:pPr>
      <w:r>
        <w:rPr>
          <w:rFonts w:hint="eastAsia"/>
          <w:lang w:val="zh-CN"/>
        </w:rPr>
        <w:t>分公司营业厅新增高清数字电视、高速宽带、互动业务体验区；新增微厅、微信支付、银联支付及短信通知等方式方便客户办理业务。</w:t>
      </w:r>
    </w:p>
    <w:p w14:paraId="05381215">
      <w:pPr>
        <w:pStyle w:val="4"/>
        <w:bidi w:val="0"/>
        <w:rPr>
          <w:rFonts w:hint="eastAsia"/>
          <w:lang w:val="zh-CN"/>
        </w:rPr>
      </w:pPr>
      <w:r>
        <w:rPr>
          <w:rFonts w:hint="eastAsia"/>
          <w:lang w:val="zh-CN"/>
        </w:rPr>
        <w:t>【活动开展】</w:t>
      </w:r>
    </w:p>
    <w:p w14:paraId="586F281B">
      <w:pPr>
        <w:bidi w:val="0"/>
        <w:rPr>
          <w:rFonts w:hint="eastAsia"/>
          <w:lang w:val="zh-CN"/>
        </w:rPr>
      </w:pPr>
      <w:r>
        <w:rPr>
          <w:rFonts w:hint="eastAsia"/>
          <w:lang w:val="zh-CN"/>
        </w:rPr>
        <w:t>由广东省广播电视网络股份有限公司、广东广播电视台、广东省足球协会联合主办，分公司、广东体育频道、市足协承办的2018U点“我爱足球”广东省五人足球争霸赛首次在南雄举办预赛。</w:t>
      </w:r>
    </w:p>
    <w:p w14:paraId="3A4BA0BC">
      <w:pPr>
        <w:bidi w:val="0"/>
        <w:jc w:val="right"/>
        <w:rPr>
          <w:rFonts w:hint="eastAsia"/>
          <w:b/>
          <w:bCs/>
          <w:lang w:val="zh-CN"/>
        </w:rPr>
      </w:pPr>
      <w:r>
        <w:rPr>
          <w:rFonts w:hint="eastAsia"/>
          <w:b/>
          <w:bCs/>
          <w:lang w:val="zh-CN"/>
        </w:rPr>
        <w:t>（林园园）</w:t>
      </w:r>
    </w:p>
    <w:p w14:paraId="1838EBA7">
      <w:pPr>
        <w:pStyle w:val="11"/>
        <w:bidi w:val="0"/>
        <w:rPr>
          <w:rFonts w:hint="eastAsia"/>
          <w:b/>
          <w:bCs/>
          <w:lang w:val="zh-CN"/>
        </w:rPr>
      </w:pPr>
      <w:r>
        <w:rPr>
          <w:rFonts w:hint="eastAsia"/>
          <w:b/>
          <w:bCs/>
          <w:lang w:val="zh-CN"/>
        </w:rPr>
        <w:t>附：2018年广电网络韶关南雄分公司领导班子成员名单</w:t>
      </w:r>
    </w:p>
    <w:p w14:paraId="3CCEBA27">
      <w:pPr>
        <w:pStyle w:val="11"/>
        <w:bidi w:val="0"/>
        <w:rPr>
          <w:rFonts w:hint="eastAsia"/>
          <w:lang w:val="zh-CN"/>
        </w:rPr>
      </w:pPr>
      <w:r>
        <w:rPr>
          <w:rFonts w:hint="eastAsia"/>
          <w:b/>
          <w:bCs/>
          <w:lang w:val="zh-CN"/>
        </w:rPr>
        <w:t>总</w:t>
      </w:r>
      <w:r>
        <w:rPr>
          <w:rFonts w:hint="eastAsia"/>
          <w:b/>
          <w:bCs/>
          <w:lang w:val="en-US" w:eastAsia="zh-CN"/>
        </w:rPr>
        <w:t xml:space="preserve"> </w:t>
      </w:r>
      <w:r>
        <w:rPr>
          <w:rFonts w:hint="eastAsia"/>
          <w:b/>
          <w:bCs/>
          <w:lang w:val="zh-CN"/>
        </w:rPr>
        <w:t>经</w:t>
      </w:r>
      <w:r>
        <w:rPr>
          <w:rFonts w:hint="eastAsia"/>
          <w:b/>
          <w:bCs/>
          <w:lang w:val="en-US" w:eastAsia="zh-CN"/>
        </w:rPr>
        <w:t xml:space="preserve"> </w:t>
      </w:r>
      <w:r>
        <w:rPr>
          <w:rFonts w:hint="eastAsia"/>
          <w:b/>
          <w:bCs/>
          <w:lang w:val="zh-CN"/>
        </w:rPr>
        <w:t>理：</w:t>
      </w:r>
      <w:r>
        <w:rPr>
          <w:rFonts w:hint="eastAsia"/>
          <w:lang w:val="zh-CN"/>
        </w:rPr>
        <w:t>卢德政</w:t>
      </w:r>
    </w:p>
    <w:p w14:paraId="4144D34B">
      <w:pPr>
        <w:pStyle w:val="11"/>
        <w:bidi w:val="0"/>
        <w:rPr>
          <w:rFonts w:hint="eastAsia"/>
          <w:lang w:val="zh-CN"/>
        </w:rPr>
      </w:pPr>
      <w:r>
        <w:rPr>
          <w:rFonts w:hint="eastAsia"/>
          <w:b/>
          <w:bCs/>
          <w:lang w:val="zh-CN"/>
        </w:rPr>
        <w:t>副总经理：</w:t>
      </w:r>
      <w:r>
        <w:rPr>
          <w:rFonts w:hint="eastAsia"/>
          <w:lang w:val="zh-CN"/>
        </w:rPr>
        <w:t>张海峰</w:t>
      </w:r>
      <w:r>
        <w:rPr>
          <w:rFonts w:hint="eastAsia"/>
          <w:lang w:val="en-US" w:eastAsia="zh-CN"/>
        </w:rPr>
        <w:t xml:space="preserve">   </w:t>
      </w:r>
      <w:r>
        <w:rPr>
          <w:rFonts w:hint="eastAsia"/>
          <w:lang w:val="zh-CN"/>
        </w:rPr>
        <w:t>李少龙</w:t>
      </w:r>
    </w:p>
    <w:p w14:paraId="484F4B00">
      <w:pPr>
        <w:pStyle w:val="3"/>
        <w:bidi w:val="0"/>
        <w:rPr>
          <w:rFonts w:hint="eastAsia"/>
          <w:lang w:val="zh-CN"/>
        </w:rPr>
      </w:pPr>
      <w:r>
        <w:rPr>
          <w:rFonts w:hint="eastAsia"/>
          <w:lang w:val="zh-CN"/>
        </w:rPr>
        <w:t>珠玑梅关景区管理</w:t>
      </w:r>
    </w:p>
    <w:p w14:paraId="4DF181D2">
      <w:pPr>
        <w:pStyle w:val="4"/>
        <w:bidi w:val="0"/>
        <w:rPr>
          <w:rFonts w:hint="eastAsia"/>
          <w:lang w:val="zh-CN"/>
        </w:rPr>
      </w:pPr>
      <w:r>
        <w:rPr>
          <w:rFonts w:hint="eastAsia"/>
          <w:lang w:val="zh-CN"/>
        </w:rPr>
        <w:t>【概况】</w:t>
      </w:r>
    </w:p>
    <w:p w14:paraId="03AE726B">
      <w:pPr>
        <w:bidi w:val="0"/>
        <w:rPr>
          <w:rFonts w:hint="eastAsia"/>
          <w:lang w:val="zh-CN"/>
        </w:rPr>
      </w:pPr>
      <w:r>
        <w:rPr>
          <w:rFonts w:hint="eastAsia"/>
          <w:lang w:val="zh-CN"/>
        </w:rPr>
        <w:t>南雄市珠玑梅关景区管理中心成立于2017年8月，为市政府管理的公益一类副科级事业单位。前身是珠玑巷景区管理所，成立于2011年9月，为珠玑镇人民政府下属股级事业单位。</w:t>
      </w:r>
    </w:p>
    <w:p w14:paraId="31345443">
      <w:pPr>
        <w:bidi w:val="0"/>
        <w:rPr>
          <w:rFonts w:hint="eastAsia"/>
          <w:lang w:val="zh-CN"/>
        </w:rPr>
      </w:pPr>
      <w:r>
        <w:rPr>
          <w:rFonts w:hint="eastAsia"/>
          <w:lang w:val="zh-CN"/>
        </w:rPr>
        <w:t>为加强珠玑古巷和梅关古道景区的建设和管理，南雄市人民政府于2017年7月成立珠玑梅关景区管理委员会，由时任市委常委、统战部部长林军同志任管委会主任，温世雄同志任专职副主任。同年8月正式成立珠玑梅关景区管理中心，办公地点设在珠玑古巷景区客服中心。</w:t>
      </w:r>
    </w:p>
    <w:p w14:paraId="66D88D20">
      <w:pPr>
        <w:bidi w:val="0"/>
        <w:rPr>
          <w:rFonts w:hint="eastAsia"/>
          <w:lang w:val="zh-CN"/>
        </w:rPr>
      </w:pPr>
      <w:r>
        <w:rPr>
          <w:rFonts w:hint="eastAsia"/>
          <w:lang w:val="zh-CN"/>
        </w:rPr>
        <w:t>管理中心主要工作职责：1、负责景区内自然、生态、人文、旅游资源开发和环境保护等工作；2、负责拟订和完善景区各类规划和景区发展计划，并组织实施；3、统一规划、管理景区内旅游设施、基础设施、公共设施等建设项目；4、协调景区内占用土地和工程建设项目的审查和监督；5、负责景区旅游管理，制定景区的公共规则，实施景区内环境卫生、商业和服务业的监督管理；6、负责景区招商引资及投资项目的考察、论证工作；7、承办市委、市政府交办的其他事项。</w:t>
      </w:r>
    </w:p>
    <w:p w14:paraId="0306B530">
      <w:pPr>
        <w:bidi w:val="0"/>
        <w:rPr>
          <w:rFonts w:hint="eastAsia"/>
          <w:lang w:val="zh-CN"/>
        </w:rPr>
      </w:pPr>
      <w:r>
        <w:rPr>
          <w:rFonts w:hint="eastAsia"/>
          <w:lang w:val="zh-CN"/>
        </w:rPr>
        <w:t>管理中心2018年编制6名，有人员6名，其中主任1名，工作人员5名。内设办公室、规划建设办公室，各办公室设主任1名（副股级）。</w:t>
      </w:r>
    </w:p>
    <w:p w14:paraId="03CEFB3E">
      <w:pPr>
        <w:bidi w:val="0"/>
        <w:rPr>
          <w:rFonts w:hint="eastAsia"/>
          <w:lang w:val="zh-CN"/>
        </w:rPr>
      </w:pPr>
      <w:r>
        <w:rPr>
          <w:rFonts w:hint="eastAsia"/>
          <w:lang w:val="zh-CN"/>
        </w:rPr>
        <w:t>2018年，珠玑梅关景区管理中心在南雄市绩效考核中获得第三等次奖励。</w:t>
      </w:r>
    </w:p>
    <w:p w14:paraId="3BBFE7D1">
      <w:pPr>
        <w:pStyle w:val="4"/>
        <w:bidi w:val="0"/>
        <w:rPr>
          <w:rFonts w:hint="eastAsia"/>
          <w:lang w:val="zh-CN"/>
        </w:rPr>
      </w:pPr>
      <w:r>
        <w:rPr>
          <w:rFonts w:hint="eastAsia"/>
          <w:lang w:val="zh-CN"/>
        </w:rPr>
        <w:t>【规划】</w:t>
      </w:r>
    </w:p>
    <w:p w14:paraId="290A7E54">
      <w:pPr>
        <w:bidi w:val="0"/>
        <w:rPr>
          <w:rFonts w:hint="eastAsia"/>
          <w:lang w:val="zh-CN"/>
        </w:rPr>
      </w:pPr>
      <w:r>
        <w:rPr>
          <w:rFonts w:hint="eastAsia"/>
          <w:lang w:val="zh-CN"/>
        </w:rPr>
        <w:t>为更好开发珠玑古巷和梅关古道景区，市旅游局聘请专业设计单位宁波市图乐公司为珠玑古巷和梅关古道景区做规划，珠玑梅关景区管理中心协助规划工作。2018年12月，完成《南雄市珠玑古巷·梅关古道景区重点地块修建性详细规划（初稿）》和《南雄市珠玑古巷·梅关古道景区总体规划修编（初稿）》。</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9099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07E5760">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6805" cy="3686175"/>
                  <wp:effectExtent l="0" t="0" r="4445" b="9525"/>
                  <wp:docPr id="129" name="图片 129" descr="南雄年鉴2019_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南雄年鉴2019_0104"/>
                          <pic:cNvPicPr>
                            <a:picLocks noChangeAspect="1"/>
                          </pic:cNvPicPr>
                        </pic:nvPicPr>
                        <pic:blipFill>
                          <a:blip r:embed="rId116"/>
                          <a:stretch>
                            <a:fillRect/>
                          </a:stretch>
                        </pic:blipFill>
                        <pic:spPr>
                          <a:xfrm>
                            <a:off x="0" y="0"/>
                            <a:ext cx="6186805" cy="3686175"/>
                          </a:xfrm>
                          <a:prstGeom prst="rect">
                            <a:avLst/>
                          </a:prstGeom>
                        </pic:spPr>
                      </pic:pic>
                    </a:graphicData>
                  </a:graphic>
                </wp:inline>
              </w:drawing>
            </w:r>
          </w:p>
        </w:tc>
      </w:tr>
      <w:tr w14:paraId="4ED2F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0BFB85E">
            <w:pPr>
              <w:bidi w:val="0"/>
              <w:rPr>
                <w:rFonts w:hint="eastAsia" w:eastAsia="宋体"/>
                <w:vertAlign w:val="baseline"/>
                <w:lang w:val="en-US" w:eastAsia="zh-CN"/>
              </w:rPr>
            </w:pPr>
            <w:r>
              <w:rPr>
                <w:rFonts w:hint="eastAsia" w:ascii="FZKTK--GBK1-0" w:hAnsi="FZKTK--GBK1-0" w:eastAsia="FZKTK--GBK1-0"/>
                <w:sz w:val="20"/>
              </w:rPr>
              <w:t>家训家风馆文艺演出（市委办</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54DE59A1">
      <w:pPr>
        <w:pStyle w:val="4"/>
        <w:bidi w:val="0"/>
        <w:rPr>
          <w:rFonts w:hint="eastAsia"/>
          <w:lang w:val="zh-CN"/>
        </w:rPr>
      </w:pPr>
      <w:r>
        <w:rPr>
          <w:rFonts w:hint="eastAsia"/>
          <w:lang w:val="zh-CN"/>
        </w:rPr>
        <w:t>【项目建设】</w:t>
      </w:r>
    </w:p>
    <w:p w14:paraId="40628452">
      <w:pPr>
        <w:bidi w:val="0"/>
        <w:rPr>
          <w:rFonts w:hint="eastAsia"/>
          <w:lang w:val="zh-CN"/>
        </w:rPr>
      </w:pPr>
      <w:r>
        <w:rPr>
          <w:rFonts w:hint="eastAsia"/>
          <w:lang w:val="zh-CN"/>
        </w:rPr>
        <w:t>市委、市政府投资建设广府人家训馆，项目由市委宣传部主导，市珠玑梅关景区管理中心为建设单位，负责具体实施。广府人家训馆位于南雄市珠玑古巷旅游景区内（原珠玑古巷博物馆），展陈面积约1430平方米（一楼430平方米，二楼约1000平方米），其中包括基本陈列展厅和建筑外观的装饰装修、陈列布展等建设内容，总投资约595万元。</w:t>
      </w:r>
    </w:p>
    <w:p w14:paraId="768B737C">
      <w:pPr>
        <w:bidi w:val="0"/>
        <w:rPr>
          <w:rFonts w:hint="eastAsia"/>
          <w:lang w:val="zh-CN"/>
        </w:rPr>
      </w:pPr>
      <w:r>
        <w:rPr>
          <w:rFonts w:hint="eastAsia"/>
          <w:lang w:val="zh-CN"/>
        </w:rPr>
        <w:t>广府人家训馆展陈内容丰富，通过木刻展板、多媒体和声光电等形式，展现“诚信、孝道、和睦、实干”等优秀家风家训，供广大游客、本地党员干部和青少年学习传承，给子孙后代带来情感的滋养和道德的熏陶。广府人家训馆项目建成投入使用，是加强家风建设、弘扬传统文化，传承优秀家风家训、践行社会主义核心价值观的一大创造性亮点工程。进一步擦亮南雄“姓氏文化”品牌，极大提升南雄姓氏文化感染力和影响力，得到省委宣传部和韶关市宣传部领导高度评价。</w:t>
      </w:r>
    </w:p>
    <w:p w14:paraId="053F07DB">
      <w:pPr>
        <w:bidi w:val="0"/>
        <w:rPr>
          <w:rFonts w:hint="eastAsia"/>
          <w:lang w:val="zh-CN"/>
        </w:rPr>
      </w:pPr>
      <w:r>
        <w:rPr>
          <w:rFonts w:hint="eastAsia"/>
          <w:lang w:val="zh-CN"/>
        </w:rPr>
        <w:t>广府人家训馆于2018年1月启动实施。1月8日项目开标，中标单位为广州美霖装饰股份有限公司。项目中标后，施工单位对博物馆原展区进行场地清理，于2018年3月正式施工，5月份完成内部装修工程，7月份完成展陈内容装饰工程，8月底全面完工。2018年10月9日正式落成开馆，广东省委宣传部领导、韶关市委宣传部领导、南雄市主要领导出席开馆仪式并参观展馆。</w:t>
      </w:r>
    </w:p>
    <w:p w14:paraId="29EEE8BF">
      <w:pPr>
        <w:pStyle w:val="4"/>
        <w:bidi w:val="0"/>
        <w:rPr>
          <w:rFonts w:hint="eastAsia"/>
          <w:lang w:val="zh-CN"/>
        </w:rPr>
      </w:pPr>
      <w:r>
        <w:rPr>
          <w:rFonts w:hint="eastAsia"/>
          <w:lang w:val="zh-CN"/>
        </w:rPr>
        <w:t>【日常管理】</w:t>
      </w:r>
    </w:p>
    <w:p w14:paraId="2CE0A26B">
      <w:pPr>
        <w:bidi w:val="0"/>
        <w:rPr>
          <w:rFonts w:hint="eastAsia"/>
          <w:lang w:val="zh-CN"/>
        </w:rPr>
      </w:pPr>
      <w:r>
        <w:rPr>
          <w:rFonts w:hint="eastAsia"/>
          <w:lang w:val="zh-CN"/>
        </w:rPr>
        <w:t>为改善珠玑古巷和梅关古道景区旅游形象，管理中心积极协调市各相关职能部门各司其职，针对珠玑古巷内存在的乱挂姓氏牌、售假卖假、跟客、围堵游客、占道经营等不良现象进行集中整治。2018年开展联合整治行动7次，开展日常巡查124人次。</w:t>
      </w:r>
    </w:p>
    <w:p w14:paraId="3AF80BF8">
      <w:pPr>
        <w:bidi w:val="0"/>
        <w:jc w:val="right"/>
        <w:rPr>
          <w:rFonts w:hint="eastAsia"/>
          <w:b/>
          <w:bCs/>
          <w:lang w:val="zh-CN"/>
        </w:rPr>
      </w:pPr>
      <w:r>
        <w:rPr>
          <w:rFonts w:hint="eastAsia"/>
          <w:b/>
          <w:bCs/>
          <w:lang w:val="zh-CN"/>
        </w:rPr>
        <w:t>（吴建华）</w:t>
      </w:r>
    </w:p>
    <w:p w14:paraId="2DE72BB8">
      <w:pPr>
        <w:pStyle w:val="11"/>
        <w:bidi w:val="0"/>
        <w:rPr>
          <w:rFonts w:hint="eastAsia"/>
          <w:b/>
          <w:bCs/>
          <w:lang w:val="zh-CN"/>
        </w:rPr>
      </w:pPr>
      <w:r>
        <w:rPr>
          <w:rFonts w:hint="eastAsia"/>
          <w:b/>
          <w:bCs/>
          <w:lang w:val="zh-CN"/>
        </w:rPr>
        <w:t>附：2018年市珠玑梅关景区管理中心领导班子成员名单</w:t>
      </w:r>
    </w:p>
    <w:p w14:paraId="61C994AA">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温世雄</w:t>
      </w:r>
    </w:p>
    <w:p w14:paraId="43AB26A9">
      <w:pPr>
        <w:pStyle w:val="11"/>
        <w:bidi w:val="0"/>
        <w:rPr>
          <w:rFonts w:hint="eastAsia"/>
          <w:lang w:val="zh-CN"/>
        </w:rPr>
      </w:pPr>
      <w:r>
        <w:rPr>
          <w:rFonts w:hint="eastAsia"/>
          <w:b/>
          <w:bCs/>
          <w:lang w:val="zh-CN"/>
        </w:rPr>
        <w:t>办公室主任：</w:t>
      </w:r>
      <w:r>
        <w:rPr>
          <w:rFonts w:hint="eastAsia"/>
          <w:lang w:val="zh-CN"/>
        </w:rPr>
        <w:t>吴建华</w:t>
      </w:r>
    </w:p>
    <w:p w14:paraId="0C32B513">
      <w:pPr>
        <w:pStyle w:val="11"/>
        <w:bidi w:val="0"/>
        <w:rPr>
          <w:rFonts w:hint="eastAsia"/>
          <w:lang w:val="zh-CN"/>
        </w:rPr>
      </w:pPr>
      <w:r>
        <w:rPr>
          <w:rFonts w:hint="eastAsia"/>
          <w:b/>
          <w:bCs/>
          <w:lang w:val="zh-CN"/>
        </w:rPr>
        <w:t>规划建设办主任：</w:t>
      </w:r>
      <w:r>
        <w:rPr>
          <w:rFonts w:hint="eastAsia"/>
          <w:lang w:val="zh-CN"/>
        </w:rPr>
        <w:t>朱万泽</w:t>
      </w:r>
    </w:p>
    <w:p w14:paraId="1041376B">
      <w:pPr>
        <w:pStyle w:val="2"/>
        <w:bidi w:val="0"/>
        <w:rPr>
          <w:rFonts w:hint="eastAsia"/>
        </w:rPr>
      </w:pPr>
      <w:r>
        <w:rPr>
          <w:rFonts w:hint="eastAsia"/>
        </w:rPr>
        <w:t>卫生·健康</w:t>
      </w:r>
    </w:p>
    <w:p w14:paraId="0687B346">
      <w:pPr>
        <w:pStyle w:val="3"/>
        <w:bidi w:val="0"/>
        <w:rPr>
          <w:rFonts w:hint="eastAsia"/>
          <w:lang w:val="zh-CN"/>
        </w:rPr>
      </w:pPr>
      <w:r>
        <w:rPr>
          <w:rFonts w:hint="eastAsia"/>
          <w:lang w:val="zh-CN"/>
        </w:rPr>
        <w:t>卫生计生综述</w:t>
      </w:r>
    </w:p>
    <w:p w14:paraId="4929D9CD">
      <w:pPr>
        <w:pStyle w:val="4"/>
        <w:bidi w:val="0"/>
        <w:rPr>
          <w:rFonts w:hint="eastAsia"/>
          <w:lang w:val="zh-CN"/>
        </w:rPr>
      </w:pPr>
      <w:r>
        <w:rPr>
          <w:rFonts w:hint="eastAsia"/>
          <w:lang w:val="zh-CN"/>
        </w:rPr>
        <w:t>【获得荣誉】</w:t>
      </w:r>
    </w:p>
    <w:p w14:paraId="52996C3E">
      <w:pPr>
        <w:bidi w:val="0"/>
        <w:rPr>
          <w:rFonts w:hint="eastAsia"/>
          <w:lang w:val="zh-CN"/>
        </w:rPr>
      </w:pPr>
      <w:r>
        <w:rPr>
          <w:rFonts w:hint="eastAsia"/>
          <w:lang w:val="zh-CN"/>
        </w:rPr>
        <w:t>2018年，南雄市肿瘤登记工作获得国家癌症中心授予的“2018年度肿瘤登记工作进步奖”称号；全市精神疾病管治工作获得“2017年度广东省严重精神障碍管理治疗工作优秀（县）区”荣誉称号；妇幼健康服务工作被广东省卫计委评为“2017年度省级妇幼健康优质服务示范区”。生育状况抽样调查工作被国家卫计委办公厅评为“2017年全国生育状况抽样调查优秀单位”；计划生育目标责任制考核被广东省人民政府评为“2017年度计划生育目标管理责任制考评优秀等次”，被韶关市人民政府评为“2017年度计划生育目标管理责任制考评优秀等次”。</w:t>
      </w:r>
    </w:p>
    <w:p w14:paraId="53705023">
      <w:pPr>
        <w:pStyle w:val="4"/>
        <w:bidi w:val="0"/>
        <w:rPr>
          <w:rFonts w:hint="eastAsia"/>
          <w:lang w:val="zh-CN"/>
        </w:rPr>
      </w:pPr>
      <w:r>
        <w:rPr>
          <w:rFonts w:hint="eastAsia"/>
          <w:lang w:val="zh-CN"/>
        </w:rPr>
        <w:t>【医疗卫生】</w:t>
      </w:r>
    </w:p>
    <w:p w14:paraId="73D881B8">
      <w:pPr>
        <w:bidi w:val="0"/>
        <w:rPr>
          <w:rFonts w:hint="eastAsia"/>
          <w:lang w:val="zh-CN"/>
        </w:rPr>
      </w:pPr>
      <w:r>
        <w:rPr>
          <w:rFonts w:hint="eastAsia"/>
          <w:lang w:val="zh-CN"/>
        </w:rPr>
        <w:t>2018年，全市拥有各类医疗机构360间。其中县（市）级综合性医院1间（市人民医院），县（市）级中医院1间，县（市）级疾病预防控制机构4间（疾病预防控制中心、卫生监督所、慢性病防治站、妇幼保健计划生育服务院），社区卫生服务中心1间，镇级卫生院18间，村级卫生站282间，企事业、个体诊所53间。有病床1492张，其中城区960张，镇卫生院532张，每千人拥有床位4.48张。在职在编人员1354人，其中卫生技术人员1204人；高级职称106人（正高6人、副高100人），中级职称345人，初级职称753人，无职称150人；执业（助理）医师705人，每千人拥有医生数2.12人；注册护士859人，每千人拥有护士2.58人。</w:t>
      </w:r>
    </w:p>
    <w:p w14:paraId="54431CCE">
      <w:pPr>
        <w:bidi w:val="0"/>
        <w:rPr>
          <w:rFonts w:hint="eastAsia"/>
          <w:lang w:val="zh-CN"/>
        </w:rPr>
      </w:pPr>
      <w:r>
        <w:rPr>
          <w:rFonts w:hint="eastAsia"/>
          <w:lang w:val="zh-CN"/>
        </w:rPr>
        <w:t>全市有单价万元以上设备381台，其中50万元以上设备26台。在国务院公布的甲、乙类大型医疗设备中，医用核磁共振（MRI）2台，X线电子计算机断层扫描装置（CT）2台（其中螺旋CT2台），DR机9台，计算机化的X线放射影像系统（CR）9台，彩色B超8台。2018年全市门诊人次达到189.72万人，住院人次达到6.2万人。</w:t>
      </w:r>
    </w:p>
    <w:p w14:paraId="1692D06D">
      <w:pPr>
        <w:pStyle w:val="3"/>
        <w:bidi w:val="0"/>
        <w:rPr>
          <w:rFonts w:hint="eastAsia"/>
          <w:lang w:val="zh-CN"/>
        </w:rPr>
      </w:pPr>
      <w:r>
        <w:rPr>
          <w:rFonts w:hint="eastAsia"/>
          <w:lang w:val="zh-CN"/>
        </w:rPr>
        <w:t>基本公共卫生服务</w:t>
      </w:r>
    </w:p>
    <w:p w14:paraId="0C251795">
      <w:pPr>
        <w:pStyle w:val="4"/>
        <w:bidi w:val="0"/>
        <w:rPr>
          <w:rFonts w:hint="eastAsia"/>
          <w:lang w:val="zh-CN"/>
        </w:rPr>
      </w:pPr>
      <w:r>
        <w:rPr>
          <w:rFonts w:hint="eastAsia"/>
          <w:lang w:val="zh-CN"/>
        </w:rPr>
        <w:t>【传染病防治】</w:t>
      </w:r>
    </w:p>
    <w:p w14:paraId="18CE01EA">
      <w:pPr>
        <w:bidi w:val="0"/>
        <w:rPr>
          <w:rFonts w:hint="eastAsia"/>
          <w:lang w:val="zh-CN"/>
        </w:rPr>
      </w:pPr>
      <w:r>
        <w:rPr>
          <w:rFonts w:hint="eastAsia"/>
          <w:lang w:val="zh-CN"/>
        </w:rPr>
        <w:t>2018年全市报告传染病13种2069例，发病率425.50/10万人。无甲类传染病报告，报告乙类传染病8种933例，发病率为192.01/10万人，居前三位的是病毒性肝炎、肺结核和梅毒；报告丙类传染病5种1136例，发病率233.79/10万人，居前三位的是手足口病、流行性感冒、其他感染性腹泻。主动监测发热肺炎与不明原因肺炎，监测哨点医院门诊病例数27.14万例、住院病例数1.42万例，未发现发热肺炎查因病例及不明原因肺炎病例；监测动物伤人暴露3578例，未发现狂犬病病例；本地新报告HIV/AIDS病例19例。处理急性传染病疫情和卫生应急事件25起，分别是水痘疫情14起，手足口病疫情9起，流感疫情1起，食物中毒事件1起。</w:t>
      </w:r>
    </w:p>
    <w:p w14:paraId="57EE73EA">
      <w:pPr>
        <w:pStyle w:val="4"/>
        <w:bidi w:val="0"/>
        <w:rPr>
          <w:rFonts w:hint="eastAsia"/>
          <w:lang w:val="zh-CN"/>
        </w:rPr>
      </w:pPr>
      <w:r>
        <w:rPr>
          <w:rFonts w:hint="eastAsia"/>
          <w:lang w:val="zh-CN"/>
        </w:rPr>
        <w:t>【建档管理】</w:t>
      </w:r>
    </w:p>
    <w:p w14:paraId="4C0E2120">
      <w:pPr>
        <w:bidi w:val="0"/>
        <w:rPr>
          <w:rFonts w:hint="eastAsia"/>
          <w:lang w:val="zh-CN"/>
        </w:rPr>
      </w:pPr>
      <w:r>
        <w:rPr>
          <w:rFonts w:hint="eastAsia"/>
          <w:lang w:val="zh-CN"/>
        </w:rPr>
        <w:t>2018年全市建立居民健康档案26.75万人，建档率80.38%；65岁以上老年人健康档案管理3.39万人，任务完成率98.17%。全市建高血压病人档案1.86万人，任务完成率104.03%，规范管理人数1.23万人，规范管理率66.28%；建糖尿病病人档案5553人，任务完成率91.09%，规范管理人数3534人，规范管理率为63.64%。</w:t>
      </w:r>
    </w:p>
    <w:p w14:paraId="1AB3982A">
      <w:pPr>
        <w:pStyle w:val="4"/>
        <w:bidi w:val="0"/>
        <w:rPr>
          <w:rFonts w:hint="eastAsia"/>
          <w:lang w:val="zh-CN"/>
        </w:rPr>
      </w:pPr>
      <w:r>
        <w:rPr>
          <w:rFonts w:hint="eastAsia"/>
          <w:lang w:val="zh-CN"/>
        </w:rPr>
        <w:t>【免疫规划】</w:t>
      </w:r>
    </w:p>
    <w:p w14:paraId="1CB45B0B">
      <w:pPr>
        <w:bidi w:val="0"/>
        <w:rPr>
          <w:rFonts w:hint="eastAsia"/>
          <w:lang w:val="zh-CN"/>
        </w:rPr>
      </w:pPr>
      <w:r>
        <w:rPr>
          <w:rFonts w:hint="eastAsia"/>
          <w:lang w:val="zh-CN"/>
        </w:rPr>
        <w:t>2018年全市疫苗冷链运转12次，新增出生接种信息个案3263人。基础疫苗免疫接种率达95%以上，加强疫苗接种率达90%以上。开展免疫规划针对性疾病监测，监测AFP病例1例，按要求做好标本采集和上送；监测疑似麻疹病例13例，均为排除病例；未发现破伤风病例。全年报告疑似预防接种异常反应87例，其中一般反应78例，异常反应（过敏性皮疹）9例，均规范处置。</w:t>
      </w:r>
    </w:p>
    <w:p w14:paraId="310D0635">
      <w:pPr>
        <w:bidi w:val="0"/>
        <w:rPr>
          <w:rFonts w:hint="eastAsia"/>
          <w:lang w:val="zh-CN"/>
        </w:rPr>
      </w:pPr>
      <w:r>
        <w:rPr>
          <w:rFonts w:hint="eastAsia"/>
          <w:lang w:val="zh-CN"/>
        </w:rPr>
        <w:t>响应“健康中国行”号召，举办健康素养巡讲活动和控烟知识、传染病防控等讲座13次，受教群众906人次；开展各种卫生主题日健康教育宣传咨询活动16次，发放宣传资料3.5万份、健康宣传品0.91万份，参与市民5444人次，接受公众咨询597人次；举办妈妈课堂、老年人保健等健康课堂22期，受教育群众1219人次；结合全民健康生活方式日、“戒烟限酒，健康过节”健走活动以及“重走长征路·再创新辉煌”徒步等活动，开展“三减三健”、慢性病防控宣传，巩固国家慢性病防控示范区建设成果。</w:t>
      </w:r>
    </w:p>
    <w:p w14:paraId="52CF140F">
      <w:pPr>
        <w:pStyle w:val="4"/>
        <w:bidi w:val="0"/>
        <w:rPr>
          <w:rFonts w:hint="eastAsia"/>
          <w:lang w:val="zh-CN"/>
        </w:rPr>
      </w:pPr>
      <w:r>
        <w:rPr>
          <w:rFonts w:hint="eastAsia"/>
          <w:lang w:val="zh-CN"/>
        </w:rPr>
        <w:t>【孕产妇、儿童保健】</w:t>
      </w:r>
    </w:p>
    <w:p w14:paraId="6C296C0F">
      <w:pPr>
        <w:bidi w:val="0"/>
        <w:rPr>
          <w:rFonts w:hint="eastAsia"/>
          <w:lang w:val="zh-CN"/>
        </w:rPr>
      </w:pPr>
      <w:r>
        <w:rPr>
          <w:rFonts w:hint="eastAsia"/>
          <w:lang w:val="zh-CN"/>
        </w:rPr>
        <w:t>截至2018年10月，全市住院分娩产妇总数4349人，活产数4364人，住院分娩率100%，系统管理数4146人，系统管理率95%，其中高危孕产妇672人，高危孕产妇住院分娩率100%，无孕产妇死亡情况。全市7岁以下儿童3.75万人，健康管理3.56万人，健康管理率95%；3岁以下儿童1.57万人，系统管理数1.49万人，系统管理率95%；体弱儿专案管理467人，管理率100%。2018年，全市5岁以下儿童死亡14例，死亡率为3.21‰；婴儿死亡10例，死亡率2.29‰，均低于“两纲”要求8‰和6‰的水平；新生儿死亡6例，死亡率1.37‰。</w:t>
      </w:r>
    </w:p>
    <w:p w14:paraId="1462D9CA">
      <w:pPr>
        <w:pStyle w:val="3"/>
        <w:bidi w:val="0"/>
        <w:rPr>
          <w:rFonts w:hint="eastAsia"/>
          <w:lang w:val="zh-CN"/>
        </w:rPr>
      </w:pPr>
      <w:r>
        <w:rPr>
          <w:rFonts w:hint="eastAsia"/>
          <w:lang w:val="zh-CN"/>
        </w:rPr>
        <w:t>基层医疗卫生</w:t>
      </w:r>
    </w:p>
    <w:p w14:paraId="125145E8">
      <w:pPr>
        <w:pStyle w:val="4"/>
        <w:bidi w:val="0"/>
        <w:rPr>
          <w:rFonts w:hint="eastAsia"/>
          <w:lang w:val="zh-CN"/>
        </w:rPr>
      </w:pPr>
      <w:r>
        <w:rPr>
          <w:rFonts w:hint="eastAsia"/>
          <w:lang w:val="zh-CN"/>
        </w:rPr>
        <w:t>【重大公共卫生工作】</w:t>
      </w:r>
    </w:p>
    <w:p w14:paraId="367D2C61">
      <w:pPr>
        <w:bidi w:val="0"/>
        <w:rPr>
          <w:rFonts w:hint="eastAsia"/>
          <w:lang w:val="zh-CN"/>
        </w:rPr>
      </w:pPr>
      <w:r>
        <w:rPr>
          <w:rFonts w:hint="eastAsia"/>
          <w:lang w:val="zh-CN"/>
        </w:rPr>
        <w:t>2018年全市发放叶酸1.65万瓶，服用人数3351人，调查人数3351，目标人群增补叶酸知晓人数3016人，知晓率90%；免费孕前优生健康检查任务数为4600人，实际完成4600人，完成率为100%；地贫初筛育龄妇女5628人，筛查率100%；对2077名孕产妇进行产前唐氏筛查，唐氏筛查率为47.6%，确诊唐氏染色体异常2例，均已行引产术；新生儿疾病筛查4364例，住院分娩筛查率为100%，发现G6PD缺乏142人，发病率3.26%；新生儿听力筛查4364例，筛查率100%；孕产妇孕产期HIV抗体检测、梅毒检测、乙型肝炎检测4346人，检测率99.6%，检出孕产妇乙肝表面抗原阳性614人，发病率14.07%，已注射乙肝免疫球蛋白的新生儿614人，注射率100%；35-64岁农村妇女参加两癌筛查人数1.38万人，发现宫颈癌5人，宫颈癌检出率36.3/10万；发现乳腺癌16人，乳腺癌检出率116.18/10万；围产儿出生缺陷监测4364例，发现出生缺陷儿16例，缺陷发生率为36.63/万。</w:t>
      </w:r>
    </w:p>
    <w:p w14:paraId="1157EDE2">
      <w:pPr>
        <w:pStyle w:val="4"/>
        <w:bidi w:val="0"/>
        <w:rPr>
          <w:rFonts w:hint="eastAsia"/>
          <w:lang w:val="zh-CN"/>
        </w:rPr>
      </w:pPr>
      <w:r>
        <w:rPr>
          <w:rFonts w:hint="eastAsia"/>
          <w:lang w:val="zh-CN"/>
        </w:rPr>
        <w:t>【地方病防治工作】</w:t>
      </w:r>
    </w:p>
    <w:p w14:paraId="03CE5124">
      <w:pPr>
        <w:bidi w:val="0"/>
        <w:rPr>
          <w:rFonts w:hint="eastAsia"/>
          <w:lang w:val="zh-CN"/>
        </w:rPr>
      </w:pPr>
      <w:r>
        <w:rPr>
          <w:rFonts w:hint="eastAsia"/>
          <w:lang w:val="zh-CN"/>
        </w:rPr>
        <w:t>2018年开展碘缺乏病监测，采集雄州街道、澜河镇、油山镇、南亩镇、古市镇5个街道或乡镇8-10岁儿童家庭碘盐210份，合格率99.52%，抽检孕妇家庭碘盐100份，合格率100%，未发现非碘盐；检测8-10岁儿童尿碘210份，11份低于50μg/L，占5.24%；检测孕妇尿碘100份，7份低于50μg/L，占7%。</w:t>
      </w:r>
    </w:p>
    <w:p w14:paraId="2B33BED0">
      <w:pPr>
        <w:pStyle w:val="3"/>
        <w:bidi w:val="0"/>
        <w:rPr>
          <w:rFonts w:hint="eastAsia"/>
          <w:lang w:val="zh-CN"/>
        </w:rPr>
      </w:pPr>
      <w:r>
        <w:rPr>
          <w:rFonts w:hint="eastAsia"/>
          <w:lang w:val="zh-CN"/>
        </w:rPr>
        <w:t>医药卫生体制改革</w:t>
      </w:r>
    </w:p>
    <w:p w14:paraId="567179C5">
      <w:pPr>
        <w:pStyle w:val="4"/>
        <w:bidi w:val="0"/>
        <w:rPr>
          <w:rFonts w:hint="eastAsia"/>
          <w:lang w:val="zh-CN"/>
        </w:rPr>
      </w:pPr>
      <w:r>
        <w:rPr>
          <w:rFonts w:hint="eastAsia"/>
          <w:lang w:val="zh-CN"/>
        </w:rPr>
        <w:t>【家庭医生签约服务】</w:t>
      </w:r>
    </w:p>
    <w:p w14:paraId="69947181">
      <w:pPr>
        <w:bidi w:val="0"/>
        <w:rPr>
          <w:rFonts w:hint="eastAsia"/>
          <w:lang w:val="zh-CN"/>
        </w:rPr>
      </w:pPr>
      <w:r>
        <w:rPr>
          <w:rFonts w:hint="eastAsia"/>
          <w:lang w:val="zh-CN"/>
        </w:rPr>
        <w:t>2018年全市组建73个家庭医生服务团队，为16.33万人进行家庭医生签约服务，签约率51%；开展0至6岁儿童和高血压患者等重点人群签约服务，签约服务8.25万人，签约率为72%；全年有偿签约服务2.29万人，其中贫困人口1.66万人，重度残疾6321人，实现贫困人口、重度残疾人群签约全覆盖。</w:t>
      </w:r>
    </w:p>
    <w:p w14:paraId="1E582BF4">
      <w:pPr>
        <w:pStyle w:val="4"/>
        <w:bidi w:val="0"/>
        <w:rPr>
          <w:rFonts w:hint="eastAsia"/>
          <w:lang w:val="zh-CN"/>
        </w:rPr>
      </w:pPr>
      <w:r>
        <w:rPr>
          <w:rFonts w:hint="eastAsia"/>
          <w:lang w:val="zh-CN"/>
        </w:rPr>
        <w:t>【公立医院改革实施】</w:t>
      </w:r>
    </w:p>
    <w:p w14:paraId="6638FFB4">
      <w:pPr>
        <w:bidi w:val="0"/>
        <w:rPr>
          <w:rFonts w:hint="eastAsia"/>
          <w:lang w:val="zh-CN"/>
        </w:rPr>
      </w:pPr>
      <w:r>
        <w:rPr>
          <w:rFonts w:hint="eastAsia"/>
          <w:lang w:val="zh-CN"/>
        </w:rPr>
        <w:t>继续执行国家基本药物制度，对国家基本目录药品实行药品零差率销售。调整医疗服务价格，进一步降低大型设备的检查费用和取消药品加成政策。制定《南雄市关于巩固破除以药补医成果进一步深化公立医院综合改革的通知》，明确公立医院改革的具体事宜，推动公立医院综合服务能力的提升；人民医院按要求配齐76种设备，启动医院信息化系统改造，实现无线移动查房、无线护理。</w:t>
      </w:r>
    </w:p>
    <w:p w14:paraId="304386B2">
      <w:pPr>
        <w:pStyle w:val="3"/>
        <w:bidi w:val="0"/>
        <w:rPr>
          <w:rFonts w:hint="eastAsia"/>
          <w:lang w:val="zh-CN"/>
        </w:rPr>
      </w:pPr>
      <w:r>
        <w:rPr>
          <w:rFonts w:hint="eastAsia"/>
          <w:lang w:val="zh-CN"/>
        </w:rPr>
        <w:t>卫生强市建设</w:t>
      </w:r>
    </w:p>
    <w:p w14:paraId="564D53DF">
      <w:pPr>
        <w:pStyle w:val="4"/>
        <w:bidi w:val="0"/>
        <w:rPr>
          <w:rFonts w:hint="eastAsia"/>
          <w:lang w:val="zh-CN"/>
        </w:rPr>
      </w:pPr>
      <w:r>
        <w:rPr>
          <w:rFonts w:hint="eastAsia"/>
          <w:lang w:val="zh-CN"/>
        </w:rPr>
        <w:t>【医疗联合体试点工作】</w:t>
      </w:r>
    </w:p>
    <w:p w14:paraId="291D5D3F">
      <w:pPr>
        <w:bidi w:val="0"/>
        <w:rPr>
          <w:rFonts w:hint="eastAsia"/>
          <w:lang w:val="zh-CN"/>
        </w:rPr>
      </w:pPr>
      <w:r>
        <w:rPr>
          <w:rFonts w:hint="eastAsia"/>
          <w:lang w:val="zh-CN"/>
        </w:rPr>
        <w:t>作为全省15个医疗联合体试点县之一，启动医疗共同体建设，制定《南雄市县域医疗共同体工作实施方案（试行）》及《南雄市医院管理委员会工作制度》，组建以人、财、物的统一管理，医师多点执业目标的紧密型医疗共同体。建设市人民医院（第一）医共体和市中医院妇计院（第二）医共体，并按医共体相关章程开始运行。</w:t>
      </w:r>
    </w:p>
    <w:p w14:paraId="0E95CC6D">
      <w:pPr>
        <w:pStyle w:val="4"/>
        <w:bidi w:val="0"/>
        <w:rPr>
          <w:rFonts w:hint="eastAsia"/>
          <w:lang w:val="zh-CN"/>
        </w:rPr>
      </w:pPr>
      <w:r>
        <w:rPr>
          <w:rFonts w:hint="eastAsia"/>
          <w:lang w:val="zh-CN"/>
        </w:rPr>
        <w:t>【分级诊疗试点工作】</w:t>
      </w:r>
    </w:p>
    <w:p w14:paraId="67C8387A">
      <w:pPr>
        <w:bidi w:val="0"/>
        <w:rPr>
          <w:rFonts w:hint="eastAsia"/>
          <w:lang w:val="zh-CN"/>
        </w:rPr>
      </w:pPr>
      <w:r>
        <w:rPr>
          <w:rFonts w:hint="eastAsia"/>
          <w:lang w:val="zh-CN"/>
        </w:rPr>
        <w:t>市人民医院、市中医院、市妇幼保健计划生育服务院与全市基层医疗机构签订转诊协议，建立“基层首诊、双向转诊、急慢分治、上下联动”的分级诊疗机制，“小病在基层、大病进医院、康复回基层”的就医格局已成雏形。2018年，全市转诊病人2512人，其中上转病人数为2496人，下转病人数16人。</w:t>
      </w:r>
    </w:p>
    <w:p w14:paraId="249D364E">
      <w:pPr>
        <w:pStyle w:val="4"/>
        <w:bidi w:val="0"/>
        <w:rPr>
          <w:rFonts w:hint="eastAsia"/>
          <w:lang w:val="zh-CN"/>
        </w:rPr>
      </w:pPr>
      <w:r>
        <w:rPr>
          <w:rFonts w:hint="eastAsia"/>
          <w:lang w:val="zh-CN"/>
        </w:rPr>
        <w:t>【医疗卫生基础设施完善】</w:t>
      </w:r>
    </w:p>
    <w:p w14:paraId="4FA1EBC7">
      <w:pPr>
        <w:bidi w:val="0"/>
        <w:rPr>
          <w:rFonts w:hint="eastAsia"/>
          <w:lang w:val="zh-CN"/>
        </w:rPr>
      </w:pPr>
      <w:r>
        <w:rPr>
          <w:rFonts w:hint="eastAsia"/>
          <w:lang w:val="zh-CN"/>
        </w:rPr>
        <w:t>市第二人民医院建设项目完成主体工程，完成投资约1亿元。市中医院与妇计院医共体项目建设完成地基处理、CFG桩机及抗浮锚杆施工，完成投资约8050万元。分别投入170万元和300万元为黄坑、澜河卫生院升级打造中心卫生院配备仪器设备等。完成120急救指挥中心业务办公楼修缮工程。完成81间（18间省定贫困村改扩建和63间新建）村卫生站规范化建设。</w:t>
      </w:r>
    </w:p>
    <w:p w14:paraId="2A7D1477">
      <w:pPr>
        <w:pStyle w:val="4"/>
        <w:bidi w:val="0"/>
        <w:rPr>
          <w:rFonts w:hint="eastAsia"/>
          <w:lang w:val="zh-CN"/>
        </w:rPr>
      </w:pPr>
      <w:r>
        <w:rPr>
          <w:rFonts w:hint="eastAsia"/>
          <w:lang w:val="zh-CN"/>
        </w:rPr>
        <w:t>【爱国卫生运动】</w:t>
      </w:r>
    </w:p>
    <w:p w14:paraId="122EA43C">
      <w:pPr>
        <w:bidi w:val="0"/>
        <w:rPr>
          <w:rFonts w:hint="eastAsia"/>
          <w:lang w:val="zh-CN"/>
        </w:rPr>
      </w:pPr>
      <w:r>
        <w:rPr>
          <w:rFonts w:hint="eastAsia"/>
          <w:lang w:val="zh-CN"/>
        </w:rPr>
        <w:t>认真落实全市爱国卫生工作要点和巩固发展省卫生城市、卫生镇村创建工作长期规划。组织实施巩固省卫生城市、全市农村改厕工作以及省、市级卫生镇村创建工作。2018年省卫生城市创建成果得到进一步巩固发展；全市有1个镇被授予“广东省卫生镇”称号，有2个镇被授予“韶关市卫生镇”称号，有2个镇被再次确认命名为“韶关市卫生镇”；有6个行政村被授予“广东省卫生村”称号，有27个行政村被授予“韶关市卫生村”称号。2018年底，全市有广东省卫生镇1个（珠玑镇），韶关市卫生镇10个（江头镇、帽子峰镇、黄坑镇、邓坊镇、乌迳镇、古市镇、全安镇、界址镇、水口镇、主田镇），广东省卫生村6个，韶关市卫生村（行政村）114个，卫生镇、卫生村覆盖率分别达到64.7%和57.6%。</w:t>
      </w:r>
    </w:p>
    <w:p w14:paraId="484A961F">
      <w:pPr>
        <w:pStyle w:val="3"/>
        <w:bidi w:val="0"/>
        <w:rPr>
          <w:rFonts w:hint="eastAsia"/>
          <w:lang w:val="zh-CN"/>
        </w:rPr>
      </w:pPr>
      <w:r>
        <w:rPr>
          <w:rFonts w:hint="eastAsia"/>
          <w:lang w:val="zh-CN"/>
        </w:rPr>
        <w:t>医疗质量与医疗科研</w:t>
      </w:r>
    </w:p>
    <w:p w14:paraId="607D935C">
      <w:pPr>
        <w:pStyle w:val="4"/>
        <w:bidi w:val="0"/>
        <w:rPr>
          <w:rFonts w:hint="eastAsia"/>
          <w:lang w:val="zh-CN"/>
        </w:rPr>
      </w:pPr>
      <w:r>
        <w:rPr>
          <w:rFonts w:hint="eastAsia"/>
          <w:lang w:val="zh-CN"/>
        </w:rPr>
        <w:t>【科研成果】</w:t>
      </w:r>
    </w:p>
    <w:p w14:paraId="239FD1CE">
      <w:pPr>
        <w:bidi w:val="0"/>
        <w:rPr>
          <w:rFonts w:hint="eastAsia"/>
          <w:lang w:val="zh-CN"/>
        </w:rPr>
      </w:pPr>
      <w:r>
        <w:rPr>
          <w:rFonts w:hint="eastAsia"/>
          <w:lang w:val="zh-CN"/>
        </w:rPr>
        <w:t>2018年全市申报28个“新技术、新项目”科研课题。</w:t>
      </w:r>
    </w:p>
    <w:p w14:paraId="48AEFE92">
      <w:pPr>
        <w:pStyle w:val="4"/>
        <w:bidi w:val="0"/>
        <w:rPr>
          <w:rFonts w:hint="eastAsia"/>
          <w:lang w:val="zh-CN"/>
        </w:rPr>
      </w:pPr>
      <w:r>
        <w:rPr>
          <w:rFonts w:hint="eastAsia"/>
          <w:lang w:val="zh-CN"/>
        </w:rPr>
        <w:t>【业务培训】</w:t>
      </w:r>
    </w:p>
    <w:p w14:paraId="2C416A05">
      <w:pPr>
        <w:bidi w:val="0"/>
        <w:rPr>
          <w:rFonts w:hint="eastAsia"/>
          <w:lang w:val="zh-CN"/>
        </w:rPr>
      </w:pPr>
      <w:r>
        <w:rPr>
          <w:rFonts w:hint="eastAsia"/>
          <w:lang w:val="zh-CN"/>
        </w:rPr>
        <w:t>选送29名医务人员进行全科医生培训，其中中医类别全科医生7人，西医类别全科医生22人。</w:t>
      </w:r>
    </w:p>
    <w:p w14:paraId="697E22E6">
      <w:pPr>
        <w:pStyle w:val="4"/>
        <w:bidi w:val="0"/>
        <w:rPr>
          <w:rFonts w:hint="eastAsia"/>
          <w:lang w:val="zh-CN"/>
        </w:rPr>
      </w:pPr>
      <w:r>
        <w:rPr>
          <w:rFonts w:hint="eastAsia"/>
          <w:lang w:val="zh-CN"/>
        </w:rPr>
        <w:t>【中医事业】</w:t>
      </w:r>
    </w:p>
    <w:p w14:paraId="67DE4B7D">
      <w:pPr>
        <w:bidi w:val="0"/>
        <w:rPr>
          <w:rFonts w:hint="eastAsia"/>
          <w:lang w:val="zh-CN"/>
        </w:rPr>
      </w:pPr>
      <w:r>
        <w:rPr>
          <w:rFonts w:hint="eastAsia"/>
          <w:lang w:val="zh-CN"/>
        </w:rPr>
        <w:t>加强中医事业的发展，市中医院完成申报建设“脑病科”“骨伤科”和“康复科”等省重点专科；继续加强基层医疗卫生服务机构中医服务能力建设，至2018年年底，全市所有基层医疗机构均完成中医馆的建设，并开始运行。</w:t>
      </w:r>
    </w:p>
    <w:p w14:paraId="587923BB">
      <w:pPr>
        <w:pStyle w:val="4"/>
        <w:bidi w:val="0"/>
        <w:rPr>
          <w:rFonts w:hint="eastAsia"/>
          <w:lang w:val="zh-CN"/>
        </w:rPr>
      </w:pPr>
      <w:r>
        <w:rPr>
          <w:rFonts w:hint="eastAsia"/>
          <w:lang w:val="zh-CN"/>
        </w:rPr>
        <w:t>【无偿献血工作】</w:t>
      </w:r>
    </w:p>
    <w:p w14:paraId="1AA6AF00">
      <w:pPr>
        <w:bidi w:val="0"/>
        <w:rPr>
          <w:rFonts w:hint="eastAsia"/>
          <w:lang w:val="zh-CN"/>
        </w:rPr>
      </w:pPr>
      <w:r>
        <w:rPr>
          <w:rFonts w:hint="eastAsia"/>
          <w:lang w:val="zh-CN"/>
        </w:rPr>
        <w:t>2018年全市采集全血1688人次，采血量为50.68万毫升。</w:t>
      </w:r>
    </w:p>
    <w:p w14:paraId="3AEA1DFD">
      <w:pPr>
        <w:pStyle w:val="3"/>
        <w:bidi w:val="0"/>
        <w:rPr>
          <w:rFonts w:hint="eastAsia"/>
          <w:lang w:val="zh-CN"/>
        </w:rPr>
      </w:pPr>
      <w:r>
        <w:rPr>
          <w:rFonts w:hint="eastAsia"/>
          <w:lang w:val="zh-CN"/>
        </w:rPr>
        <w:t>卫生监督执法</w:t>
      </w:r>
    </w:p>
    <w:p w14:paraId="012F7BBF">
      <w:pPr>
        <w:pStyle w:val="4"/>
        <w:bidi w:val="0"/>
        <w:rPr>
          <w:rFonts w:hint="eastAsia"/>
          <w:lang w:val="zh-CN"/>
        </w:rPr>
      </w:pPr>
      <w:r>
        <w:rPr>
          <w:rFonts w:hint="eastAsia"/>
          <w:lang w:val="zh-CN"/>
        </w:rPr>
        <w:t>【卫生行政许可受理情况】</w:t>
      </w:r>
    </w:p>
    <w:p w14:paraId="159548FA">
      <w:pPr>
        <w:bidi w:val="0"/>
        <w:rPr>
          <w:rFonts w:hint="eastAsia"/>
          <w:lang w:val="zh-CN"/>
        </w:rPr>
      </w:pPr>
      <w:r>
        <w:rPr>
          <w:rFonts w:hint="eastAsia"/>
          <w:lang w:val="zh-CN"/>
        </w:rPr>
        <w:t>规范卫生行政许可受理发证工作。2018年办理卫生行政许可87间。其中：新证41间，复核1间，延续17间，变更4间，注销23间，补办1间。</w:t>
      </w:r>
    </w:p>
    <w:p w14:paraId="44E31E7E">
      <w:pPr>
        <w:pStyle w:val="4"/>
        <w:bidi w:val="0"/>
        <w:rPr>
          <w:rFonts w:hint="eastAsia"/>
          <w:lang w:val="zh-CN"/>
        </w:rPr>
      </w:pPr>
      <w:r>
        <w:rPr>
          <w:rFonts w:hint="eastAsia"/>
          <w:lang w:val="zh-CN"/>
        </w:rPr>
        <w:t>【公共场所卫生监督】</w:t>
      </w:r>
    </w:p>
    <w:p w14:paraId="52A1BB2A">
      <w:pPr>
        <w:bidi w:val="0"/>
        <w:rPr>
          <w:rFonts w:hint="eastAsia"/>
          <w:lang w:val="zh-CN"/>
        </w:rPr>
      </w:pPr>
      <w:r>
        <w:rPr>
          <w:rFonts w:hint="eastAsia"/>
          <w:lang w:val="zh-CN"/>
        </w:rPr>
        <w:t>2018年办理公共场所卫生许可证（含新办、延续）85户，复核1户。检查公共场所经营户171户次，其中住宿场所51户次，游泳场所10户次，美容美发场所86户次，洗浴场所22户次，大型商场2户次。出动卫生监督员368多人次。制作现场笔录171份，下达卫生监督意见书171份。查处违法违规公共场所10家。</w:t>
      </w:r>
    </w:p>
    <w:p w14:paraId="3AF90A03">
      <w:pPr>
        <w:pStyle w:val="4"/>
        <w:bidi w:val="0"/>
        <w:rPr>
          <w:rFonts w:hint="eastAsia"/>
          <w:lang w:val="zh-CN"/>
        </w:rPr>
      </w:pPr>
      <w:r>
        <w:rPr>
          <w:rFonts w:hint="eastAsia"/>
          <w:lang w:val="zh-CN"/>
        </w:rPr>
        <w:t>【学校卫生监督】</w:t>
      </w:r>
    </w:p>
    <w:p w14:paraId="54430A95">
      <w:pPr>
        <w:bidi w:val="0"/>
        <w:rPr>
          <w:rFonts w:hint="eastAsia"/>
          <w:lang w:val="zh-CN"/>
        </w:rPr>
      </w:pPr>
      <w:r>
        <w:rPr>
          <w:rFonts w:hint="eastAsia"/>
          <w:lang w:val="zh-CN"/>
        </w:rPr>
        <w:t>组织开展以传染病防控、生活饮用水卫生等为重点的学校卫生监督检查。2018年检查学校39所，制作现场笔录70份，下达卫生监督意见书70份。检查托幼机构63家。制作现场笔录63份，下达卫生监督意见书63份。</w:t>
      </w:r>
    </w:p>
    <w:p w14:paraId="3B4FB51D">
      <w:pPr>
        <w:pStyle w:val="4"/>
        <w:bidi w:val="0"/>
        <w:rPr>
          <w:rFonts w:hint="eastAsia"/>
          <w:lang w:val="zh-CN"/>
        </w:rPr>
      </w:pPr>
      <w:r>
        <w:rPr>
          <w:rFonts w:hint="eastAsia"/>
          <w:lang w:val="zh-CN"/>
        </w:rPr>
        <w:t>【生活饮用水监督】</w:t>
      </w:r>
    </w:p>
    <w:p w14:paraId="35DC9E32">
      <w:pPr>
        <w:bidi w:val="0"/>
        <w:rPr>
          <w:rFonts w:hint="eastAsia"/>
          <w:lang w:val="zh-CN"/>
        </w:rPr>
      </w:pPr>
      <w:r>
        <w:rPr>
          <w:rFonts w:hint="eastAsia"/>
          <w:lang w:val="zh-CN"/>
        </w:rPr>
        <w:t>开展生活饮用水日常监督及专项监督监测，确保全市居民饮水安全。加强市星翔供水有限公司、16间镇级自来水厂及村级自来水厂的监督检查。要求各水厂严格按照水质检测规范对水质进行检测。2018年查处违法违规的生活饮用水单位3家，下达监督意见书3份，并予以行政处罚。</w:t>
      </w:r>
    </w:p>
    <w:p w14:paraId="7D2F2FDF">
      <w:pPr>
        <w:pStyle w:val="4"/>
        <w:bidi w:val="0"/>
        <w:rPr>
          <w:rFonts w:hint="eastAsia"/>
          <w:lang w:val="zh-CN"/>
        </w:rPr>
      </w:pPr>
      <w:r>
        <w:rPr>
          <w:rFonts w:hint="eastAsia"/>
          <w:lang w:val="zh-CN"/>
        </w:rPr>
        <w:t>【医疗机构监督】</w:t>
      </w:r>
    </w:p>
    <w:p w14:paraId="250E5531">
      <w:pPr>
        <w:bidi w:val="0"/>
        <w:rPr>
          <w:rFonts w:hint="eastAsia"/>
          <w:lang w:val="zh-CN"/>
        </w:rPr>
      </w:pPr>
      <w:r>
        <w:rPr>
          <w:rFonts w:hint="eastAsia"/>
          <w:lang w:val="zh-CN"/>
        </w:rPr>
        <w:t>2018年对辖区内349间医疗机构进行校验工作。对13家违反法律法规的医疗机构进行行政处罚。</w:t>
      </w:r>
    </w:p>
    <w:p w14:paraId="28B904B4">
      <w:pPr>
        <w:pStyle w:val="4"/>
        <w:bidi w:val="0"/>
        <w:rPr>
          <w:rFonts w:hint="eastAsia"/>
          <w:lang w:val="zh-CN"/>
        </w:rPr>
      </w:pPr>
      <w:r>
        <w:rPr>
          <w:rFonts w:hint="eastAsia"/>
          <w:lang w:val="zh-CN"/>
        </w:rPr>
        <w:t>【母婴保健技术服务监督】</w:t>
      </w:r>
    </w:p>
    <w:p w14:paraId="043EFED3">
      <w:pPr>
        <w:bidi w:val="0"/>
        <w:rPr>
          <w:rFonts w:hint="eastAsia"/>
          <w:lang w:val="zh-CN"/>
        </w:rPr>
      </w:pPr>
      <w:r>
        <w:rPr>
          <w:rFonts w:hint="eastAsia"/>
          <w:lang w:val="zh-CN"/>
        </w:rPr>
        <w:t>2018年新发母婴保健技术服务执业许可证1份，新发母婴保健技术考核合格证33份。</w:t>
      </w:r>
    </w:p>
    <w:p w14:paraId="6520097A">
      <w:pPr>
        <w:pStyle w:val="4"/>
        <w:bidi w:val="0"/>
        <w:rPr>
          <w:rFonts w:hint="eastAsia"/>
          <w:lang w:val="zh-CN"/>
        </w:rPr>
      </w:pPr>
      <w:r>
        <w:rPr>
          <w:rFonts w:hint="eastAsia"/>
          <w:lang w:val="zh-CN"/>
        </w:rPr>
        <w:t>【打击非法医疗美容】</w:t>
      </w:r>
    </w:p>
    <w:p w14:paraId="3FA65B25">
      <w:pPr>
        <w:bidi w:val="0"/>
        <w:rPr>
          <w:rFonts w:hint="eastAsia"/>
          <w:lang w:val="zh-CN"/>
        </w:rPr>
      </w:pPr>
      <w:r>
        <w:rPr>
          <w:rFonts w:hint="eastAsia"/>
          <w:lang w:val="zh-CN"/>
        </w:rPr>
        <w:t>开展打击非法医学美容专项行动。2018年查处了无证开展医疗美容服务的机构1家，立案1起，罚款人民币2000元。</w:t>
      </w:r>
    </w:p>
    <w:p w14:paraId="7772AA34">
      <w:pPr>
        <w:pStyle w:val="4"/>
        <w:bidi w:val="0"/>
        <w:rPr>
          <w:rFonts w:hint="eastAsia"/>
          <w:lang w:val="zh-CN"/>
        </w:rPr>
      </w:pPr>
      <w:r>
        <w:rPr>
          <w:rFonts w:hint="eastAsia"/>
          <w:lang w:val="zh-CN"/>
        </w:rPr>
        <w:t>【医疗服务市场监管】</w:t>
      </w:r>
    </w:p>
    <w:p w14:paraId="7E1E708C">
      <w:pPr>
        <w:bidi w:val="0"/>
        <w:rPr>
          <w:rFonts w:hint="eastAsia"/>
          <w:lang w:val="zh-CN"/>
        </w:rPr>
      </w:pPr>
      <w:r>
        <w:rPr>
          <w:rFonts w:hint="eastAsia"/>
          <w:lang w:val="zh-CN"/>
        </w:rPr>
        <w:t>严厉打击“黑诊所”、游医、假医借助虚假宣传误导和欺骗患者的非法行医行为。2018年查处非法行医9宗，罚款人民币3.6万元。</w:t>
      </w:r>
    </w:p>
    <w:p w14:paraId="29267647">
      <w:pPr>
        <w:pStyle w:val="4"/>
        <w:bidi w:val="0"/>
        <w:rPr>
          <w:rFonts w:hint="eastAsia"/>
          <w:lang w:val="zh-CN"/>
        </w:rPr>
      </w:pPr>
      <w:r>
        <w:rPr>
          <w:rFonts w:hint="eastAsia"/>
          <w:lang w:val="zh-CN"/>
        </w:rPr>
        <w:t>【卫生监督协管】</w:t>
      </w:r>
    </w:p>
    <w:p w14:paraId="04A5392C">
      <w:pPr>
        <w:bidi w:val="0"/>
        <w:rPr>
          <w:rFonts w:hint="eastAsia"/>
          <w:lang w:val="zh-CN"/>
        </w:rPr>
      </w:pPr>
      <w:r>
        <w:rPr>
          <w:rFonts w:hint="eastAsia"/>
          <w:lang w:val="zh-CN"/>
        </w:rPr>
        <w:t>2018年对辖区内各镇卫生院、雄州街道社区服务中心卫生监督协管工作开展协管督查4次，下达卫生监督意见书76份。</w:t>
      </w:r>
    </w:p>
    <w:p w14:paraId="697BC8A1">
      <w:pPr>
        <w:pStyle w:val="4"/>
        <w:bidi w:val="0"/>
        <w:rPr>
          <w:rFonts w:hint="eastAsia"/>
          <w:lang w:val="zh-CN"/>
        </w:rPr>
      </w:pPr>
      <w:r>
        <w:rPr>
          <w:rFonts w:hint="eastAsia"/>
          <w:lang w:val="zh-CN"/>
        </w:rPr>
        <w:t>【餐饮具集中消毒监督】</w:t>
      </w:r>
    </w:p>
    <w:p w14:paraId="5E6CECB5">
      <w:pPr>
        <w:bidi w:val="0"/>
        <w:rPr>
          <w:rFonts w:hint="eastAsia"/>
          <w:lang w:val="zh-CN"/>
        </w:rPr>
      </w:pPr>
      <w:r>
        <w:rPr>
          <w:rFonts w:hint="eastAsia"/>
          <w:lang w:val="zh-CN"/>
        </w:rPr>
        <w:t>2018年对全市餐饮具集中消毒单位开展监督检查4次，对检查中发现的问题下达监督意见4份。</w:t>
      </w:r>
    </w:p>
    <w:p w14:paraId="3B571941">
      <w:pPr>
        <w:pStyle w:val="4"/>
        <w:bidi w:val="0"/>
        <w:rPr>
          <w:rFonts w:hint="eastAsia"/>
          <w:lang w:val="zh-CN"/>
        </w:rPr>
      </w:pPr>
      <w:r>
        <w:rPr>
          <w:rFonts w:hint="eastAsia"/>
          <w:lang w:val="zh-CN"/>
        </w:rPr>
        <w:t>【双随机抽检开展】</w:t>
      </w:r>
    </w:p>
    <w:p w14:paraId="42310F76">
      <w:pPr>
        <w:bidi w:val="0"/>
        <w:rPr>
          <w:rFonts w:hint="eastAsia"/>
          <w:lang w:val="zh-CN"/>
        </w:rPr>
      </w:pPr>
      <w:r>
        <w:rPr>
          <w:rFonts w:hint="eastAsia"/>
          <w:lang w:val="zh-CN"/>
        </w:rPr>
        <w:t>2018年开展双随机抽检69间。其中公共场所27间，美容美发场所13间，学校7所，集中式供水单位2家，医疗卫生4家，传染病防治单位28家，放射诊疗单位1家。对2家违规美容美发场所进行了行政处罚，罚款人民币1000元；对1家违规医疗机构进行行政处罚，罚款人民币1000元。</w:t>
      </w:r>
    </w:p>
    <w:p w14:paraId="6DD3D4BF">
      <w:pPr>
        <w:pStyle w:val="3"/>
        <w:bidi w:val="0"/>
        <w:rPr>
          <w:rFonts w:hint="eastAsia"/>
          <w:lang w:val="zh-CN"/>
        </w:rPr>
      </w:pPr>
      <w:r>
        <w:rPr>
          <w:rFonts w:hint="eastAsia"/>
          <w:lang w:val="zh-CN"/>
        </w:rPr>
        <w:t>人口和计划生育工作</w:t>
      </w:r>
    </w:p>
    <w:p w14:paraId="1ABB345B">
      <w:pPr>
        <w:pStyle w:val="4"/>
        <w:bidi w:val="0"/>
        <w:rPr>
          <w:rFonts w:hint="eastAsia"/>
          <w:lang w:val="zh-CN"/>
        </w:rPr>
      </w:pPr>
      <w:r>
        <w:rPr>
          <w:rFonts w:hint="eastAsia"/>
          <w:lang w:val="zh-CN"/>
        </w:rPr>
        <w:t>【概况】</w:t>
      </w:r>
    </w:p>
    <w:p w14:paraId="3B4D0A34">
      <w:pPr>
        <w:bidi w:val="0"/>
        <w:rPr>
          <w:rFonts w:hint="eastAsia"/>
          <w:lang w:val="zh-CN"/>
        </w:rPr>
      </w:pPr>
      <w:r>
        <w:rPr>
          <w:rFonts w:hint="eastAsia"/>
          <w:lang w:val="zh-CN"/>
        </w:rPr>
        <w:t>2018年全市户籍人口共出生6736人，人口出生率为13.29‰，政策内共出生6002人，政策生育率为89.10%，自然增长率为7.37‰，出生人口性别比为117.08。</w:t>
      </w:r>
    </w:p>
    <w:p w14:paraId="71E77A77">
      <w:pPr>
        <w:pStyle w:val="4"/>
        <w:bidi w:val="0"/>
        <w:rPr>
          <w:rFonts w:hint="eastAsia"/>
          <w:lang w:val="zh-CN"/>
        </w:rPr>
      </w:pPr>
      <w:r>
        <w:rPr>
          <w:rFonts w:hint="eastAsia"/>
          <w:lang w:val="zh-CN"/>
        </w:rPr>
        <w:t>【计划生育惠民政策】</w:t>
      </w:r>
    </w:p>
    <w:p w14:paraId="234EAAE5">
      <w:pPr>
        <w:bidi w:val="0"/>
        <w:rPr>
          <w:rFonts w:hint="eastAsia"/>
          <w:lang w:val="zh-CN"/>
        </w:rPr>
      </w:pPr>
      <w:r>
        <w:rPr>
          <w:rFonts w:hint="eastAsia"/>
          <w:lang w:val="zh-CN"/>
        </w:rPr>
        <w:t>全面落实独生子女父母奖励、计划生育家庭补助金等政策。2018年全市兑现农村部分计划生育家庭奖励对象1410人，发放奖励金184.39万元；兑现计划生育特别扶助对象102人（伤残46人，死亡56人），发放奖励金74.57万元；兑现农村独生子女及纯生二女家庭节育奖励对象6975人，发放奖励金414.53万元；兑现城镇独生子女父母计划生育奖励对象2551人，发放奖励金213.54万元。</w:t>
      </w:r>
    </w:p>
    <w:p w14:paraId="303290C9">
      <w:pPr>
        <w:pStyle w:val="4"/>
        <w:bidi w:val="0"/>
        <w:rPr>
          <w:rFonts w:hint="eastAsia"/>
          <w:lang w:val="zh-CN"/>
        </w:rPr>
      </w:pPr>
      <w:r>
        <w:rPr>
          <w:rFonts w:hint="eastAsia"/>
          <w:lang w:val="zh-CN"/>
        </w:rPr>
        <w:t>【计生条例、办法执行情况】</w:t>
      </w:r>
    </w:p>
    <w:p w14:paraId="66AD1344">
      <w:pPr>
        <w:bidi w:val="0"/>
        <w:rPr>
          <w:rFonts w:hint="eastAsia"/>
          <w:lang w:val="zh-CN"/>
        </w:rPr>
      </w:pPr>
      <w:r>
        <w:rPr>
          <w:rFonts w:hint="eastAsia"/>
          <w:lang w:val="zh-CN"/>
        </w:rPr>
        <w:t>认真指导全市贯彻执行新《广东人口与计划生育条例》和《广东省卫生和计划生育委员会关于生育登记和再生育审批的暂行管理办法》，严把政策关。2018年全市一、二孩登记5739对，再生育审批338对，新增服务证办理139本。</w:t>
      </w:r>
    </w:p>
    <w:p w14:paraId="24F6D773">
      <w:pPr>
        <w:pStyle w:val="4"/>
        <w:bidi w:val="0"/>
        <w:rPr>
          <w:rFonts w:hint="eastAsia"/>
          <w:lang w:val="zh-CN"/>
        </w:rPr>
      </w:pPr>
      <w:r>
        <w:rPr>
          <w:rFonts w:hint="eastAsia"/>
          <w:lang w:val="zh-CN"/>
        </w:rPr>
        <w:t>【社会抚养费征收】</w:t>
      </w:r>
    </w:p>
    <w:p w14:paraId="254BD322">
      <w:pPr>
        <w:bidi w:val="0"/>
        <w:rPr>
          <w:rFonts w:hint="eastAsia"/>
          <w:lang w:val="zh-CN"/>
        </w:rPr>
      </w:pPr>
      <w:r>
        <w:rPr>
          <w:rFonts w:hint="eastAsia"/>
          <w:lang w:val="zh-CN"/>
        </w:rPr>
        <w:t>2018年全市立案审批政策外出生卷宗1858宗，结案43宗，征收社会抚养费111.83万元。</w:t>
      </w:r>
    </w:p>
    <w:p w14:paraId="03266417">
      <w:pPr>
        <w:pStyle w:val="4"/>
        <w:bidi w:val="0"/>
        <w:rPr>
          <w:rFonts w:hint="eastAsia"/>
          <w:lang w:val="zh-CN"/>
        </w:rPr>
      </w:pPr>
      <w:r>
        <w:rPr>
          <w:rFonts w:hint="eastAsia"/>
          <w:lang w:val="zh-CN"/>
        </w:rPr>
        <w:t>【流动人口清查】</w:t>
      </w:r>
    </w:p>
    <w:p w14:paraId="0FB116D8">
      <w:pPr>
        <w:bidi w:val="0"/>
        <w:rPr>
          <w:rFonts w:hint="eastAsia"/>
          <w:lang w:val="zh-CN"/>
        </w:rPr>
      </w:pPr>
      <w:r>
        <w:rPr>
          <w:rFonts w:hint="eastAsia"/>
          <w:lang w:val="zh-CN"/>
        </w:rPr>
        <w:t>2018年核查流动人口12.55万人，反馈信息624条，反馈率100%，办理流动人口电子婚育证明26份，对已经政策外生育多孩的流出育龄群众及时发出征收决定书17份。</w:t>
      </w:r>
      <w:r>
        <w:rPr>
          <w:rFonts w:hint="eastAsia"/>
          <w:b/>
          <w:bCs/>
          <w:lang w:val="zh-CN"/>
        </w:rPr>
        <w:t>（邓荣强）</w:t>
      </w:r>
    </w:p>
    <w:p w14:paraId="213B2435">
      <w:pPr>
        <w:pStyle w:val="11"/>
        <w:bidi w:val="0"/>
        <w:rPr>
          <w:rFonts w:hint="eastAsia"/>
          <w:b/>
          <w:bCs/>
          <w:lang w:val="zh-CN"/>
        </w:rPr>
      </w:pPr>
      <w:r>
        <w:rPr>
          <w:rFonts w:hint="eastAsia"/>
          <w:b/>
          <w:bCs/>
          <w:lang w:val="zh-CN"/>
        </w:rPr>
        <w:t>附：2018年市卫计局领导班子成员名单</w:t>
      </w:r>
    </w:p>
    <w:p w14:paraId="1A93EFA6">
      <w:pPr>
        <w:pStyle w:val="11"/>
        <w:bidi w:val="0"/>
        <w:rPr>
          <w:rFonts w:hint="eastAsia"/>
          <w:lang w:val="zh-CN"/>
        </w:rPr>
      </w:pPr>
      <w:r>
        <w:rPr>
          <w:rFonts w:hint="eastAsia"/>
          <w:b/>
          <w:bCs/>
          <w:lang w:val="zh-CN"/>
        </w:rPr>
        <w:t>党工委副书记、局长：</w:t>
      </w:r>
      <w:r>
        <w:rPr>
          <w:rFonts w:hint="eastAsia"/>
          <w:lang w:val="zh-CN"/>
        </w:rPr>
        <w:t>邱万茹</w:t>
      </w:r>
    </w:p>
    <w:p w14:paraId="00180488">
      <w:pPr>
        <w:pStyle w:val="11"/>
        <w:bidi w:val="0"/>
        <w:rPr>
          <w:rFonts w:hint="eastAsia"/>
          <w:lang w:val="zh-CN"/>
        </w:rPr>
      </w:pPr>
      <w:r>
        <w:rPr>
          <w:rFonts w:hint="eastAsia"/>
          <w:b/>
          <w:bCs/>
          <w:lang w:val="zh-CN"/>
        </w:rPr>
        <w:t>党工委书记、副局长：</w:t>
      </w:r>
      <w:r>
        <w:rPr>
          <w:rFonts w:hint="eastAsia"/>
          <w:lang w:val="zh-CN"/>
        </w:rPr>
        <w:t>陈志雄</w:t>
      </w:r>
    </w:p>
    <w:p w14:paraId="2DB8B219">
      <w:pPr>
        <w:pStyle w:val="11"/>
        <w:bidi w:val="0"/>
        <w:rPr>
          <w:rFonts w:hint="eastAsia"/>
          <w:lang w:val="zh-CN"/>
        </w:rPr>
      </w:pPr>
      <w:r>
        <w:rPr>
          <w:rFonts w:hint="eastAsia"/>
          <w:b/>
          <w:bCs/>
          <w:lang w:val="zh-CN"/>
        </w:rPr>
        <w:t>党工委委员、副局长：</w:t>
      </w:r>
      <w:r>
        <w:rPr>
          <w:rFonts w:hint="eastAsia"/>
          <w:lang w:val="zh-CN"/>
        </w:rPr>
        <w:t>王向兰</w:t>
      </w:r>
    </w:p>
    <w:p w14:paraId="46BD9B33">
      <w:pPr>
        <w:pStyle w:val="11"/>
        <w:bidi w:val="0"/>
        <w:ind w:leftChars="1000"/>
        <w:rPr>
          <w:rFonts w:hint="eastAsia"/>
          <w:lang w:val="zh-CN"/>
        </w:rPr>
      </w:pPr>
      <w:r>
        <w:rPr>
          <w:rFonts w:hint="eastAsia"/>
          <w:lang w:val="zh-CN"/>
        </w:rPr>
        <w:t>李平生</w:t>
      </w:r>
    </w:p>
    <w:p w14:paraId="0D443341">
      <w:pPr>
        <w:pStyle w:val="11"/>
        <w:bidi w:val="0"/>
        <w:rPr>
          <w:rFonts w:hint="eastAsia"/>
          <w:b/>
          <w:bCs/>
          <w:lang w:val="zh-CN"/>
        </w:rPr>
      </w:pPr>
      <w:r>
        <w:rPr>
          <w:rFonts w:hint="eastAsia"/>
          <w:b/>
          <w:bCs/>
          <w:lang w:val="zh-CN"/>
        </w:rPr>
        <w:t>党工委委员、派驻纪检组长：</w:t>
      </w:r>
    </w:p>
    <w:p w14:paraId="77AB0ABD">
      <w:pPr>
        <w:pStyle w:val="11"/>
        <w:bidi w:val="0"/>
        <w:ind w:leftChars="1000"/>
        <w:rPr>
          <w:rFonts w:hint="eastAsia"/>
          <w:lang w:val="zh-CN"/>
        </w:rPr>
      </w:pPr>
      <w:r>
        <w:rPr>
          <w:rFonts w:hint="eastAsia"/>
          <w:lang w:val="zh-CN"/>
        </w:rPr>
        <w:t>马喜成</w:t>
      </w:r>
    </w:p>
    <w:p w14:paraId="3E799B93">
      <w:pPr>
        <w:pStyle w:val="11"/>
        <w:bidi w:val="0"/>
        <w:rPr>
          <w:rFonts w:hint="eastAsia"/>
          <w:lang w:val="zh-CN"/>
        </w:rPr>
      </w:pPr>
      <w:r>
        <w:rPr>
          <w:rFonts w:hint="eastAsia"/>
          <w:b/>
          <w:bCs/>
          <w:lang w:val="zh-CN"/>
        </w:rPr>
        <w:t>党工委专职副书记：</w:t>
      </w:r>
      <w:r>
        <w:rPr>
          <w:rFonts w:hint="eastAsia"/>
          <w:lang w:val="zh-CN"/>
        </w:rPr>
        <w:t>邱建华</w:t>
      </w:r>
    </w:p>
    <w:p w14:paraId="298E3D06">
      <w:pPr>
        <w:pStyle w:val="11"/>
        <w:bidi w:val="0"/>
        <w:rPr>
          <w:rFonts w:hint="eastAsia"/>
          <w:lang w:val="zh-CN"/>
        </w:rPr>
      </w:pPr>
      <w:r>
        <w:rPr>
          <w:rFonts w:hint="eastAsia"/>
          <w:b/>
          <w:bCs/>
          <w:lang w:val="zh-CN"/>
        </w:rPr>
        <w:t>主任科员：</w:t>
      </w:r>
      <w:r>
        <w:rPr>
          <w:rFonts w:hint="eastAsia"/>
          <w:lang w:val="zh-CN"/>
        </w:rPr>
        <w:t>朱冬平</w:t>
      </w:r>
    </w:p>
    <w:p w14:paraId="0EB6A1A4">
      <w:pPr>
        <w:pStyle w:val="11"/>
        <w:bidi w:val="0"/>
        <w:rPr>
          <w:rFonts w:hint="eastAsia"/>
          <w:lang w:val="zh-CN"/>
        </w:rPr>
      </w:pPr>
      <w:r>
        <w:rPr>
          <w:rFonts w:hint="eastAsia"/>
          <w:b/>
          <w:bCs/>
          <w:lang w:val="zh-CN"/>
        </w:rPr>
        <w:t>党工委委员：</w:t>
      </w:r>
      <w:r>
        <w:rPr>
          <w:rFonts w:hint="eastAsia"/>
          <w:lang w:val="zh-CN"/>
        </w:rPr>
        <w:t>叶春福</w:t>
      </w:r>
      <w:r>
        <w:rPr>
          <w:rFonts w:hint="eastAsia"/>
          <w:lang w:val="en-US" w:eastAsia="zh-CN"/>
        </w:rPr>
        <w:t xml:space="preserve">   </w:t>
      </w:r>
      <w:r>
        <w:rPr>
          <w:rFonts w:hint="eastAsia"/>
          <w:lang w:val="zh-CN"/>
        </w:rPr>
        <w:t>张万峰</w:t>
      </w:r>
    </w:p>
    <w:p w14:paraId="4E291C70">
      <w:pPr>
        <w:pStyle w:val="11"/>
        <w:bidi w:val="0"/>
        <w:ind w:leftChars="600"/>
        <w:rPr>
          <w:rFonts w:hint="eastAsia"/>
          <w:lang w:val="zh-CN"/>
        </w:rPr>
      </w:pPr>
      <w:r>
        <w:rPr>
          <w:rFonts w:hint="eastAsia"/>
          <w:lang w:val="zh-CN"/>
        </w:rPr>
        <w:t>张</w:t>
      </w:r>
      <w:r>
        <w:rPr>
          <w:rFonts w:hint="eastAsia"/>
          <w:lang w:val="en-US" w:eastAsia="zh-CN"/>
        </w:rPr>
        <w:t xml:space="preserve">  </w:t>
      </w:r>
      <w:r>
        <w:rPr>
          <w:rFonts w:hint="eastAsia"/>
          <w:lang w:val="zh-CN"/>
        </w:rPr>
        <w:t>涛</w:t>
      </w:r>
    </w:p>
    <w:p w14:paraId="50769E5B">
      <w:pPr>
        <w:pStyle w:val="11"/>
        <w:bidi w:val="0"/>
        <w:rPr>
          <w:rFonts w:hint="eastAsia"/>
          <w:lang w:val="zh-CN"/>
        </w:rPr>
      </w:pPr>
      <w:r>
        <w:rPr>
          <w:rFonts w:hint="eastAsia"/>
          <w:b/>
          <w:bCs/>
          <w:lang w:val="zh-CN"/>
        </w:rPr>
        <w:t>工会主席：</w:t>
      </w:r>
      <w:r>
        <w:rPr>
          <w:rFonts w:hint="eastAsia"/>
          <w:lang w:val="zh-CN"/>
        </w:rPr>
        <w:t>刘光文</w:t>
      </w:r>
    </w:p>
    <w:p w14:paraId="4553EBB4">
      <w:pPr>
        <w:pStyle w:val="3"/>
        <w:bidi w:val="0"/>
        <w:rPr>
          <w:rFonts w:hint="eastAsia"/>
          <w:lang w:val="zh-CN"/>
        </w:rPr>
      </w:pPr>
      <w:r>
        <w:rPr>
          <w:rFonts w:hint="eastAsia"/>
          <w:lang w:val="zh-CN"/>
        </w:rPr>
        <w:t>市直属医疗卫生机构</w:t>
      </w:r>
    </w:p>
    <w:p w14:paraId="55B88BAA">
      <w:pPr>
        <w:pStyle w:val="4"/>
        <w:bidi w:val="0"/>
        <w:rPr>
          <w:rFonts w:hint="eastAsia"/>
          <w:lang w:val="zh-CN"/>
        </w:rPr>
      </w:pPr>
      <w:r>
        <w:rPr>
          <w:rFonts w:hint="eastAsia"/>
          <w:lang w:val="zh-CN"/>
        </w:rPr>
        <w:t>【南雄市人民医院】</w:t>
      </w:r>
    </w:p>
    <w:p w14:paraId="54D5228F">
      <w:pPr>
        <w:bidi w:val="0"/>
        <w:rPr>
          <w:rFonts w:hint="eastAsia"/>
          <w:lang w:val="zh-CN"/>
        </w:rPr>
      </w:pPr>
      <w:r>
        <w:rPr>
          <w:rFonts w:hint="eastAsia"/>
          <w:lang w:val="zh-CN"/>
        </w:rPr>
        <w:t>2018年全院服务门诊患者34万人次，比上年增长3％，其中急诊患者7.6万人次；门诊次均费用增长率控制在10%；服务住院患者2.3万人次；各类手术6837台，其中三、四类手术2007台，占比29.4%；各类体检1.21万人次。全年药品收入占业务收入比例为24.89%，耗材收入占业务收入比例为11.81%；出入院诊断符合率达99%，病床使用率达84.12%；门诊患者满意度达94.7%，住院患者满意度达95.8%，员工满意度达95.9%。</w:t>
      </w:r>
    </w:p>
    <w:p w14:paraId="49CE2CB0">
      <w:pPr>
        <w:bidi w:val="0"/>
        <w:rPr>
          <w:rFonts w:hint="eastAsia"/>
          <w:lang w:val="zh-CN"/>
        </w:rPr>
      </w:pPr>
      <w:r>
        <w:rPr>
          <w:rFonts w:hint="eastAsia"/>
          <w:b/>
          <w:bCs/>
          <w:lang w:val="zh-CN"/>
        </w:rPr>
        <w:t>综合服务能力建设</w:t>
      </w:r>
      <w:r>
        <w:rPr>
          <w:rFonts w:hint="eastAsia"/>
          <w:b/>
          <w:bCs/>
          <w:lang w:val="en-US" w:eastAsia="zh-CN"/>
        </w:rPr>
        <w:t xml:space="preserve">   </w:t>
      </w:r>
      <w:r>
        <w:rPr>
          <w:rFonts w:hint="eastAsia"/>
          <w:lang w:val="zh-CN"/>
        </w:rPr>
        <w:t>加大人才储备和培养力度，2018年根据岗位需求招聘在编专业技术人员7人，合同制专业技术人员42人，其中临床医学、医技与护理储备人才25人；内聘9名中级专业技术人才，并为符合条件的19名合同护士办理参照在编在岗人员标准享受工资福利待遇。选送49名医务人员到上级医院进修学习，委派住院医师规范化培训12人。8名医务人员晋升到高级技术职称，22名医务人员取得中级技术职称。</w:t>
      </w:r>
    </w:p>
    <w:p w14:paraId="2D8CF39A">
      <w:pPr>
        <w:bidi w:val="0"/>
        <w:rPr>
          <w:rFonts w:hint="eastAsia"/>
          <w:lang w:val="zh-CN"/>
        </w:rPr>
      </w:pPr>
      <w:r>
        <w:rPr>
          <w:rFonts w:hint="eastAsia"/>
          <w:b/>
          <w:bCs/>
          <w:lang w:val="zh-CN"/>
        </w:rPr>
        <w:t>公立医院综合改革</w:t>
      </w:r>
      <w:r>
        <w:rPr>
          <w:rFonts w:hint="eastAsia"/>
          <w:b/>
          <w:bCs/>
          <w:lang w:val="en-US" w:eastAsia="zh-CN"/>
        </w:rPr>
        <w:t xml:space="preserve">   </w:t>
      </w:r>
      <w:r>
        <w:rPr>
          <w:rFonts w:hint="eastAsia"/>
          <w:lang w:val="zh-CN"/>
        </w:rPr>
        <w:t>稳步推进公立医院综合改革的各项任务，推进“平价医院”工作，为困难群体减轻医疗负担。进一步推进对口支援帮扶工作，组织医务人员到乡镇卫生院开展巡回医疗和技术指导活动6次，赠送乡镇卫生院医疗设备和药品价值1.5万元；在基层卫生院开展专题学术讲座4次，组织培训基层医务人员126人次。</w:t>
      </w:r>
    </w:p>
    <w:p w14:paraId="294FF1F9">
      <w:pPr>
        <w:bidi w:val="0"/>
        <w:rPr>
          <w:rFonts w:hint="eastAsia"/>
          <w:lang w:val="zh-CN"/>
        </w:rPr>
      </w:pPr>
      <w:r>
        <w:rPr>
          <w:rFonts w:hint="eastAsia"/>
          <w:b/>
          <w:bCs/>
          <w:lang w:val="zh-CN"/>
        </w:rPr>
        <w:t>党政工团建设</w:t>
      </w:r>
      <w:r>
        <w:rPr>
          <w:rFonts w:hint="eastAsia"/>
          <w:b/>
          <w:bCs/>
          <w:lang w:val="en-US" w:eastAsia="zh-CN"/>
        </w:rPr>
        <w:t xml:space="preserve">   </w:t>
      </w:r>
      <w:r>
        <w:rPr>
          <w:rFonts w:hint="eastAsia"/>
          <w:lang w:val="zh-CN"/>
        </w:rPr>
        <w:t>重视加强党政班子建设，加强民主管理，严格党规党纪，扎实推进党建工作。组织全院党员干部认真落实“三会一课”制度，积极开展“两学一做”主题党日活动和爱国主义教育活动；切实抓好党员的纳新与转正工作，提升发展党员质量，发展2名新党员，3名预备党员转为正式党员。医院工会心系广大干部职工，全年慰问职工、职工家属89人次；重视丰富职工文化生活，5月4日举办“庆祝劳动节、青年节、护士节站点式医疗护理技能大赛”；5月11日举办“不忘初心、砥砺奋进”站点式医疗护理技能展演晚会。团组织工作不断加强，积极组织青年志愿者服务队开展学雷锋义诊、下乡送医送药义诊活动。12月，医院何波斌、杨诗颖同志在参加“中国梦、劳动美、读书好”——南雄市党员干部职工读书活动“金叶杯”朗读大赛中荣获优秀奖。</w:t>
      </w:r>
    </w:p>
    <w:p w14:paraId="496D19F6">
      <w:pPr>
        <w:bidi w:val="0"/>
        <w:jc w:val="right"/>
        <w:rPr>
          <w:rFonts w:hint="eastAsia"/>
          <w:b/>
          <w:bCs/>
          <w:lang w:val="zh-CN"/>
        </w:rPr>
      </w:pPr>
      <w:r>
        <w:rPr>
          <w:rFonts w:hint="eastAsia"/>
          <w:b/>
          <w:bCs/>
          <w:lang w:val="zh-CN"/>
        </w:rPr>
        <w:t>（刘世洪）</w:t>
      </w:r>
    </w:p>
    <w:p w14:paraId="5BA021B6">
      <w:pPr>
        <w:pStyle w:val="11"/>
        <w:bidi w:val="0"/>
        <w:rPr>
          <w:rFonts w:hint="eastAsia"/>
          <w:b/>
          <w:bCs/>
          <w:lang w:val="zh-CN"/>
        </w:rPr>
      </w:pPr>
      <w:r>
        <w:rPr>
          <w:rFonts w:hint="eastAsia"/>
          <w:b/>
          <w:bCs/>
          <w:lang w:val="zh-CN"/>
        </w:rPr>
        <w:t>附：2018年市人民医院领导班子成员名单</w:t>
      </w:r>
    </w:p>
    <w:p w14:paraId="111C5206">
      <w:pPr>
        <w:pStyle w:val="11"/>
        <w:bidi w:val="0"/>
        <w:rPr>
          <w:rFonts w:hint="eastAsia"/>
          <w:lang w:val="zh-CN"/>
        </w:rPr>
      </w:pPr>
      <w:r>
        <w:rPr>
          <w:rFonts w:hint="eastAsia"/>
          <w:b/>
          <w:bCs/>
          <w:lang w:val="zh-CN"/>
        </w:rPr>
        <w:t>院</w:t>
      </w:r>
      <w:r>
        <w:rPr>
          <w:rFonts w:hint="eastAsia"/>
          <w:b/>
          <w:bCs/>
          <w:lang w:val="en-US" w:eastAsia="zh-CN"/>
        </w:rPr>
        <w:t xml:space="preserve">  </w:t>
      </w:r>
      <w:r>
        <w:rPr>
          <w:rFonts w:hint="eastAsia"/>
          <w:b/>
          <w:bCs/>
          <w:lang w:val="zh-CN"/>
        </w:rPr>
        <w:t>长：</w:t>
      </w:r>
      <w:r>
        <w:rPr>
          <w:rFonts w:hint="eastAsia"/>
          <w:lang w:val="zh-CN"/>
        </w:rPr>
        <w:t>叶春福</w:t>
      </w:r>
    </w:p>
    <w:p w14:paraId="4181A39B">
      <w:pPr>
        <w:pStyle w:val="11"/>
        <w:bidi w:val="0"/>
        <w:rPr>
          <w:rFonts w:hint="eastAsia"/>
          <w:lang w:val="zh-CN"/>
        </w:rPr>
      </w:pPr>
      <w:r>
        <w:rPr>
          <w:rFonts w:hint="eastAsia"/>
          <w:b/>
          <w:bCs/>
          <w:lang w:val="zh-CN"/>
        </w:rPr>
        <w:t>副院长：</w:t>
      </w:r>
      <w:r>
        <w:rPr>
          <w:rFonts w:hint="eastAsia"/>
          <w:lang w:val="zh-CN"/>
        </w:rPr>
        <w:t>王</w:t>
      </w:r>
      <w:r>
        <w:rPr>
          <w:rFonts w:hint="eastAsia"/>
          <w:lang w:val="en-US" w:eastAsia="zh-CN"/>
        </w:rPr>
        <w:t xml:space="preserve">  </w:t>
      </w:r>
      <w:r>
        <w:rPr>
          <w:rFonts w:hint="eastAsia"/>
          <w:lang w:val="zh-CN"/>
        </w:rPr>
        <w:t>英</w:t>
      </w:r>
      <w:r>
        <w:rPr>
          <w:rFonts w:hint="eastAsia"/>
          <w:lang w:val="en-US" w:eastAsia="zh-CN"/>
        </w:rPr>
        <w:t xml:space="preserve">   </w:t>
      </w:r>
      <w:r>
        <w:rPr>
          <w:rFonts w:hint="eastAsia"/>
          <w:lang w:val="zh-CN"/>
        </w:rPr>
        <w:t>刘卫忠</w:t>
      </w:r>
    </w:p>
    <w:p w14:paraId="73EB7A1D">
      <w:pPr>
        <w:pStyle w:val="11"/>
        <w:bidi w:val="0"/>
        <w:ind w:leftChars="400"/>
        <w:rPr>
          <w:rFonts w:hint="eastAsia"/>
          <w:lang w:val="zh-CN"/>
        </w:rPr>
      </w:pPr>
      <w:r>
        <w:rPr>
          <w:rFonts w:hint="eastAsia"/>
          <w:lang w:val="zh-CN"/>
        </w:rPr>
        <w:t>严松林</w:t>
      </w:r>
      <w:r>
        <w:rPr>
          <w:rFonts w:hint="eastAsia"/>
          <w:lang w:val="en-US" w:eastAsia="zh-CN"/>
        </w:rPr>
        <w:t xml:space="preserve">   </w:t>
      </w:r>
      <w:r>
        <w:rPr>
          <w:rFonts w:hint="eastAsia"/>
          <w:lang w:val="zh-CN"/>
        </w:rPr>
        <w:t>陈友方</w:t>
      </w:r>
    </w:p>
    <w:p w14:paraId="3FAADE10">
      <w:pPr>
        <w:pStyle w:val="11"/>
        <w:bidi w:val="0"/>
        <w:ind w:leftChars="400"/>
        <w:rPr>
          <w:rFonts w:hint="eastAsia"/>
          <w:lang w:val="zh-CN"/>
        </w:rPr>
      </w:pPr>
      <w:r>
        <w:rPr>
          <w:rFonts w:hint="eastAsia"/>
          <w:lang w:val="zh-CN"/>
        </w:rPr>
        <w:t>殷圣银</w:t>
      </w:r>
      <w:r>
        <w:rPr>
          <w:rFonts w:hint="eastAsia"/>
          <w:lang w:val="en-US" w:eastAsia="zh-CN"/>
        </w:rPr>
        <w:t xml:space="preserve">   </w:t>
      </w:r>
      <w:r>
        <w:rPr>
          <w:rFonts w:hint="eastAsia"/>
          <w:lang w:val="zh-CN"/>
        </w:rPr>
        <w:t>朱广庭</w:t>
      </w:r>
    </w:p>
    <w:p w14:paraId="18FD4992">
      <w:pPr>
        <w:pStyle w:val="11"/>
        <w:bidi w:val="0"/>
        <w:rPr>
          <w:rFonts w:hint="eastAsia"/>
          <w:lang w:val="zh-CN"/>
        </w:rPr>
      </w:pPr>
      <w:r>
        <w:rPr>
          <w:rFonts w:hint="eastAsia"/>
          <w:b/>
          <w:bCs/>
          <w:lang w:val="zh-CN"/>
        </w:rPr>
        <w:t>工会主席：</w:t>
      </w:r>
      <w:r>
        <w:rPr>
          <w:rFonts w:hint="eastAsia"/>
          <w:lang w:val="zh-CN"/>
        </w:rPr>
        <w:t>谢雄生</w:t>
      </w:r>
    </w:p>
    <w:p w14:paraId="030CFF6B">
      <w:pPr>
        <w:pStyle w:val="11"/>
        <w:bidi w:val="0"/>
        <w:rPr>
          <w:rFonts w:hint="eastAsia"/>
          <w:b/>
          <w:bCs/>
          <w:lang w:val="zh-CN"/>
        </w:rPr>
      </w:pPr>
      <w:r>
        <w:rPr>
          <w:rFonts w:hint="eastAsia"/>
          <w:b/>
          <w:bCs/>
          <w:lang w:val="zh-CN"/>
        </w:rPr>
        <w:t>副科级干部兼院办主任：</w:t>
      </w:r>
    </w:p>
    <w:p w14:paraId="2447480E">
      <w:pPr>
        <w:pStyle w:val="11"/>
        <w:bidi w:val="0"/>
        <w:ind w:leftChars="400"/>
        <w:rPr>
          <w:rFonts w:hint="eastAsia"/>
          <w:lang w:val="zh-CN"/>
        </w:rPr>
      </w:pPr>
      <w:r>
        <w:rPr>
          <w:rFonts w:hint="eastAsia"/>
          <w:lang w:val="zh-CN"/>
        </w:rPr>
        <w:t>刘世洪</w:t>
      </w:r>
    </w:p>
    <w:p w14:paraId="05D51BB4">
      <w:pPr>
        <w:pStyle w:val="4"/>
        <w:bidi w:val="0"/>
        <w:rPr>
          <w:rFonts w:hint="eastAsia"/>
          <w:lang w:val="zh-CN"/>
        </w:rPr>
      </w:pPr>
      <w:r>
        <w:rPr>
          <w:rFonts w:hint="eastAsia"/>
          <w:lang w:val="zh-CN"/>
        </w:rPr>
        <w:t>【南雄市中医院】</w:t>
      </w:r>
    </w:p>
    <w:p w14:paraId="7817761A">
      <w:pPr>
        <w:bidi w:val="0"/>
        <w:rPr>
          <w:rFonts w:hint="eastAsia"/>
          <w:lang w:val="zh-CN"/>
        </w:rPr>
      </w:pPr>
      <w:r>
        <w:rPr>
          <w:rFonts w:hint="eastAsia"/>
          <w:lang w:val="zh-CN"/>
        </w:rPr>
        <w:t>6月4日举行南雄市中医院妇计院医共体挂牌仪式，后续各乡镇卫生院加挂“南雄市中医院妇计院医共体××分院”牌匾；7月开展医共体成员单位综合服务能力调研，为医共体正式实施摸清情况；8月3日召开首次医共体理事会，会上宣读医共体理事长、总院长任命通知，选举副理事长、秘书长，确认医共体理事成员，讨论医共体章程及《关于推进医共体建设实施方案》。</w:t>
      </w:r>
    </w:p>
    <w:p w14:paraId="33F74E6B">
      <w:pPr>
        <w:bidi w:val="0"/>
        <w:rPr>
          <w:rFonts w:hint="eastAsia"/>
          <w:lang w:val="zh-CN"/>
        </w:rPr>
      </w:pPr>
      <w:r>
        <w:rPr>
          <w:rFonts w:hint="eastAsia"/>
          <w:b/>
          <w:bCs/>
          <w:lang w:val="zh-CN"/>
        </w:rPr>
        <w:t>中医药特色</w:t>
      </w:r>
      <w:r>
        <w:rPr>
          <w:rFonts w:hint="eastAsia"/>
          <w:b/>
          <w:bCs/>
          <w:lang w:val="en-US" w:eastAsia="zh-CN"/>
        </w:rPr>
        <w:t xml:space="preserve">   </w:t>
      </w:r>
      <w:r>
        <w:rPr>
          <w:rFonts w:hint="eastAsia"/>
          <w:lang w:val="zh-CN"/>
        </w:rPr>
        <w:t>通过加强中医临床诊疗方案及临床路径的管理，定期对全院实施的12个优势病种诊疗方案、6个中医临床路径分析总结及评估优化。加大对中药饮片、中医非药物治疗技术的推广使用力度，拓展和运用中医药服务项目。2018年医院中药饮片占药品收入比例增长2.4%，中医适宜技术开展使用人次增长79.4%，有效提升医院中医药工作内涵。2018年，医院启动中医药文化进学校进社区活动，先后到南雄中学开展中医药文化进校园、在三影塔开展“八段锦”表演及中医药免费义诊等活动，弘扬中医国粹，打造医院中医名片。推进和落实医院“三名”战略，开展首届南雄市中医院“名中医”评选活动，马一升、黎兴华、索生云被评为医院首届“名中医”。康复科被评为“广东省中医护理特色优秀科室”；骨伤科张丽娟被评为“广东省中医系统优秀护士”。</w:t>
      </w:r>
    </w:p>
    <w:p w14:paraId="75C46199">
      <w:pPr>
        <w:bidi w:val="0"/>
        <w:rPr>
          <w:rFonts w:hint="eastAsia"/>
          <w:lang w:val="zh-CN"/>
        </w:rPr>
      </w:pPr>
      <w:r>
        <w:rPr>
          <w:rFonts w:hint="eastAsia"/>
          <w:b/>
          <w:bCs/>
          <w:lang w:val="zh-CN"/>
        </w:rPr>
        <w:t>省中医特色学科建设</w:t>
      </w:r>
      <w:r>
        <w:rPr>
          <w:rFonts w:hint="eastAsia"/>
          <w:b/>
          <w:bCs/>
          <w:lang w:val="en-US" w:eastAsia="zh-CN"/>
        </w:rPr>
        <w:t xml:space="preserve">   </w:t>
      </w:r>
      <w:r>
        <w:rPr>
          <w:rFonts w:hint="eastAsia"/>
          <w:lang w:val="zh-CN"/>
        </w:rPr>
        <w:t>医院通过加大人、财、物的投入，实施创新驱动发展战略，鼓励医务人员开展科教研创新活动，激励医务人员在技术、服务、管理上开拓创新，高继贤、李高富、陈波、谭集凤、陈玉娟等人申报的5个科研项目获韶关市卫计局科研立项，全院申报院内创新项目32项，通过抓科研创新，各学科综合服务能力明显增强。2018年，医院骨伤科、脑病科和康复科先后被广东省中医药局评为“广东省中医重点（特色）专科”，实现南雄市卫生系统在省级重点（特色）专科建设上的零突破。</w:t>
      </w:r>
    </w:p>
    <w:p w14:paraId="21D8A157">
      <w:pPr>
        <w:bidi w:val="0"/>
        <w:rPr>
          <w:rFonts w:hint="eastAsia"/>
          <w:lang w:val="zh-CN"/>
        </w:rPr>
      </w:pPr>
      <w:r>
        <w:rPr>
          <w:rFonts w:hint="eastAsia"/>
          <w:b/>
          <w:bCs/>
          <w:lang w:val="zh-CN"/>
        </w:rPr>
        <w:t>医德医风建设</w:t>
      </w:r>
      <w:r>
        <w:rPr>
          <w:rFonts w:hint="eastAsia"/>
          <w:b/>
          <w:bCs/>
          <w:lang w:val="en-US" w:eastAsia="zh-CN"/>
        </w:rPr>
        <w:t xml:space="preserve">   </w:t>
      </w:r>
      <w:r>
        <w:rPr>
          <w:rFonts w:hint="eastAsia"/>
          <w:lang w:val="zh-CN"/>
        </w:rPr>
        <w:t>规范诊疗和收费行为，坚持合理检查合理用药合理收费的原则，坚决杜绝诊疗过程中收受红包等损害群众利益的违法违规行为。完善投诉流程与处理机制，定期开展病人回访与问卷调查，召开患者及家属、社会监督员座谈会，广泛收集患者及社会的意见与建议，提升医院服务水平。在南雄率先上线“全国跨省异地就医住院费用直接结算系统”，方便异地患者在南雄就医。为进一步改善医疗服务，2018年，医院实施服务之星评选，全年12人被评为医院年度“护士之星”，医院患者满意度达95.6%。</w:t>
      </w:r>
    </w:p>
    <w:p w14:paraId="19E1E857">
      <w:pPr>
        <w:bidi w:val="0"/>
        <w:rPr>
          <w:rFonts w:hint="eastAsia"/>
          <w:lang w:val="zh-CN"/>
        </w:rPr>
      </w:pPr>
      <w:r>
        <w:rPr>
          <w:rFonts w:hint="eastAsia"/>
          <w:b/>
          <w:bCs/>
          <w:lang w:val="zh-CN"/>
        </w:rPr>
        <w:t>党建工作</w:t>
      </w:r>
      <w:r>
        <w:rPr>
          <w:rFonts w:hint="eastAsia"/>
          <w:b/>
          <w:bCs/>
          <w:lang w:val="en-US" w:eastAsia="zh-CN"/>
        </w:rPr>
        <w:t xml:space="preserve">   </w:t>
      </w:r>
      <w:r>
        <w:rPr>
          <w:rFonts w:hint="eastAsia"/>
          <w:lang w:val="zh-CN"/>
        </w:rPr>
        <w:t>医院党总支深入学习领会习近平新时代中国特色社会主义思想和党的十九大精神实质，认真落实“三会一课”制度，开展“两学一做”“党建+医德培育”“党日活动”主题实践活动，加强党员队伍建设，提高党员素质。住院部党支部被评为“南雄市先进基层党支部”，陈细龙被评为“优秀党务工作者”。</w:t>
      </w:r>
    </w:p>
    <w:p w14:paraId="3A24764F">
      <w:pPr>
        <w:bidi w:val="0"/>
        <w:rPr>
          <w:rFonts w:hint="eastAsia"/>
          <w:lang w:val="zh-CN"/>
        </w:rPr>
      </w:pPr>
      <w:r>
        <w:rPr>
          <w:rFonts w:hint="eastAsia"/>
          <w:b/>
          <w:bCs/>
          <w:lang w:val="zh-CN"/>
        </w:rPr>
        <w:t>60周年院庆</w:t>
      </w:r>
      <w:r>
        <w:rPr>
          <w:rFonts w:hint="eastAsia"/>
          <w:b/>
          <w:bCs/>
          <w:lang w:val="en-US" w:eastAsia="zh-CN"/>
        </w:rPr>
        <w:t xml:space="preserve">   </w:t>
      </w:r>
      <w:r>
        <w:rPr>
          <w:rFonts w:hint="eastAsia"/>
          <w:lang w:val="zh-CN"/>
        </w:rPr>
        <w:t>2018年是医院建院60周年暨合并重组20周年，先后举办庆祝5·12护士节护理技能竞赛、八段锦团体赛、团日徒步竞赛及中医经典诵读比赛等活动。8月18日，医院组织举办“庆祝南雄市首届中国医师节暨60周年院庆”大型主题晚会，全市各级医疗卫生单位一同参加南雄市首届中国医师节启动仪式。进一步活跃职工业余文化生活，展现新时代中医院人不忘初心、团结奋进、锐意进取的精神风貌。同时，全年联合多家省级医院及学会，承办5场大型公益活动，进一步拓宽医务人员专业视野，扩大医院学术影响力。</w:t>
      </w:r>
    </w:p>
    <w:p w14:paraId="14FC6F6D">
      <w:pPr>
        <w:bidi w:val="0"/>
        <w:jc w:val="right"/>
        <w:rPr>
          <w:rFonts w:hint="eastAsia"/>
          <w:b/>
          <w:bCs/>
          <w:lang w:val="zh-CN"/>
        </w:rPr>
      </w:pPr>
      <w:r>
        <w:rPr>
          <w:rFonts w:hint="eastAsia"/>
          <w:b/>
          <w:bCs/>
          <w:lang w:val="zh-CN"/>
        </w:rPr>
        <w:t>（刘</w:t>
      </w:r>
      <w:r>
        <w:rPr>
          <w:rFonts w:hint="eastAsia"/>
          <w:b/>
          <w:bCs/>
          <w:lang w:val="en-US" w:eastAsia="zh-CN"/>
        </w:rPr>
        <w:t xml:space="preserve">  </w:t>
      </w:r>
      <w:r>
        <w:rPr>
          <w:rFonts w:hint="eastAsia"/>
          <w:b/>
          <w:bCs/>
          <w:lang w:val="zh-CN"/>
        </w:rPr>
        <w:t>华）</w:t>
      </w:r>
    </w:p>
    <w:p w14:paraId="5E45201A">
      <w:pPr>
        <w:pStyle w:val="11"/>
        <w:bidi w:val="0"/>
        <w:rPr>
          <w:rFonts w:hint="eastAsia"/>
          <w:b/>
          <w:bCs/>
          <w:lang w:val="zh-CN"/>
        </w:rPr>
      </w:pPr>
      <w:r>
        <w:rPr>
          <w:rFonts w:hint="eastAsia"/>
          <w:b/>
          <w:bCs/>
          <w:lang w:val="zh-CN"/>
        </w:rPr>
        <w:t>附：2018年市中医院领导班子成员名单</w:t>
      </w:r>
    </w:p>
    <w:p w14:paraId="1D9AEB97">
      <w:pPr>
        <w:pStyle w:val="11"/>
        <w:bidi w:val="0"/>
        <w:rPr>
          <w:rFonts w:hint="eastAsia"/>
          <w:lang w:val="zh-CN"/>
        </w:rPr>
      </w:pPr>
      <w:r>
        <w:rPr>
          <w:rFonts w:hint="eastAsia"/>
          <w:b/>
          <w:bCs/>
          <w:lang w:val="zh-CN"/>
        </w:rPr>
        <w:t>院</w:t>
      </w:r>
      <w:r>
        <w:rPr>
          <w:rFonts w:hint="eastAsia"/>
          <w:b/>
          <w:bCs/>
          <w:lang w:val="en-US" w:eastAsia="zh-CN"/>
        </w:rPr>
        <w:t xml:space="preserve">    </w:t>
      </w:r>
      <w:r>
        <w:rPr>
          <w:rFonts w:hint="eastAsia"/>
          <w:b/>
          <w:bCs/>
          <w:lang w:val="zh-CN"/>
        </w:rPr>
        <w:t>长：</w:t>
      </w:r>
      <w:r>
        <w:rPr>
          <w:rFonts w:hint="eastAsia"/>
          <w:lang w:val="zh-CN"/>
        </w:rPr>
        <w:t>何旗明</w:t>
      </w:r>
    </w:p>
    <w:p w14:paraId="06C76B70">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院</w:t>
      </w:r>
      <w:r>
        <w:rPr>
          <w:rFonts w:hint="eastAsia"/>
          <w:b/>
          <w:bCs/>
          <w:lang w:val="en-US" w:eastAsia="zh-CN"/>
        </w:rPr>
        <w:t xml:space="preserve"> </w:t>
      </w:r>
      <w:r>
        <w:rPr>
          <w:rFonts w:hint="eastAsia"/>
          <w:b/>
          <w:bCs/>
          <w:lang w:val="zh-CN"/>
        </w:rPr>
        <w:t>长：</w:t>
      </w:r>
      <w:r>
        <w:rPr>
          <w:rFonts w:hint="eastAsia"/>
          <w:lang w:val="zh-CN"/>
        </w:rPr>
        <w:t>张万峰</w:t>
      </w:r>
      <w:r>
        <w:rPr>
          <w:rFonts w:hint="eastAsia"/>
          <w:lang w:val="en-US" w:eastAsia="zh-CN"/>
        </w:rPr>
        <w:t xml:space="preserve">   </w:t>
      </w:r>
      <w:r>
        <w:rPr>
          <w:rFonts w:hint="eastAsia"/>
          <w:lang w:val="zh-CN"/>
        </w:rPr>
        <w:t>刘加波</w:t>
      </w:r>
    </w:p>
    <w:p w14:paraId="129C514E">
      <w:pPr>
        <w:pStyle w:val="11"/>
        <w:bidi w:val="0"/>
        <w:ind w:leftChars="500"/>
        <w:rPr>
          <w:rFonts w:hint="eastAsia"/>
          <w:lang w:val="zh-CN"/>
        </w:rPr>
      </w:pPr>
      <w:r>
        <w:rPr>
          <w:rFonts w:hint="eastAsia"/>
          <w:lang w:val="zh-CN"/>
        </w:rPr>
        <w:t>张明峰</w:t>
      </w:r>
      <w:r>
        <w:rPr>
          <w:rFonts w:hint="eastAsia"/>
          <w:lang w:val="en-US" w:eastAsia="zh-CN"/>
        </w:rPr>
        <w:t xml:space="preserve">   </w:t>
      </w:r>
      <w:r>
        <w:rPr>
          <w:rFonts w:hint="eastAsia"/>
          <w:lang w:val="zh-CN"/>
        </w:rPr>
        <w:t>申昌明</w:t>
      </w:r>
    </w:p>
    <w:p w14:paraId="6C8CE890">
      <w:pPr>
        <w:pStyle w:val="11"/>
        <w:bidi w:val="0"/>
        <w:ind w:leftChars="500"/>
        <w:rPr>
          <w:rFonts w:hint="eastAsia"/>
          <w:lang w:val="zh-CN"/>
        </w:rPr>
      </w:pPr>
      <w:r>
        <w:rPr>
          <w:rFonts w:hint="eastAsia"/>
          <w:lang w:val="zh-CN"/>
        </w:rPr>
        <w:t>张连新（挂职副院长）</w:t>
      </w:r>
    </w:p>
    <w:p w14:paraId="055D2984">
      <w:pPr>
        <w:pStyle w:val="11"/>
        <w:bidi w:val="0"/>
        <w:rPr>
          <w:rFonts w:hint="eastAsia"/>
          <w:lang w:val="zh-CN"/>
        </w:rPr>
      </w:pPr>
      <w:r>
        <w:rPr>
          <w:rFonts w:hint="eastAsia"/>
          <w:b/>
          <w:bCs/>
          <w:lang w:val="zh-CN"/>
        </w:rPr>
        <w:t>工会主席：</w:t>
      </w:r>
      <w:r>
        <w:rPr>
          <w:rFonts w:hint="eastAsia"/>
          <w:lang w:val="zh-CN"/>
        </w:rPr>
        <w:t>王文博</w:t>
      </w:r>
    </w:p>
    <w:p w14:paraId="7591370E">
      <w:pPr>
        <w:pStyle w:val="4"/>
        <w:bidi w:val="0"/>
        <w:rPr>
          <w:rFonts w:hint="eastAsia"/>
          <w:lang w:val="zh-CN"/>
        </w:rPr>
      </w:pPr>
      <w:r>
        <w:rPr>
          <w:rFonts w:hint="eastAsia"/>
          <w:lang w:val="zh-CN"/>
        </w:rPr>
        <w:t>【南雄市妇幼保健计划生育服务院】</w:t>
      </w:r>
    </w:p>
    <w:p w14:paraId="1ADC584E">
      <w:pPr>
        <w:bidi w:val="0"/>
        <w:rPr>
          <w:rFonts w:hint="eastAsia"/>
          <w:lang w:val="zh-CN"/>
        </w:rPr>
      </w:pPr>
      <w:r>
        <w:rPr>
          <w:rFonts w:hint="eastAsia"/>
          <w:lang w:val="zh-CN"/>
        </w:rPr>
        <w:t>南雄市妇幼保健计划生育服务院为公益一类事业单位，医院占地面积3914.6平方米，编制床位100张，人员编制79个，全院职工169人，在职在编72人，其中高级职称6人，中级职称30人。院内设有孕产保健部、妇女保健部、儿童保健部、计划生育技术服务部；同时设办公室、人事监察股、财务股、医教股、妇产科、儿科、计划生育科、检验科、功能科、保健信息科、护理部、药品及避孕药具管理科十二个股室。2018年门诊诊治8.75万人次，同比增长28.15%；住院人次5351人，同比增长36.61%。</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C9FE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BC7561B">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7440" cy="3697605"/>
                  <wp:effectExtent l="0" t="0" r="3810" b="17145"/>
                  <wp:docPr id="130" name="图片 130" descr="南雄年鉴2019_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南雄年鉴2019_0105"/>
                          <pic:cNvPicPr>
                            <a:picLocks noChangeAspect="1"/>
                          </pic:cNvPicPr>
                        </pic:nvPicPr>
                        <pic:blipFill>
                          <a:blip r:embed="rId117"/>
                          <a:stretch>
                            <a:fillRect/>
                          </a:stretch>
                        </pic:blipFill>
                        <pic:spPr>
                          <a:xfrm>
                            <a:off x="0" y="0"/>
                            <a:ext cx="6187440" cy="3697605"/>
                          </a:xfrm>
                          <a:prstGeom prst="rect">
                            <a:avLst/>
                          </a:prstGeom>
                        </pic:spPr>
                      </pic:pic>
                    </a:graphicData>
                  </a:graphic>
                </wp:inline>
              </w:drawing>
            </w:r>
          </w:p>
        </w:tc>
      </w:tr>
      <w:tr w14:paraId="221D9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14907763">
            <w:pPr>
              <w:spacing w:beforeLines="0" w:afterLines="0"/>
              <w:ind w:firstLine="400" w:firstLineChars="200"/>
              <w:jc w:val="left"/>
              <w:rPr>
                <w:rFonts w:hint="eastAsia" w:ascii="宋体" w:hAnsi="宋体" w:eastAsia="宋体" w:cs="宋体"/>
                <w:kern w:val="2"/>
                <w:sz w:val="21"/>
                <w:szCs w:val="21"/>
                <w:lang w:val="zh-CN" w:eastAsia="zh-CN" w:bidi="ar-SA"/>
              </w:rPr>
            </w:pPr>
            <w:r>
              <w:rPr>
                <w:rFonts w:hint="eastAsia" w:ascii="FZKTK--GBK1-0" w:hAnsi="FZKTK--GBK1-0" w:eastAsia="FZKTK--GBK1-0"/>
                <w:color w:val="000000"/>
                <w:sz w:val="20"/>
              </w:rPr>
              <w:t>2月20日，南雄市委书记王碧安（右一）到市妇幼保健院慰问一线医务人员（市妇幼保健院</w:t>
            </w:r>
            <w:r>
              <w:rPr>
                <w:rFonts w:hint="eastAsia" w:ascii="FZKTK--GBK1-0" w:hAnsi="FZKTK--GBK1-0" w:eastAsia="FZKTK--GBK1-0"/>
                <w:color w:val="000000"/>
                <w:sz w:val="20"/>
                <w:lang w:val="en-US" w:eastAsia="zh-CN"/>
              </w:rPr>
              <w:t xml:space="preserve">  </w:t>
            </w:r>
            <w:r>
              <w:rPr>
                <w:rFonts w:hint="eastAsia" w:ascii="FZKTK--GBK1-0" w:hAnsi="FZKTK--GBK1-0" w:eastAsia="FZKTK--GBK1-0"/>
                <w:color w:val="000000"/>
                <w:sz w:val="20"/>
              </w:rPr>
              <w:t>供）</w:t>
            </w:r>
          </w:p>
        </w:tc>
      </w:tr>
    </w:tbl>
    <w:p w14:paraId="3484DB80">
      <w:pPr>
        <w:bidi w:val="0"/>
        <w:rPr>
          <w:rFonts w:hint="eastAsia"/>
          <w:lang w:val="zh-CN"/>
        </w:rPr>
      </w:pPr>
      <w:r>
        <w:rPr>
          <w:rFonts w:hint="eastAsia"/>
          <w:b/>
          <w:bCs/>
          <w:lang w:val="zh-CN"/>
        </w:rPr>
        <w:t>医学证明管理</w:t>
      </w:r>
      <w:r>
        <w:rPr>
          <w:rFonts w:hint="eastAsia"/>
          <w:b/>
          <w:bCs/>
          <w:lang w:val="en-US" w:eastAsia="zh-CN"/>
        </w:rPr>
        <w:t xml:space="preserve"> </w:t>
      </w:r>
      <w:r>
        <w:rPr>
          <w:rFonts w:hint="eastAsia"/>
          <w:lang w:val="en-US" w:eastAsia="zh-CN"/>
        </w:rPr>
        <w:t xml:space="preserve">  </w:t>
      </w:r>
      <w:r>
        <w:rPr>
          <w:rFonts w:hint="eastAsia"/>
          <w:lang w:val="zh-CN"/>
        </w:rPr>
        <w:t>全市医疗机构内首次签发4404张，换发32张，补发57张，全年医疗机构外签发出生证102张，废证17张，合计4612张。</w:t>
      </w:r>
    </w:p>
    <w:p w14:paraId="29470621">
      <w:pPr>
        <w:bidi w:val="0"/>
        <w:rPr>
          <w:rFonts w:hint="eastAsia"/>
          <w:lang w:val="zh-CN"/>
        </w:rPr>
      </w:pPr>
      <w:r>
        <w:rPr>
          <w:rFonts w:hint="eastAsia"/>
          <w:b/>
          <w:bCs/>
          <w:lang w:val="zh-CN"/>
        </w:rPr>
        <w:t>妇女常见病筛查</w:t>
      </w:r>
      <w:r>
        <w:rPr>
          <w:rFonts w:hint="eastAsia"/>
          <w:b/>
          <w:bCs/>
          <w:lang w:val="en-US" w:eastAsia="zh-CN"/>
        </w:rPr>
        <w:t xml:space="preserve">   </w:t>
      </w:r>
      <w:r>
        <w:rPr>
          <w:rFonts w:hint="eastAsia"/>
          <w:lang w:val="zh-CN"/>
        </w:rPr>
        <w:t>2018年完成妇检人数1616人，查出各类妇科疾病总数807人，患病率49.9%。</w:t>
      </w:r>
    </w:p>
    <w:p w14:paraId="2846264E">
      <w:pPr>
        <w:bidi w:val="0"/>
        <w:rPr>
          <w:rFonts w:hint="eastAsia"/>
          <w:lang w:val="zh-CN"/>
        </w:rPr>
      </w:pPr>
      <w:r>
        <w:rPr>
          <w:rFonts w:hint="eastAsia"/>
          <w:b/>
          <w:bCs/>
          <w:lang w:val="zh-CN"/>
        </w:rPr>
        <w:t>婚检工作</w:t>
      </w:r>
      <w:r>
        <w:rPr>
          <w:rFonts w:hint="eastAsia"/>
          <w:b/>
          <w:bCs/>
          <w:lang w:val="en-US" w:eastAsia="zh-CN"/>
        </w:rPr>
        <w:t xml:space="preserve">   </w:t>
      </w:r>
      <w:r>
        <w:rPr>
          <w:rFonts w:hint="eastAsia"/>
          <w:lang w:val="zh-CN"/>
        </w:rPr>
        <w:t>全市登婚人数6120人，婚检5546人，婚检率为90.62%，查出疾病1014人，发病率18.28%，发现影响婚育疾病38人，需暂缓结婚38人。</w:t>
      </w:r>
    </w:p>
    <w:p w14:paraId="13E7B5E3">
      <w:pPr>
        <w:bidi w:val="0"/>
        <w:rPr>
          <w:rFonts w:hint="eastAsia"/>
          <w:lang w:val="zh-CN"/>
        </w:rPr>
      </w:pPr>
      <w:r>
        <w:rPr>
          <w:rFonts w:hint="eastAsia"/>
          <w:b/>
          <w:bCs/>
          <w:lang w:val="zh-CN"/>
        </w:rPr>
        <w:t>托幼园卫生保健</w:t>
      </w:r>
      <w:r>
        <w:rPr>
          <w:rFonts w:hint="eastAsia"/>
          <w:b/>
          <w:bCs/>
          <w:lang w:val="en-US" w:eastAsia="zh-CN"/>
        </w:rPr>
        <w:t xml:space="preserve">   </w:t>
      </w:r>
      <w:r>
        <w:rPr>
          <w:rFonts w:hint="eastAsia"/>
          <w:lang w:val="zh-CN"/>
        </w:rPr>
        <w:t>2018年对城区20间托幼园（所）、学前班的5396名儿童进行健康体检，体检率为99.41%，其中检出龋齿1581人，发病率29.48%；中重度贫血33人，发病率0.62%；发现体弱儿95人，并已纳入体弱儿专案管理。</w:t>
      </w:r>
    </w:p>
    <w:p w14:paraId="7EB22E9C">
      <w:pPr>
        <w:bidi w:val="0"/>
        <w:rPr>
          <w:rFonts w:hint="eastAsia"/>
          <w:lang w:val="zh-CN"/>
        </w:rPr>
      </w:pPr>
      <w:r>
        <w:rPr>
          <w:rFonts w:hint="eastAsia"/>
          <w:b/>
          <w:bCs/>
          <w:lang w:val="zh-CN"/>
        </w:rPr>
        <w:t>业务培训</w:t>
      </w:r>
      <w:r>
        <w:rPr>
          <w:rFonts w:hint="eastAsia"/>
          <w:b/>
          <w:bCs/>
          <w:lang w:val="en-US" w:eastAsia="zh-CN"/>
        </w:rPr>
        <w:t xml:space="preserve">   </w:t>
      </w:r>
      <w:r>
        <w:rPr>
          <w:rFonts w:hint="eastAsia"/>
          <w:lang w:val="zh-CN"/>
        </w:rPr>
        <w:t>2018年选送20名优秀骨干人员到省妇幼、东莞市妇幼、韶关市粤北人民医院、韶关市妇幼保健院进修学习；对医疗卫生单位助产、妇幼人员进行业务技术指导和培训，举办业务培训4期，培训220人次。</w:t>
      </w:r>
      <w:r>
        <w:rPr>
          <w:rFonts w:hint="eastAsia"/>
          <w:b/>
          <w:bCs/>
          <w:lang w:val="zh-CN"/>
        </w:rPr>
        <w:t>（何青竹）</w:t>
      </w:r>
    </w:p>
    <w:p w14:paraId="0520DE5D">
      <w:pPr>
        <w:pStyle w:val="11"/>
        <w:bidi w:val="0"/>
        <w:rPr>
          <w:rFonts w:hint="eastAsia"/>
          <w:b/>
          <w:bCs/>
          <w:lang w:val="zh-CN"/>
        </w:rPr>
      </w:pPr>
      <w:r>
        <w:rPr>
          <w:rFonts w:hint="eastAsia"/>
          <w:b/>
          <w:bCs/>
          <w:lang w:val="zh-CN"/>
        </w:rPr>
        <w:t>附：2018年市妇幼保健院领导班子成员名单</w:t>
      </w:r>
    </w:p>
    <w:p w14:paraId="1A7C06B6">
      <w:pPr>
        <w:pStyle w:val="11"/>
        <w:bidi w:val="0"/>
        <w:rPr>
          <w:rFonts w:hint="eastAsia"/>
          <w:lang w:val="zh-CN"/>
        </w:rPr>
      </w:pPr>
      <w:r>
        <w:rPr>
          <w:rFonts w:hint="eastAsia"/>
          <w:b/>
          <w:bCs/>
          <w:lang w:val="zh-CN"/>
        </w:rPr>
        <w:t>院</w:t>
      </w:r>
      <w:r>
        <w:rPr>
          <w:rFonts w:hint="eastAsia"/>
          <w:b/>
          <w:bCs/>
          <w:lang w:val="en-US" w:eastAsia="zh-CN"/>
        </w:rPr>
        <w:t xml:space="preserve">  </w:t>
      </w:r>
      <w:r>
        <w:rPr>
          <w:rFonts w:hint="eastAsia"/>
          <w:b/>
          <w:bCs/>
          <w:lang w:val="zh-CN"/>
        </w:rPr>
        <w:t>长：</w:t>
      </w:r>
      <w:r>
        <w:rPr>
          <w:rFonts w:hint="eastAsia"/>
          <w:lang w:val="zh-CN"/>
        </w:rPr>
        <w:t>郭晓日</w:t>
      </w:r>
    </w:p>
    <w:p w14:paraId="65CD6C3E">
      <w:pPr>
        <w:pStyle w:val="11"/>
        <w:bidi w:val="0"/>
        <w:rPr>
          <w:rFonts w:hint="eastAsia"/>
          <w:lang w:val="zh-CN"/>
        </w:rPr>
      </w:pPr>
      <w:r>
        <w:rPr>
          <w:rFonts w:hint="eastAsia"/>
          <w:b/>
          <w:bCs/>
          <w:lang w:val="zh-CN"/>
        </w:rPr>
        <w:t>党支部书记：</w:t>
      </w:r>
      <w:r>
        <w:rPr>
          <w:rFonts w:hint="eastAsia"/>
          <w:lang w:val="zh-CN"/>
        </w:rPr>
        <w:t>钟海英</w:t>
      </w:r>
    </w:p>
    <w:p w14:paraId="585C833F">
      <w:pPr>
        <w:pStyle w:val="11"/>
        <w:bidi w:val="0"/>
        <w:rPr>
          <w:rFonts w:hint="eastAsia"/>
          <w:lang w:val="zh-CN"/>
        </w:rPr>
      </w:pPr>
      <w:r>
        <w:rPr>
          <w:rFonts w:hint="eastAsia"/>
          <w:b/>
          <w:bCs/>
          <w:lang w:val="zh-CN"/>
        </w:rPr>
        <w:t>副院长：</w:t>
      </w:r>
      <w:r>
        <w:rPr>
          <w:rFonts w:hint="eastAsia"/>
          <w:lang w:val="zh-CN"/>
        </w:rPr>
        <w:t>何海芳</w:t>
      </w:r>
      <w:r>
        <w:rPr>
          <w:rFonts w:hint="eastAsia"/>
          <w:lang w:val="en-US" w:eastAsia="zh-CN"/>
        </w:rPr>
        <w:t xml:space="preserve">   </w:t>
      </w:r>
      <w:r>
        <w:rPr>
          <w:rFonts w:hint="eastAsia"/>
          <w:lang w:val="zh-CN"/>
        </w:rPr>
        <w:t>赖怀深</w:t>
      </w:r>
    </w:p>
    <w:p w14:paraId="0403C657">
      <w:pPr>
        <w:pStyle w:val="11"/>
        <w:bidi w:val="0"/>
        <w:ind w:leftChars="400"/>
        <w:rPr>
          <w:rFonts w:hint="eastAsia"/>
          <w:lang w:val="zh-CN"/>
        </w:rPr>
      </w:pPr>
      <w:r>
        <w:rPr>
          <w:rFonts w:hint="eastAsia"/>
          <w:lang w:val="zh-CN"/>
        </w:rPr>
        <w:t>刘发新</w:t>
      </w:r>
      <w:r>
        <w:rPr>
          <w:rFonts w:hint="eastAsia"/>
          <w:lang w:val="en-US" w:eastAsia="zh-CN"/>
        </w:rPr>
        <w:t xml:space="preserve">   </w:t>
      </w:r>
      <w:r>
        <w:rPr>
          <w:rFonts w:hint="eastAsia"/>
          <w:lang w:val="zh-CN"/>
        </w:rPr>
        <w:t>谢红兵</w:t>
      </w:r>
    </w:p>
    <w:p w14:paraId="4FEFAA3C">
      <w:pPr>
        <w:pStyle w:val="4"/>
        <w:bidi w:val="0"/>
        <w:rPr>
          <w:rFonts w:hint="eastAsia"/>
          <w:lang w:val="zh-CN"/>
        </w:rPr>
      </w:pPr>
      <w:r>
        <w:rPr>
          <w:rFonts w:hint="eastAsia"/>
          <w:lang w:val="zh-CN"/>
        </w:rPr>
        <w:t>【南雄市疾病预防控制中心】</w:t>
      </w:r>
    </w:p>
    <w:p w14:paraId="0B9162C5">
      <w:pPr>
        <w:bidi w:val="0"/>
        <w:rPr>
          <w:rFonts w:hint="eastAsia"/>
          <w:lang w:val="zh-CN"/>
        </w:rPr>
      </w:pPr>
      <w:r>
        <w:rPr>
          <w:rFonts w:hint="eastAsia"/>
          <w:lang w:val="zh-CN"/>
        </w:rPr>
        <w:t>南雄市疾病预防控制中心是市政府实施疾病预防控制和公共卫生技术管理与服务职能的副科级公益一类事业单位。</w:t>
      </w:r>
    </w:p>
    <w:p w14:paraId="086B06DD">
      <w:pPr>
        <w:bidi w:val="0"/>
        <w:rPr>
          <w:rFonts w:hint="eastAsia"/>
          <w:lang w:val="zh-CN"/>
        </w:rPr>
      </w:pPr>
      <w:r>
        <w:rPr>
          <w:rFonts w:hint="eastAsia"/>
          <w:lang w:val="zh-CN"/>
        </w:rPr>
        <w:t>2018年年末有干部职工46人，其中专业技术人员43人（副高职称1人，中级职称18人，初级职称24人）；内设职能和业务科室12个。4月，经省检验检测机构认定，评审组资质认定，复查和扩项现场评审，批准检验检测能力疾病预防控制与食品检验二大类3个产品类别157个项目（参数）。获得“2018年度韶关市疾病预防控制工作先进单位”称号以及2018年韶关市疾控系统卫生应急技能大赛团体一等奖。</w:t>
      </w:r>
    </w:p>
    <w:p w14:paraId="0190B097">
      <w:pPr>
        <w:bidi w:val="0"/>
        <w:rPr>
          <w:rFonts w:hint="eastAsia"/>
          <w:lang w:val="zh-CN"/>
        </w:rPr>
      </w:pPr>
      <w:r>
        <w:rPr>
          <w:rFonts w:hint="eastAsia"/>
          <w:b/>
          <w:bCs/>
          <w:lang w:val="zh-CN"/>
        </w:rPr>
        <w:t>公共卫生监测</w:t>
      </w:r>
      <w:r>
        <w:rPr>
          <w:rFonts w:hint="eastAsia"/>
          <w:b/>
          <w:bCs/>
          <w:lang w:val="en-US" w:eastAsia="zh-CN"/>
        </w:rPr>
        <w:t xml:space="preserve">   </w:t>
      </w:r>
      <w:r>
        <w:rPr>
          <w:rFonts w:hint="eastAsia"/>
          <w:lang w:val="zh-CN"/>
        </w:rPr>
        <w:t>医疗机构与托幼机构消毒质量监测。2018年监测市级医疗机构、镇或街道卫生院、村卫生站或私人诊所190间，检测样品6016项次，合格率96.35%；监测托幼机构83间次，检测样品2342项次，合格率87.41%。公共场所监测、监测旅业等公共场所80间次，抽检样品365份，合格率91.25%。生活饮用水监测。按月开展市政供水监测，检测饮用水94份，合格率100%；检测贫困户饮用水225份，合格率98.22%。</w:t>
      </w:r>
    </w:p>
    <w:p w14:paraId="1EFF33EC">
      <w:pPr>
        <w:bidi w:val="0"/>
        <w:rPr>
          <w:rFonts w:hint="eastAsia"/>
          <w:lang w:val="zh-CN"/>
        </w:rPr>
      </w:pPr>
      <w:r>
        <w:rPr>
          <w:rFonts w:hint="eastAsia"/>
          <w:b/>
          <w:bCs/>
          <w:lang w:val="zh-CN"/>
        </w:rPr>
        <w:t>预防性健康检查</w:t>
      </w:r>
      <w:r>
        <w:rPr>
          <w:rFonts w:hint="eastAsia"/>
          <w:b/>
          <w:bCs/>
          <w:lang w:val="en-US" w:eastAsia="zh-CN"/>
        </w:rPr>
        <w:t xml:space="preserve">   </w:t>
      </w:r>
      <w:r>
        <w:rPr>
          <w:rFonts w:hint="eastAsia"/>
          <w:lang w:val="zh-CN"/>
        </w:rPr>
        <w:t>2018年接受88家企业委托开展预防性健康检查，职业健康检查3157人，发现职业禁忌证196人；各类从业人员体检5175人，招工体检1121人，机动车驾驶员体检7670人；按分片管理原则，组织开展全市2017-2018学年学生健康体检工作，体检辖区内41所中、小学校在校学生4.76万人，经检查，在校学生以视力不良患病率最高，其次为龋齿、营养不良、身高下等、体重下等、肥胖、低血红蛋白、色盲色弱、沙眼、心脏听诊异常。</w:t>
      </w:r>
    </w:p>
    <w:p w14:paraId="532D2403">
      <w:pPr>
        <w:bidi w:val="0"/>
        <w:rPr>
          <w:rFonts w:hint="eastAsia"/>
          <w:lang w:val="zh-CN"/>
        </w:rPr>
      </w:pPr>
      <w:r>
        <w:rPr>
          <w:rFonts w:hint="eastAsia"/>
          <w:b/>
          <w:bCs/>
          <w:lang w:val="zh-CN"/>
        </w:rPr>
        <w:t>病媒生物监测</w:t>
      </w:r>
      <w:r>
        <w:rPr>
          <w:rFonts w:hint="eastAsia"/>
          <w:b/>
          <w:bCs/>
          <w:lang w:val="en-US" w:eastAsia="zh-CN"/>
        </w:rPr>
        <w:t xml:space="preserve">   </w:t>
      </w:r>
      <w:r>
        <w:rPr>
          <w:rFonts w:hint="eastAsia"/>
          <w:lang w:val="zh-CN"/>
        </w:rPr>
        <w:t>2018年，在全市监测蚊媒伊蚊监测52点次，调查5558户，阳性户数255户，检查容器数1.75万个，阳性容器数257个，BI年平均4.62。成蚊、老鼠、苍蝇、蟑螂密度监测。成蚊密度（MOI指数法）年平均5.76，老鼠密度（夹/笼夜法）年平均0.19%，苍蝇密度（笼诱法）年平均0.08只/笼，蟑螂密度（粘捕法）年平均0.1只/盒。疟疾媒介按蚊监测。5-10月，每月开展2次疟疾媒介按蚊监测，监测结果报省疾控中心寄生虫防治所。（王海涛）</w:t>
      </w:r>
    </w:p>
    <w:p w14:paraId="42A0A37D">
      <w:pPr>
        <w:pStyle w:val="11"/>
        <w:bidi w:val="0"/>
        <w:rPr>
          <w:rFonts w:hint="eastAsia"/>
          <w:b/>
          <w:bCs/>
          <w:lang w:val="zh-CN"/>
        </w:rPr>
      </w:pPr>
      <w:r>
        <w:rPr>
          <w:rFonts w:hint="eastAsia"/>
          <w:b/>
          <w:bCs/>
          <w:lang w:val="zh-CN"/>
        </w:rPr>
        <w:t>附：2018年市疾控中心领导班子成员名单</w:t>
      </w:r>
    </w:p>
    <w:p w14:paraId="139DBEB6">
      <w:pPr>
        <w:pStyle w:val="11"/>
        <w:bidi w:val="0"/>
        <w:rPr>
          <w:rFonts w:hint="eastAsia"/>
          <w:lang w:val="zh-CN"/>
        </w:rPr>
      </w:pP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易艳辉</w:t>
      </w:r>
    </w:p>
    <w:p w14:paraId="69E2B203">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主</w:t>
      </w:r>
      <w:r>
        <w:rPr>
          <w:rFonts w:hint="eastAsia"/>
          <w:b/>
          <w:bCs/>
          <w:lang w:val="en-US" w:eastAsia="zh-CN"/>
        </w:rPr>
        <w:t xml:space="preserve"> </w:t>
      </w:r>
      <w:r>
        <w:rPr>
          <w:rFonts w:hint="eastAsia"/>
          <w:b/>
          <w:bCs/>
          <w:lang w:val="zh-CN"/>
        </w:rPr>
        <w:t>任：</w:t>
      </w:r>
      <w:r>
        <w:rPr>
          <w:rFonts w:hint="eastAsia"/>
          <w:lang w:val="zh-CN"/>
        </w:rPr>
        <w:t>陈日新</w:t>
      </w:r>
      <w:r>
        <w:rPr>
          <w:rFonts w:hint="eastAsia"/>
          <w:lang w:val="en-US" w:eastAsia="zh-CN"/>
        </w:rPr>
        <w:t xml:space="preserve">   </w:t>
      </w:r>
      <w:r>
        <w:rPr>
          <w:rFonts w:hint="eastAsia"/>
          <w:lang w:val="zh-CN"/>
        </w:rPr>
        <w:t>邬香华</w:t>
      </w:r>
    </w:p>
    <w:p w14:paraId="1BAB6EF0">
      <w:pPr>
        <w:pStyle w:val="11"/>
        <w:bidi w:val="0"/>
        <w:ind w:leftChars="500"/>
        <w:rPr>
          <w:rFonts w:hint="eastAsia"/>
          <w:lang w:val="zh-CN"/>
        </w:rPr>
      </w:pPr>
      <w:r>
        <w:rPr>
          <w:rFonts w:hint="eastAsia"/>
          <w:lang w:val="zh-CN"/>
        </w:rPr>
        <w:t>王海涛</w:t>
      </w:r>
    </w:p>
    <w:p w14:paraId="355E5F4B">
      <w:pPr>
        <w:pStyle w:val="11"/>
        <w:bidi w:val="0"/>
        <w:rPr>
          <w:rFonts w:hint="eastAsia"/>
          <w:lang w:val="zh-CN"/>
        </w:rPr>
      </w:pPr>
      <w:r>
        <w:rPr>
          <w:rFonts w:hint="eastAsia"/>
          <w:b/>
          <w:bCs/>
          <w:lang w:val="zh-CN"/>
        </w:rPr>
        <w:t>工会主席：</w:t>
      </w:r>
      <w:r>
        <w:rPr>
          <w:rFonts w:hint="eastAsia"/>
          <w:lang w:val="zh-CN"/>
        </w:rPr>
        <w:t>彭庆育</w:t>
      </w:r>
    </w:p>
    <w:p w14:paraId="35226F55">
      <w:pPr>
        <w:pStyle w:val="4"/>
        <w:bidi w:val="0"/>
        <w:rPr>
          <w:rFonts w:hint="eastAsia"/>
          <w:lang w:val="zh-CN"/>
        </w:rPr>
      </w:pPr>
      <w:r>
        <w:rPr>
          <w:rFonts w:hint="eastAsia"/>
          <w:lang w:val="zh-CN"/>
        </w:rPr>
        <w:t>【南雄市慢性病防治站】</w:t>
      </w:r>
    </w:p>
    <w:p w14:paraId="0403CAA2">
      <w:pPr>
        <w:bidi w:val="0"/>
        <w:rPr>
          <w:rFonts w:hint="eastAsia"/>
          <w:lang w:val="zh-CN"/>
        </w:rPr>
      </w:pPr>
      <w:r>
        <w:rPr>
          <w:rFonts w:hint="eastAsia"/>
          <w:lang w:val="zh-CN"/>
        </w:rPr>
        <w:t>2018年接诊门诊病人1.78万人次，收治住院病人792人次。2018年荣获“广东省严重精神障碍患者管理治疗工作项目优秀县（市）”称号，连续三年获得此荣誉。</w:t>
      </w:r>
    </w:p>
    <w:p w14:paraId="10AB8DD2">
      <w:pPr>
        <w:bidi w:val="0"/>
        <w:rPr>
          <w:rFonts w:hint="eastAsia"/>
          <w:lang w:val="zh-CN"/>
        </w:rPr>
      </w:pPr>
      <w:r>
        <w:rPr>
          <w:rFonts w:hint="eastAsia"/>
          <w:b/>
          <w:bCs/>
          <w:lang w:val="zh-CN"/>
        </w:rPr>
        <w:t>宣传活动</w:t>
      </w:r>
      <w:r>
        <w:rPr>
          <w:rFonts w:hint="eastAsia"/>
          <w:b/>
          <w:bCs/>
          <w:lang w:val="en-US" w:eastAsia="zh-CN"/>
        </w:rPr>
        <w:t xml:space="preserve">   </w:t>
      </w:r>
      <w:r>
        <w:rPr>
          <w:rFonts w:hint="eastAsia"/>
          <w:lang w:val="zh-CN"/>
        </w:rPr>
        <w:t>3月23日，市卫计局组织市人民医院、市中医院、市慢病站等单位在市区新城河滨公园广场举行以“开展终结结核行动，共建共享健康中国”为主题的宣传咨询活动。发放宣传折页约300份、宣传处方约300份、宣传扇约200把、宣传环保袋350只，现场接受群众咨询120余人次。10月10日，在沿江西路文化广场组织开展“世界精神卫生日”和“世界麻风日”现场义诊咨询宣传活动，接受群众咨询300多人次，免费发放印有精神卫生和麻风病防治知识的小扇子和围裙等500余份、重性精神疾病康复手册1000余份。</w:t>
      </w:r>
    </w:p>
    <w:p w14:paraId="561A6590">
      <w:pPr>
        <w:bidi w:val="0"/>
        <w:jc w:val="right"/>
        <w:rPr>
          <w:rFonts w:hint="eastAsia"/>
          <w:b/>
          <w:bCs/>
          <w:lang w:val="zh-CN"/>
        </w:rPr>
      </w:pPr>
      <w:r>
        <w:rPr>
          <w:rFonts w:hint="eastAsia"/>
          <w:b/>
          <w:bCs/>
          <w:lang w:val="zh-CN"/>
        </w:rPr>
        <w:t>（欧海燕）</w:t>
      </w:r>
    </w:p>
    <w:p w14:paraId="189AECF3">
      <w:pPr>
        <w:pStyle w:val="11"/>
        <w:bidi w:val="0"/>
        <w:rPr>
          <w:rFonts w:hint="eastAsia"/>
          <w:b/>
          <w:bCs/>
          <w:lang w:val="zh-CN"/>
        </w:rPr>
      </w:pPr>
      <w:r>
        <w:rPr>
          <w:rFonts w:hint="eastAsia"/>
          <w:b/>
          <w:bCs/>
          <w:lang w:val="zh-CN"/>
        </w:rPr>
        <w:t>附：2018年市慢病站领导班子成员名单</w:t>
      </w:r>
    </w:p>
    <w:p w14:paraId="11AE948A">
      <w:pPr>
        <w:pStyle w:val="11"/>
        <w:bidi w:val="0"/>
        <w:rPr>
          <w:rFonts w:hint="eastAsia"/>
          <w:lang w:val="zh-CN"/>
        </w:rPr>
      </w:pPr>
      <w:r>
        <w:rPr>
          <w:rFonts w:hint="eastAsia"/>
          <w:b/>
          <w:bCs/>
          <w:lang w:val="zh-CN"/>
        </w:rPr>
        <w:t>站</w:t>
      </w:r>
      <w:r>
        <w:rPr>
          <w:rFonts w:hint="eastAsia"/>
          <w:b/>
          <w:bCs/>
          <w:lang w:val="en-US" w:eastAsia="zh-CN"/>
        </w:rPr>
        <w:t xml:space="preserve">    </w:t>
      </w:r>
      <w:r>
        <w:rPr>
          <w:rFonts w:hint="eastAsia"/>
          <w:b/>
          <w:bCs/>
          <w:lang w:val="zh-CN"/>
        </w:rPr>
        <w:t>长：</w:t>
      </w:r>
      <w:r>
        <w:rPr>
          <w:rFonts w:hint="eastAsia"/>
          <w:lang w:val="zh-CN"/>
        </w:rPr>
        <w:t>徐永宁</w:t>
      </w:r>
    </w:p>
    <w:p w14:paraId="47E9146E">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站</w:t>
      </w:r>
      <w:r>
        <w:rPr>
          <w:rFonts w:hint="eastAsia"/>
          <w:b/>
          <w:bCs/>
          <w:lang w:val="en-US" w:eastAsia="zh-CN"/>
        </w:rPr>
        <w:t xml:space="preserve"> </w:t>
      </w:r>
      <w:r>
        <w:rPr>
          <w:rFonts w:hint="eastAsia"/>
          <w:b/>
          <w:bCs/>
          <w:lang w:val="zh-CN"/>
        </w:rPr>
        <w:t>长：</w:t>
      </w:r>
      <w:r>
        <w:rPr>
          <w:rFonts w:hint="eastAsia"/>
          <w:lang w:val="zh-CN"/>
        </w:rPr>
        <w:t>王拨雄</w:t>
      </w:r>
      <w:r>
        <w:rPr>
          <w:rFonts w:hint="eastAsia"/>
          <w:lang w:val="en-US" w:eastAsia="zh-CN"/>
        </w:rPr>
        <w:t xml:space="preserve">   </w:t>
      </w:r>
      <w:r>
        <w:rPr>
          <w:rFonts w:hint="eastAsia"/>
          <w:lang w:val="zh-CN"/>
        </w:rPr>
        <w:t>谢</w:t>
      </w:r>
      <w:r>
        <w:rPr>
          <w:rFonts w:hint="eastAsia"/>
          <w:lang w:val="en-US" w:eastAsia="zh-CN"/>
        </w:rPr>
        <w:t xml:space="preserve">  </w:t>
      </w:r>
      <w:r>
        <w:rPr>
          <w:rFonts w:hint="eastAsia"/>
          <w:lang w:val="zh-CN"/>
        </w:rPr>
        <w:t>飞</w:t>
      </w:r>
    </w:p>
    <w:p w14:paraId="7076A7B7">
      <w:pPr>
        <w:pStyle w:val="11"/>
        <w:bidi w:val="0"/>
        <w:ind w:leftChars="500"/>
        <w:rPr>
          <w:rFonts w:hint="eastAsia"/>
          <w:lang w:val="zh-CN"/>
        </w:rPr>
      </w:pPr>
      <w:r>
        <w:rPr>
          <w:rFonts w:hint="eastAsia"/>
          <w:lang w:val="zh-CN"/>
        </w:rPr>
        <w:t>杨长辉</w:t>
      </w:r>
    </w:p>
    <w:p w14:paraId="405BF606">
      <w:pPr>
        <w:pStyle w:val="11"/>
        <w:bidi w:val="0"/>
        <w:rPr>
          <w:rFonts w:hint="eastAsia"/>
          <w:lang w:val="zh-CN"/>
        </w:rPr>
      </w:pPr>
      <w:r>
        <w:rPr>
          <w:rFonts w:hint="eastAsia"/>
          <w:b/>
          <w:bCs/>
          <w:lang w:val="zh-CN"/>
        </w:rPr>
        <w:t>工会主席：</w:t>
      </w:r>
      <w:r>
        <w:rPr>
          <w:rFonts w:hint="eastAsia"/>
          <w:lang w:val="zh-CN"/>
        </w:rPr>
        <w:t>黄</w:t>
      </w:r>
      <w:r>
        <w:rPr>
          <w:rFonts w:hint="eastAsia"/>
          <w:lang w:val="en-US" w:eastAsia="zh-CN"/>
        </w:rPr>
        <w:t xml:space="preserve">  </w:t>
      </w:r>
      <w:r>
        <w:rPr>
          <w:rFonts w:hint="eastAsia"/>
          <w:lang w:val="zh-CN"/>
        </w:rPr>
        <w:t>琳</w:t>
      </w:r>
    </w:p>
    <w:p w14:paraId="5E68C203">
      <w:pPr>
        <w:pStyle w:val="4"/>
        <w:bidi w:val="0"/>
        <w:rPr>
          <w:rFonts w:hint="eastAsia"/>
          <w:lang w:val="zh-CN"/>
        </w:rPr>
      </w:pPr>
      <w:r>
        <w:rPr>
          <w:rFonts w:hint="eastAsia"/>
          <w:lang w:val="zh-CN"/>
        </w:rPr>
        <w:t>【南雄市卫生监督所】</w:t>
      </w:r>
    </w:p>
    <w:p w14:paraId="6397CCEE">
      <w:pPr>
        <w:bidi w:val="0"/>
        <w:rPr>
          <w:rFonts w:hint="eastAsia"/>
          <w:lang w:val="zh-CN"/>
        </w:rPr>
      </w:pPr>
      <w:r>
        <w:rPr>
          <w:rFonts w:hint="eastAsia"/>
          <w:lang w:val="zh-CN"/>
        </w:rPr>
        <w:t>南雄市卫生监督所于2002年12月28日挂牌成立，为参公管理事业单位，是南雄市卫生和计划生育局下属的执法机构。2018年在编人员17人（编制25人），其中卫生监督员12人；车辆2辆。下设办公室、受理办证科、医疗机构监督科、公共卫生监督科、财务室5个科室。</w:t>
      </w:r>
    </w:p>
    <w:p w14:paraId="26616CF4">
      <w:pPr>
        <w:bidi w:val="0"/>
        <w:rPr>
          <w:rFonts w:hint="eastAsia"/>
          <w:b/>
          <w:bCs/>
          <w:lang w:val="zh-CN"/>
        </w:rPr>
      </w:pPr>
      <w:r>
        <w:rPr>
          <w:rFonts w:hint="eastAsia"/>
          <w:b/>
          <w:bCs/>
          <w:lang w:val="zh-CN"/>
        </w:rPr>
        <w:t>卫生监督执法情况（见227页）</w:t>
      </w:r>
    </w:p>
    <w:p w14:paraId="499B5F54">
      <w:pPr>
        <w:bidi w:val="0"/>
        <w:rPr>
          <w:rFonts w:hint="eastAsia"/>
          <w:lang w:val="zh-CN"/>
        </w:rPr>
      </w:pPr>
      <w:r>
        <w:rPr>
          <w:rFonts w:hint="eastAsia"/>
          <w:lang w:val="zh-CN"/>
        </w:rPr>
        <w:t>2018年，市卫生监督所依法依规开展网上监督执法，全年出动卫生监督员1683人次，检查各类监管对象689户次，查处无证经营单位10户，办理各类许可证户数87户，做出行政处罚22宗，结案罚款4.48万元。</w:t>
      </w:r>
    </w:p>
    <w:p w14:paraId="7B0EAE57">
      <w:pPr>
        <w:bidi w:val="0"/>
        <w:jc w:val="right"/>
        <w:rPr>
          <w:rFonts w:hint="eastAsia"/>
          <w:b/>
          <w:bCs/>
          <w:lang w:val="zh-CN"/>
        </w:rPr>
      </w:pPr>
      <w:r>
        <w:rPr>
          <w:rFonts w:hint="eastAsia"/>
          <w:b/>
          <w:bCs/>
          <w:lang w:val="zh-CN"/>
        </w:rPr>
        <w:t>（周凤云）</w:t>
      </w:r>
    </w:p>
    <w:p w14:paraId="3ED30620">
      <w:pPr>
        <w:pStyle w:val="11"/>
        <w:bidi w:val="0"/>
        <w:rPr>
          <w:rFonts w:hint="eastAsia"/>
          <w:b/>
          <w:bCs/>
          <w:lang w:val="zh-CN"/>
        </w:rPr>
      </w:pPr>
      <w:r>
        <w:rPr>
          <w:rFonts w:hint="eastAsia"/>
          <w:b/>
          <w:bCs/>
          <w:lang w:val="zh-CN"/>
        </w:rPr>
        <w:t>附：2018年市卫生监督所领导班子成员名单</w:t>
      </w:r>
    </w:p>
    <w:p w14:paraId="2E2172CA">
      <w:pPr>
        <w:pStyle w:val="11"/>
        <w:bidi w:val="0"/>
        <w:rPr>
          <w:rFonts w:hint="eastAsia"/>
          <w:lang w:val="zh-CN"/>
        </w:rPr>
      </w:pPr>
      <w:r>
        <w:rPr>
          <w:rFonts w:hint="eastAsia"/>
          <w:b/>
          <w:bCs/>
          <w:lang w:val="zh-CN"/>
        </w:rPr>
        <w:t>所</w:t>
      </w:r>
      <w:r>
        <w:rPr>
          <w:rFonts w:hint="eastAsia"/>
          <w:b/>
          <w:bCs/>
          <w:lang w:val="en-US" w:eastAsia="zh-CN"/>
        </w:rPr>
        <w:t xml:space="preserve">  </w:t>
      </w:r>
      <w:r>
        <w:rPr>
          <w:rFonts w:hint="eastAsia"/>
          <w:b/>
          <w:bCs/>
          <w:lang w:val="zh-CN"/>
        </w:rPr>
        <w:t>长：</w:t>
      </w:r>
      <w:r>
        <w:rPr>
          <w:rFonts w:hint="eastAsia"/>
          <w:lang w:val="zh-CN"/>
        </w:rPr>
        <w:t>黄承煌</w:t>
      </w:r>
    </w:p>
    <w:p w14:paraId="3D2EA486">
      <w:pPr>
        <w:pStyle w:val="11"/>
        <w:bidi w:val="0"/>
        <w:rPr>
          <w:rFonts w:hint="eastAsia"/>
          <w:lang w:val="zh-CN"/>
        </w:rPr>
      </w:pPr>
      <w:r>
        <w:rPr>
          <w:rFonts w:hint="eastAsia"/>
          <w:b/>
          <w:bCs/>
          <w:lang w:val="zh-CN"/>
        </w:rPr>
        <w:t>副所长：</w:t>
      </w:r>
      <w:r>
        <w:rPr>
          <w:rFonts w:hint="eastAsia"/>
          <w:lang w:val="zh-CN"/>
        </w:rPr>
        <w:t>潘志明</w:t>
      </w:r>
      <w:r>
        <w:rPr>
          <w:rFonts w:hint="eastAsia"/>
          <w:lang w:val="en-US" w:eastAsia="zh-CN"/>
        </w:rPr>
        <w:t xml:space="preserve">  </w:t>
      </w:r>
      <w:r>
        <w:rPr>
          <w:rFonts w:hint="eastAsia"/>
          <w:lang w:val="zh-CN"/>
        </w:rPr>
        <w:t>孔亚军</w:t>
      </w:r>
    </w:p>
    <w:p w14:paraId="74427928">
      <w:pPr>
        <w:pStyle w:val="11"/>
        <w:bidi w:val="0"/>
        <w:ind w:leftChars="400"/>
        <w:rPr>
          <w:rFonts w:hint="eastAsia"/>
          <w:lang w:val="zh-CN"/>
        </w:rPr>
      </w:pPr>
      <w:r>
        <w:rPr>
          <w:rFonts w:hint="eastAsia"/>
          <w:lang w:val="zh-CN"/>
        </w:rPr>
        <w:t>胡金明</w:t>
      </w:r>
    </w:p>
    <w:p w14:paraId="266F7AEA">
      <w:pPr>
        <w:pStyle w:val="4"/>
        <w:bidi w:val="0"/>
        <w:rPr>
          <w:rFonts w:hint="eastAsia"/>
          <w:lang w:val="zh-CN"/>
        </w:rPr>
      </w:pPr>
      <w:r>
        <w:rPr>
          <w:rFonts w:hint="eastAsia"/>
          <w:lang w:val="zh-CN"/>
        </w:rPr>
        <w:t>【南雄市红十字会】</w:t>
      </w:r>
    </w:p>
    <w:p w14:paraId="147EA3A3">
      <w:pPr>
        <w:bidi w:val="0"/>
        <w:rPr>
          <w:rFonts w:hint="eastAsia"/>
          <w:lang w:val="zh-CN"/>
        </w:rPr>
      </w:pPr>
      <w:r>
        <w:rPr>
          <w:rFonts w:hint="eastAsia"/>
          <w:lang w:val="zh-CN"/>
        </w:rPr>
        <w:t>南雄市红十字会于1992年8月设立机构，2006年3月核定事业编制2名，由市卫生健康局代管。</w:t>
      </w:r>
    </w:p>
    <w:p w14:paraId="44D7BCDA">
      <w:pPr>
        <w:bidi w:val="0"/>
        <w:rPr>
          <w:rFonts w:hint="eastAsia"/>
          <w:lang w:val="zh-CN"/>
        </w:rPr>
      </w:pPr>
      <w:r>
        <w:rPr>
          <w:rFonts w:hint="eastAsia"/>
          <w:b/>
          <w:bCs/>
          <w:lang w:val="zh-CN"/>
        </w:rPr>
        <w:t>“春节送温暖”活动</w:t>
      </w:r>
      <w:r>
        <w:rPr>
          <w:rFonts w:hint="eastAsia"/>
          <w:b/>
          <w:bCs/>
          <w:lang w:val="en-US" w:eastAsia="zh-CN"/>
        </w:rPr>
        <w:t xml:space="preserve">   </w:t>
      </w:r>
      <w:r>
        <w:rPr>
          <w:rFonts w:hint="eastAsia"/>
          <w:lang w:val="zh-CN"/>
        </w:rPr>
        <w:t>2018年春节前，市红十字会对湖口镇长市村60户困难家庭发放慰问品（食用油、棉被），向他们送去党和政府的关爱，同时鼓励他们战胜困难，增强生活的信心。</w:t>
      </w:r>
    </w:p>
    <w:p w14:paraId="57310E0D">
      <w:pPr>
        <w:bidi w:val="0"/>
        <w:rPr>
          <w:rFonts w:hint="eastAsia"/>
          <w:lang w:val="zh-CN"/>
        </w:rPr>
      </w:pPr>
      <w:r>
        <w:rPr>
          <w:rFonts w:hint="eastAsia"/>
          <w:b/>
          <w:bCs/>
          <w:lang w:val="zh-CN"/>
        </w:rPr>
        <w:t>志愿者服务队</w:t>
      </w:r>
      <w:r>
        <w:rPr>
          <w:rFonts w:hint="eastAsia"/>
          <w:b/>
          <w:bCs/>
          <w:lang w:val="en-US" w:eastAsia="zh-CN"/>
        </w:rPr>
        <w:t xml:space="preserve">   </w:t>
      </w:r>
      <w:r>
        <w:rPr>
          <w:rFonts w:hint="eastAsia"/>
          <w:lang w:val="zh-CN"/>
        </w:rPr>
        <w:t>2017年5月18日成立“韶关市红十字会无偿献血志愿者工作者服务队南雄分队”，在市区及各乡镇开展红十字会、无偿献血宣传活动，弘扬“人道、博爱、奉献”的红十字精神。</w:t>
      </w:r>
    </w:p>
    <w:p w14:paraId="71062A7A">
      <w:pPr>
        <w:bidi w:val="0"/>
        <w:rPr>
          <w:rFonts w:hint="eastAsia"/>
          <w:lang w:val="zh-CN"/>
        </w:rPr>
      </w:pPr>
      <w:r>
        <w:rPr>
          <w:rFonts w:hint="eastAsia"/>
          <w:b/>
          <w:bCs/>
          <w:lang w:val="zh-CN"/>
        </w:rPr>
        <w:t>开展贫困户家庭救治</w:t>
      </w:r>
      <w:r>
        <w:rPr>
          <w:rFonts w:hint="eastAsia"/>
          <w:b/>
          <w:bCs/>
          <w:lang w:val="en-US" w:eastAsia="zh-CN"/>
        </w:rPr>
        <w:t xml:space="preserve">   </w:t>
      </w:r>
      <w:r>
        <w:rPr>
          <w:rFonts w:hint="eastAsia"/>
          <w:lang w:val="zh-CN"/>
        </w:rPr>
        <w:t>2018年市红十字会在雄州、珠玑、湖口、水口、古市、全安等18个镇（街道）开展贫困户家庭先心病救治工作，初步筛选出10名贫困家庭先心病患儿，12月2日，配合组织广州医科大学附属第一医院专家组在南雄市妇计院（南雄市儿童医院）为20多名贫困户家庭先心病儿童开展先心病筛查救治工作。</w:t>
      </w:r>
      <w:r>
        <w:rPr>
          <w:rFonts w:hint="eastAsia"/>
          <w:b/>
          <w:bCs/>
          <w:lang w:val="zh-CN"/>
        </w:rPr>
        <w:t>（邓汝炳）</w:t>
      </w:r>
    </w:p>
    <w:p w14:paraId="375436AB">
      <w:pPr>
        <w:pStyle w:val="11"/>
        <w:bidi w:val="0"/>
        <w:rPr>
          <w:rFonts w:hint="eastAsia"/>
          <w:b/>
          <w:bCs/>
          <w:lang w:val="zh-CN"/>
        </w:rPr>
      </w:pPr>
      <w:r>
        <w:rPr>
          <w:rFonts w:hint="eastAsia"/>
          <w:b/>
          <w:bCs/>
          <w:lang w:val="zh-CN"/>
        </w:rPr>
        <w:t>附：2018年市红十字会领导班子成员名单</w:t>
      </w:r>
    </w:p>
    <w:p w14:paraId="1E4631BB">
      <w:pPr>
        <w:pStyle w:val="11"/>
        <w:bidi w:val="0"/>
        <w:rPr>
          <w:rFonts w:hint="eastAsia"/>
          <w:lang w:val="zh-CN"/>
        </w:rPr>
      </w:pPr>
      <w:r>
        <w:rPr>
          <w:rFonts w:hint="eastAsia"/>
          <w:b/>
          <w:bCs/>
          <w:lang w:val="zh-CN"/>
        </w:rPr>
        <w:t>会</w:t>
      </w:r>
      <w:r>
        <w:rPr>
          <w:rFonts w:hint="eastAsia"/>
          <w:b/>
          <w:bCs/>
          <w:lang w:val="en-US" w:eastAsia="zh-CN"/>
        </w:rPr>
        <w:t xml:space="preserve">      </w:t>
      </w:r>
      <w:r>
        <w:rPr>
          <w:rFonts w:hint="eastAsia"/>
          <w:b/>
          <w:bCs/>
          <w:lang w:val="zh-CN"/>
        </w:rPr>
        <w:t>长：</w:t>
      </w:r>
      <w:r>
        <w:rPr>
          <w:rFonts w:hint="eastAsia"/>
          <w:b w:val="0"/>
          <w:bCs w:val="0"/>
          <w:lang w:val="zh-CN"/>
        </w:rPr>
        <w:t>马</w:t>
      </w:r>
      <w:r>
        <w:rPr>
          <w:rFonts w:hint="eastAsia"/>
          <w:lang w:val="zh-CN"/>
        </w:rPr>
        <w:t>细妹（兼）</w:t>
      </w:r>
    </w:p>
    <w:p w14:paraId="781E3E73">
      <w:pPr>
        <w:pStyle w:val="11"/>
        <w:bidi w:val="0"/>
        <w:rPr>
          <w:rFonts w:hint="eastAsia"/>
          <w:lang w:val="zh-CN"/>
        </w:rPr>
      </w:pPr>
      <w:r>
        <w:rPr>
          <w:rFonts w:hint="eastAsia"/>
          <w:b/>
          <w:bCs/>
          <w:lang w:val="zh-CN"/>
        </w:rPr>
        <w:t>常务副会长：</w:t>
      </w:r>
      <w:r>
        <w:rPr>
          <w:rFonts w:hint="eastAsia"/>
          <w:lang w:val="zh-CN"/>
        </w:rPr>
        <w:t>邱万茹</w:t>
      </w:r>
    </w:p>
    <w:p w14:paraId="05799CBF">
      <w:pPr>
        <w:pStyle w:val="11"/>
        <w:bidi w:val="0"/>
        <w:rPr>
          <w:rFonts w:hint="eastAsia"/>
          <w:lang w:val="zh-CN"/>
        </w:rPr>
      </w:pPr>
      <w:r>
        <w:rPr>
          <w:rFonts w:hint="eastAsia"/>
          <w:b/>
          <w:bCs/>
          <w:lang w:val="zh-CN"/>
        </w:rPr>
        <w:t>办公室主任：</w:t>
      </w:r>
      <w:r>
        <w:rPr>
          <w:rFonts w:hint="eastAsia"/>
          <w:lang w:val="zh-CN"/>
        </w:rPr>
        <w:t>邓汝炳</w:t>
      </w:r>
    </w:p>
    <w:p w14:paraId="6488A019">
      <w:pPr>
        <w:pStyle w:val="2"/>
        <w:bidi w:val="0"/>
        <w:rPr>
          <w:rFonts w:hint="eastAsia"/>
        </w:rPr>
      </w:pPr>
      <w:r>
        <w:rPr>
          <w:rFonts w:hint="eastAsia"/>
        </w:rPr>
        <w:t>社会·生活</w:t>
      </w:r>
    </w:p>
    <w:p w14:paraId="3EB894B8">
      <w:pPr>
        <w:pStyle w:val="3"/>
        <w:bidi w:val="0"/>
        <w:rPr>
          <w:rFonts w:hint="eastAsia"/>
          <w:lang w:val="zh-CN"/>
        </w:rPr>
      </w:pPr>
      <w:r>
        <w:rPr>
          <w:rFonts w:hint="eastAsia"/>
          <w:lang w:val="zh-CN"/>
        </w:rPr>
        <w:t>人力资源和社会保障</w:t>
      </w:r>
    </w:p>
    <w:p w14:paraId="3CF17E7A">
      <w:pPr>
        <w:pStyle w:val="4"/>
        <w:bidi w:val="0"/>
        <w:rPr>
          <w:rFonts w:hint="eastAsia"/>
          <w:lang w:val="zh-CN"/>
        </w:rPr>
      </w:pPr>
      <w:r>
        <w:rPr>
          <w:rFonts w:hint="eastAsia"/>
          <w:lang w:val="zh-CN"/>
        </w:rPr>
        <w:t>【概况】</w:t>
      </w:r>
    </w:p>
    <w:p w14:paraId="58F84504">
      <w:pPr>
        <w:bidi w:val="0"/>
        <w:rPr>
          <w:rFonts w:hint="eastAsia"/>
          <w:lang w:val="zh-CN"/>
        </w:rPr>
      </w:pPr>
      <w:r>
        <w:rPr>
          <w:rFonts w:hint="eastAsia"/>
          <w:lang w:val="zh-CN"/>
        </w:rPr>
        <w:t>南雄市人力资源和社会保障局是正科级行政单位，为南雄市人民政府工作部门，内设9个股室：办公室、就业促进股、职业能力建设股、事业单位人事管理股、工资福利股、劳动保障监察综合执法大队、社会保障股、公务员办公室和工伤保险股。同时下属3个事业单位：南雄市人才工作管理办公室（市人才服务中心）、南雄市劳动人事争议仲裁院、南雄市就业服务管理局。</w:t>
      </w:r>
    </w:p>
    <w:p w14:paraId="79B7EBAF">
      <w:pPr>
        <w:pStyle w:val="4"/>
        <w:bidi w:val="0"/>
        <w:rPr>
          <w:rFonts w:hint="eastAsia"/>
          <w:lang w:val="zh-CN"/>
        </w:rPr>
      </w:pPr>
      <w:r>
        <w:rPr>
          <w:rFonts w:hint="eastAsia"/>
          <w:lang w:val="zh-CN"/>
        </w:rPr>
        <w:t>【就业情况】</w:t>
      </w:r>
    </w:p>
    <w:p w14:paraId="5D333BFC">
      <w:pPr>
        <w:bidi w:val="0"/>
        <w:rPr>
          <w:rFonts w:hint="eastAsia"/>
          <w:lang w:val="zh-CN"/>
        </w:rPr>
      </w:pPr>
      <w:r>
        <w:rPr>
          <w:rFonts w:hint="eastAsia"/>
          <w:lang w:val="zh-CN"/>
        </w:rPr>
        <w:t>实现城镇新增就业3288人，城镇失业人员再就业3067人，就业困难人员实现就业285人，年末城镇登记失业率为2.31%。全年办理失业人员登记985人，发放就业创业证3416本，发布就业信息4875条，举办“南粤春暖”“精准扶贫”等招聘会17场，提供就业岗位1.59万个，成功实现就业732人。发放创业担保贷款贴息77.24万元，就业创业服务补助、社会保险补贴和岗位补贴等专项资金124.1万元。帮扶有就业意愿的建档立卡贫困劳动力1082人实现就业。组织市创业者参加韶关市“丹霞杯”返乡人员创业创新大赛和广东省“众创杯”创业创新大赛，文华电商、辣哥、追梦视频工作室分别获得“丹霞杯”创业创新大赛之农村电商赛企业组金奖、团队组银奖和企业组铜奖，文华电商获得“众创杯”创业创新大赛之农村电商赛企业组银奖。</w:t>
      </w:r>
    </w:p>
    <w:p w14:paraId="411F9D8C">
      <w:pPr>
        <w:pStyle w:val="4"/>
        <w:bidi w:val="0"/>
        <w:rPr>
          <w:rFonts w:hint="eastAsia"/>
          <w:lang w:val="zh-CN"/>
        </w:rPr>
      </w:pPr>
      <w:r>
        <w:rPr>
          <w:rFonts w:hint="eastAsia"/>
          <w:lang w:val="zh-CN"/>
        </w:rPr>
        <w:t>【农村劳动力技能培训】</w:t>
      </w:r>
    </w:p>
    <w:p w14:paraId="36DBE3C6">
      <w:pPr>
        <w:bidi w:val="0"/>
        <w:rPr>
          <w:rFonts w:hint="eastAsia"/>
          <w:lang w:val="zh-CN"/>
        </w:rPr>
      </w:pPr>
      <w:r>
        <w:rPr>
          <w:rFonts w:hint="eastAsia"/>
          <w:lang w:val="zh-CN"/>
        </w:rPr>
        <w:t>组织开展10期初级育婴员、保育员等专业（工种）的劳动力技能晋升培训班，383人参加培训。审批通过省级劳动力培训转移就业专项资金申请使用141.06万元。</w:t>
      </w:r>
    </w:p>
    <w:p w14:paraId="4D1A6587">
      <w:pPr>
        <w:pStyle w:val="4"/>
        <w:bidi w:val="0"/>
        <w:rPr>
          <w:rFonts w:hint="eastAsia"/>
          <w:lang w:val="zh-CN"/>
        </w:rPr>
      </w:pPr>
      <w:r>
        <w:rPr>
          <w:rFonts w:hint="eastAsia"/>
          <w:lang w:val="zh-CN"/>
        </w:rPr>
        <w:t>【监察工作】</w:t>
      </w:r>
    </w:p>
    <w:p w14:paraId="6C58EA48">
      <w:pPr>
        <w:bidi w:val="0"/>
        <w:rPr>
          <w:rFonts w:hint="eastAsia"/>
          <w:lang w:val="zh-CN"/>
        </w:rPr>
      </w:pPr>
      <w:r>
        <w:rPr>
          <w:rFonts w:hint="eastAsia"/>
          <w:lang w:val="zh-CN"/>
        </w:rPr>
        <w:t>开展以建设工程领域为重点的打击欠薪、规范人力资源市场秩序、劳务派遣、整治非法用工、高温劳动保护、打击劳动保障违法犯罪等多项专项行动，检查各类用人单位120户次，其中建筑业71家，制造业34家，其他行业15家。2018年协调处理涉劳资纠纷投诉案件51起，受理办结劳动保障监察案件1宗，移送公安案件1宗。各类欠薪案件结案率达到96%以上，无因欠薪引发的群体突发性事件发生。</w:t>
      </w:r>
    </w:p>
    <w:p w14:paraId="77FF6C3D">
      <w:pPr>
        <w:pStyle w:val="4"/>
        <w:bidi w:val="0"/>
        <w:rPr>
          <w:rFonts w:hint="eastAsia"/>
          <w:lang w:val="zh-CN"/>
        </w:rPr>
      </w:pPr>
      <w:r>
        <w:rPr>
          <w:rFonts w:hint="eastAsia"/>
          <w:lang w:val="zh-CN"/>
        </w:rPr>
        <w:t>【工伤保险】</w:t>
      </w:r>
    </w:p>
    <w:p w14:paraId="54233C67">
      <w:pPr>
        <w:bidi w:val="0"/>
        <w:rPr>
          <w:rFonts w:hint="eastAsia"/>
          <w:lang w:val="zh-CN"/>
        </w:rPr>
      </w:pPr>
      <w:r>
        <w:rPr>
          <w:rFonts w:hint="eastAsia"/>
          <w:lang w:val="zh-CN"/>
        </w:rPr>
        <w:t>推进建筑企业新建项目100%按项目参加工伤保险。收到工伤案件93宗，认定工伤84宗，不予认定2宗，不予受理5宗，撤销申请2宗。</w:t>
      </w:r>
    </w:p>
    <w:p w14:paraId="7050AF36">
      <w:pPr>
        <w:pStyle w:val="4"/>
        <w:bidi w:val="0"/>
        <w:rPr>
          <w:rFonts w:hint="eastAsia"/>
          <w:lang w:val="zh-CN"/>
        </w:rPr>
      </w:pPr>
      <w:r>
        <w:rPr>
          <w:rFonts w:hint="eastAsia"/>
          <w:lang w:val="zh-CN"/>
        </w:rPr>
        <w:t>【劳动人事仲裁】</w:t>
      </w:r>
    </w:p>
    <w:p w14:paraId="41C39886">
      <w:pPr>
        <w:bidi w:val="0"/>
        <w:rPr>
          <w:rFonts w:hint="eastAsia"/>
          <w:lang w:val="zh-CN"/>
        </w:rPr>
      </w:pPr>
      <w:r>
        <w:rPr>
          <w:rFonts w:hint="eastAsia"/>
          <w:lang w:val="zh-CN"/>
        </w:rPr>
        <w:t>办理劳动人事争议仲裁案件113宗，办结113宗，结案率100%，均为法定审限内结案，立案受理的案件涉及劳动者53人，涉及经济标的144.32万元。其中仲裁调解24宗，庭外调解58宗，仲裁裁决26宗，撤诉3宗，不予受理2宗，调解率为73.8%。</w:t>
      </w:r>
    </w:p>
    <w:p w14:paraId="0BE57366">
      <w:pPr>
        <w:pStyle w:val="4"/>
        <w:bidi w:val="0"/>
        <w:rPr>
          <w:rFonts w:hint="eastAsia"/>
          <w:lang w:val="zh-CN"/>
        </w:rPr>
      </w:pPr>
      <w:r>
        <w:rPr>
          <w:rFonts w:hint="eastAsia"/>
          <w:lang w:val="zh-CN"/>
        </w:rPr>
        <w:t>【人才服务】</w:t>
      </w:r>
    </w:p>
    <w:p w14:paraId="6D96D03A">
      <w:pPr>
        <w:bidi w:val="0"/>
        <w:rPr>
          <w:rFonts w:hint="eastAsia"/>
          <w:lang w:val="zh-CN"/>
        </w:rPr>
      </w:pPr>
      <w:r>
        <w:rPr>
          <w:rFonts w:hint="eastAsia"/>
          <w:lang w:val="zh-CN"/>
        </w:rPr>
        <w:t>全面启用“广东省流动人员人事档案管理系统”，实现高校毕业生网上报到，1549名高校毕业生完成网上报到。跟踪2018届离校未就业高校毕业生就业情况273人次。接收毕业生档案1210份，办理流动人员档案转递334人次。成功申报首期“韶关名医”9人。</w:t>
      </w:r>
    </w:p>
    <w:p w14:paraId="2756076B">
      <w:pPr>
        <w:pStyle w:val="4"/>
        <w:bidi w:val="0"/>
        <w:rPr>
          <w:rFonts w:hint="eastAsia"/>
          <w:lang w:val="zh-CN"/>
        </w:rPr>
      </w:pPr>
      <w:r>
        <w:rPr>
          <w:rFonts w:hint="eastAsia"/>
          <w:lang w:val="zh-CN"/>
        </w:rPr>
        <w:t>【人事管理】</w:t>
      </w:r>
    </w:p>
    <w:p w14:paraId="15110254">
      <w:pPr>
        <w:bidi w:val="0"/>
        <w:rPr>
          <w:rFonts w:hint="eastAsia"/>
          <w:lang w:val="zh-CN"/>
        </w:rPr>
      </w:pPr>
      <w:r>
        <w:rPr>
          <w:rFonts w:hint="eastAsia"/>
          <w:lang w:val="zh-CN"/>
        </w:rPr>
        <w:t>2018年录用机关公务员（含参公管理工作人员）76名。办理公务员人事调动48人，其中市外调入1人，市内调出7人。办理提前退休5人，辞去公职1人。办理公务员登记手续122人。组织74名新招录公务员进行为期15天的初任培训。组织开展学习贯彻习近平总书记视察广东重要讲话精神暨“不忘初心、牢记使命”专题全员培训，参加培训2195人。</w:t>
      </w:r>
    </w:p>
    <w:p w14:paraId="45B40986">
      <w:pPr>
        <w:pStyle w:val="4"/>
        <w:bidi w:val="0"/>
        <w:rPr>
          <w:rFonts w:hint="eastAsia"/>
          <w:lang w:val="zh-CN"/>
        </w:rPr>
      </w:pPr>
      <w:r>
        <w:rPr>
          <w:rFonts w:hint="eastAsia"/>
          <w:lang w:val="zh-CN"/>
        </w:rPr>
        <w:t>【职称评审】</w:t>
      </w:r>
    </w:p>
    <w:p w14:paraId="1FC28671">
      <w:pPr>
        <w:bidi w:val="0"/>
        <w:rPr>
          <w:rFonts w:hint="eastAsia"/>
          <w:lang w:val="zh-CN"/>
        </w:rPr>
      </w:pPr>
      <w:r>
        <w:rPr>
          <w:rFonts w:hint="eastAsia"/>
          <w:lang w:val="zh-CN"/>
        </w:rPr>
        <w:t>2018年8人取得正高级职称，73人取得副高级职称，64人取得中级职称。</w:t>
      </w:r>
    </w:p>
    <w:p w14:paraId="1FFB7800">
      <w:pPr>
        <w:pStyle w:val="4"/>
        <w:bidi w:val="0"/>
        <w:rPr>
          <w:rFonts w:hint="eastAsia"/>
          <w:lang w:val="zh-CN"/>
        </w:rPr>
      </w:pPr>
      <w:r>
        <w:rPr>
          <w:rFonts w:hint="eastAsia"/>
          <w:lang w:val="zh-CN"/>
        </w:rPr>
        <w:t>【人事考试】</w:t>
      </w:r>
    </w:p>
    <w:p w14:paraId="54395136">
      <w:pPr>
        <w:bidi w:val="0"/>
        <w:rPr>
          <w:rFonts w:hint="eastAsia"/>
          <w:lang w:val="zh-CN"/>
        </w:rPr>
      </w:pPr>
      <w:r>
        <w:rPr>
          <w:rFonts w:hint="eastAsia"/>
          <w:lang w:val="zh-CN"/>
        </w:rPr>
        <w:t>组织事业单位公开招聘3次，招聘251人，其中本科学历152人，专科学历98人，中专学历1人。引进博士研究生1人（卫生系统）；引进硕士研究生18人，其中教育系统下属事业单位17人，卫生系统1人。办理符合南雄市政府安置条件的退役士官直接安置到工勤岗位4人。事业单位人员辞职26人，调动36人，办理聘用手续2672人。</w:t>
      </w:r>
    </w:p>
    <w:p w14:paraId="5900890A">
      <w:pPr>
        <w:pStyle w:val="4"/>
        <w:bidi w:val="0"/>
        <w:rPr>
          <w:rFonts w:hint="eastAsia"/>
          <w:lang w:val="zh-CN"/>
        </w:rPr>
      </w:pPr>
      <w:r>
        <w:rPr>
          <w:rFonts w:hint="eastAsia"/>
          <w:lang w:val="zh-CN"/>
        </w:rPr>
        <w:t>【社会保障】</w:t>
      </w:r>
    </w:p>
    <w:p w14:paraId="4A6821B0">
      <w:pPr>
        <w:bidi w:val="0"/>
        <w:rPr>
          <w:rFonts w:hint="eastAsia"/>
          <w:lang w:val="zh-CN"/>
        </w:rPr>
      </w:pPr>
      <w:r>
        <w:rPr>
          <w:rFonts w:hint="eastAsia"/>
          <w:lang w:val="zh-CN"/>
        </w:rPr>
        <w:t>2018年有21.11万人参加城乡医保，完成省下达目标任务数的103.13%，37.85万人参加2019年度城乡医保，完成省下达目标任务数的97.55%。完成6630.15万元征地滞留资金分配工作，对2018年度6个批次征地进行社保报批工作。全面完成机关事业单位养老保险制度改革。</w:t>
      </w:r>
      <w:r>
        <w:rPr>
          <w:rFonts w:hint="eastAsia"/>
          <w:b/>
          <w:bCs/>
          <w:lang w:val="zh-CN"/>
        </w:rPr>
        <w:t>（王丽丽）</w:t>
      </w:r>
    </w:p>
    <w:p w14:paraId="2F23E5B5">
      <w:pPr>
        <w:pStyle w:val="11"/>
        <w:bidi w:val="0"/>
        <w:rPr>
          <w:rFonts w:hint="eastAsia"/>
          <w:b/>
          <w:bCs/>
          <w:lang w:val="zh-CN"/>
        </w:rPr>
      </w:pPr>
      <w:r>
        <w:rPr>
          <w:rFonts w:hint="eastAsia"/>
          <w:b/>
          <w:bCs/>
          <w:lang w:val="zh-CN"/>
        </w:rPr>
        <w:t>附：2018年市人社局领导班子成员</w:t>
      </w:r>
    </w:p>
    <w:p w14:paraId="5FF243B9">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王婉霞</w:t>
      </w:r>
    </w:p>
    <w:p w14:paraId="4C9E72E6">
      <w:pPr>
        <w:pStyle w:val="11"/>
        <w:bidi w:val="0"/>
        <w:rPr>
          <w:rFonts w:hint="eastAsia"/>
          <w:lang w:val="zh-CN"/>
        </w:rPr>
      </w:pPr>
      <w:r>
        <w:rPr>
          <w:rFonts w:hint="eastAsia"/>
          <w:b/>
          <w:bCs/>
          <w:lang w:val="zh-CN"/>
        </w:rPr>
        <w:t>副局长：</w:t>
      </w:r>
      <w:r>
        <w:rPr>
          <w:rFonts w:hint="eastAsia"/>
          <w:lang w:val="zh-CN"/>
        </w:rPr>
        <w:t>雷清荣</w:t>
      </w:r>
      <w:r>
        <w:rPr>
          <w:rFonts w:hint="eastAsia"/>
          <w:lang w:val="en-US" w:eastAsia="zh-CN"/>
        </w:rPr>
        <w:t xml:space="preserve">   </w:t>
      </w:r>
      <w:r>
        <w:rPr>
          <w:rFonts w:hint="eastAsia"/>
          <w:lang w:val="zh-CN"/>
        </w:rPr>
        <w:t>钟</w:t>
      </w:r>
      <w:r>
        <w:rPr>
          <w:rFonts w:hint="eastAsia"/>
          <w:lang w:val="en-US" w:eastAsia="zh-CN"/>
        </w:rPr>
        <w:t xml:space="preserve">  </w:t>
      </w:r>
      <w:r>
        <w:rPr>
          <w:rFonts w:hint="eastAsia"/>
          <w:lang w:val="zh-CN"/>
        </w:rPr>
        <w:t>海</w:t>
      </w:r>
    </w:p>
    <w:p w14:paraId="7DA05A7E">
      <w:pPr>
        <w:pStyle w:val="11"/>
        <w:bidi w:val="0"/>
        <w:ind w:leftChars="400"/>
        <w:rPr>
          <w:rFonts w:hint="eastAsia"/>
          <w:lang w:val="zh-CN"/>
        </w:rPr>
      </w:pPr>
      <w:r>
        <w:rPr>
          <w:rFonts w:hint="eastAsia"/>
          <w:lang w:val="zh-CN"/>
        </w:rPr>
        <w:t>钟达峰</w:t>
      </w:r>
    </w:p>
    <w:p w14:paraId="04801BF4">
      <w:pPr>
        <w:pStyle w:val="3"/>
        <w:bidi w:val="0"/>
        <w:rPr>
          <w:rFonts w:hint="eastAsia"/>
          <w:lang w:val="zh-CN"/>
        </w:rPr>
      </w:pPr>
      <w:r>
        <w:rPr>
          <w:rFonts w:hint="eastAsia"/>
          <w:lang w:val="zh-CN"/>
        </w:rPr>
        <w:t>社会保险</w:t>
      </w:r>
    </w:p>
    <w:p w14:paraId="5D67E891">
      <w:pPr>
        <w:pStyle w:val="4"/>
        <w:bidi w:val="0"/>
        <w:rPr>
          <w:rFonts w:hint="eastAsia"/>
          <w:lang w:val="zh-CN"/>
        </w:rPr>
      </w:pPr>
      <w:r>
        <w:rPr>
          <w:rFonts w:hint="eastAsia"/>
          <w:lang w:val="zh-CN"/>
        </w:rPr>
        <w:t>【概况】</w:t>
      </w:r>
    </w:p>
    <w:p w14:paraId="121081EB">
      <w:pPr>
        <w:bidi w:val="0"/>
        <w:rPr>
          <w:rFonts w:hint="eastAsia"/>
          <w:lang w:val="zh-CN"/>
        </w:rPr>
      </w:pPr>
      <w:r>
        <w:rPr>
          <w:rFonts w:hint="eastAsia"/>
          <w:lang w:val="zh-CN"/>
        </w:rPr>
        <w:t>韶关市社会保险服务管理局南雄分局隶属于韶关市社会保险服务管理局，正科级，公益一类，参照公务员管理事业单位，公务员编制31名，工勤编制3名，2018年在职在编人员31人；内设人秘股、计划财务股、社会保险关系股、养老失业保险待遇核发股、医疗工伤生育保险待遇核发股、城乡居民医疗保险管理股、社会保险稽核监督股、机关事业养老保险股等8个股室。</w:t>
      </w:r>
    </w:p>
    <w:p w14:paraId="24CAD4FF">
      <w:pPr>
        <w:pStyle w:val="4"/>
        <w:bidi w:val="0"/>
        <w:rPr>
          <w:rFonts w:hint="eastAsia"/>
          <w:lang w:val="zh-CN"/>
        </w:rPr>
      </w:pPr>
      <w:r>
        <w:rPr>
          <w:rFonts w:hint="eastAsia"/>
          <w:lang w:val="zh-CN"/>
        </w:rPr>
        <w:t>【职工养老保险】</w:t>
      </w:r>
    </w:p>
    <w:p w14:paraId="7BE6B258">
      <w:pPr>
        <w:bidi w:val="0"/>
        <w:rPr>
          <w:rFonts w:hint="eastAsia"/>
          <w:lang w:val="zh-CN"/>
        </w:rPr>
      </w:pPr>
      <w:r>
        <w:rPr>
          <w:rFonts w:hint="eastAsia"/>
          <w:lang w:val="zh-CN"/>
        </w:rPr>
        <w:t>全市参加城镇职工养老保险人员有3.81万人，完成年度计划的106.73%，与上年对比增长1.17%，截至12月底，享受职工养老保险待遇退休人员有1.32万人，与上年对比增长2.3%。</w:t>
      </w:r>
    </w:p>
    <w:p w14:paraId="1D82465D">
      <w:pPr>
        <w:bidi w:val="0"/>
        <w:rPr>
          <w:rFonts w:hint="eastAsia"/>
          <w:lang w:val="zh-CN"/>
        </w:rPr>
      </w:pPr>
      <w:r>
        <w:rPr>
          <w:rFonts w:hint="eastAsia"/>
          <w:lang w:val="zh-CN"/>
        </w:rPr>
        <w:t>从2018年1月1日起，按2017年全省企业退休人员人均基本养老金的5%左右比例调整退休人员基本养老金，月人均增资110元左右。</w:t>
      </w:r>
    </w:p>
    <w:p w14:paraId="3CA990AE">
      <w:pPr>
        <w:pStyle w:val="4"/>
        <w:bidi w:val="0"/>
        <w:rPr>
          <w:rFonts w:hint="eastAsia"/>
          <w:lang w:val="zh-CN"/>
        </w:rPr>
      </w:pPr>
      <w:r>
        <w:rPr>
          <w:rFonts w:hint="eastAsia"/>
          <w:lang w:val="zh-CN"/>
        </w:rPr>
        <w:t>【失业保险】</w:t>
      </w:r>
    </w:p>
    <w:p w14:paraId="6027B22E">
      <w:pPr>
        <w:bidi w:val="0"/>
        <w:rPr>
          <w:rFonts w:hint="eastAsia"/>
          <w:lang w:val="zh-CN"/>
        </w:rPr>
      </w:pPr>
      <w:r>
        <w:rPr>
          <w:rFonts w:hint="eastAsia"/>
          <w:lang w:val="zh-CN"/>
        </w:rPr>
        <w:t>参加失业保险人员有2.16万人，完成年度计划的101%，与上年对比增长2.15%，享受失业待遇累计达597人/月。5月1日，全省失业人员领取失业保险金标准由现行规定最低工资标准的80%提高到最低工资标准的90%。</w:t>
      </w:r>
    </w:p>
    <w:p w14:paraId="2BE140F3">
      <w:pPr>
        <w:pStyle w:val="4"/>
        <w:bidi w:val="0"/>
        <w:rPr>
          <w:rFonts w:hint="eastAsia"/>
          <w:lang w:val="zh-CN"/>
        </w:rPr>
      </w:pPr>
      <w:r>
        <w:rPr>
          <w:rFonts w:hint="eastAsia"/>
          <w:lang w:val="zh-CN"/>
        </w:rPr>
        <w:t>【职工医疗保险】</w:t>
      </w:r>
    </w:p>
    <w:p w14:paraId="4D33286C">
      <w:pPr>
        <w:bidi w:val="0"/>
        <w:rPr>
          <w:rFonts w:hint="eastAsia"/>
          <w:lang w:val="zh-CN"/>
        </w:rPr>
      </w:pPr>
      <w:r>
        <w:rPr>
          <w:rFonts w:hint="eastAsia"/>
          <w:lang w:val="zh-CN"/>
        </w:rPr>
        <w:t>参加职工医疗保险人员3.67万人，完成年度计划的102.55%，与上年对比增长1.14%。从2018年起，城镇职工基本医疗保险最高支付限额由10万元提高到15万元。5月1日，全市城镇职工医疗保险单位缴费率由用人单位职工上月工资总额的6.0%下调至5.5%。</w:t>
      </w:r>
    </w:p>
    <w:p w14:paraId="4EE5B4C9">
      <w:pPr>
        <w:pStyle w:val="4"/>
        <w:bidi w:val="0"/>
        <w:rPr>
          <w:rFonts w:hint="eastAsia"/>
          <w:lang w:val="zh-CN"/>
        </w:rPr>
      </w:pPr>
      <w:r>
        <w:rPr>
          <w:rFonts w:hint="eastAsia"/>
          <w:lang w:val="zh-CN"/>
        </w:rPr>
        <w:t>【工伤保险】</w:t>
      </w:r>
    </w:p>
    <w:p w14:paraId="6AA4E594">
      <w:pPr>
        <w:bidi w:val="0"/>
        <w:rPr>
          <w:rFonts w:hint="eastAsia"/>
          <w:lang w:val="zh-CN"/>
        </w:rPr>
      </w:pPr>
      <w:r>
        <w:rPr>
          <w:rFonts w:hint="eastAsia"/>
          <w:lang w:val="zh-CN"/>
        </w:rPr>
        <w:t>参加工伤保险人员有2.24万人，完成年度计划的102.55%，与上年对比增长4.12%，享受工伤保险待遇累计达178人次。7月1日，按2017年度韶关市在岗职工月平均工资（5478元）一定比例调整工伤保险生活护理费（一级至四级调整比例分别为60%、50%、40%和30%）；在原待遇标准的基础上，按统筹地区上一年度在岗职工月平均工资增长率7%标准，调整供养亲属抚恤金。</w:t>
      </w:r>
    </w:p>
    <w:p w14:paraId="217B08F4">
      <w:pPr>
        <w:pStyle w:val="4"/>
        <w:bidi w:val="0"/>
        <w:rPr>
          <w:rFonts w:hint="eastAsia"/>
          <w:lang w:val="zh-CN"/>
        </w:rPr>
      </w:pPr>
      <w:r>
        <w:rPr>
          <w:rFonts w:hint="eastAsia"/>
          <w:lang w:val="zh-CN"/>
        </w:rPr>
        <w:t>【生育保险】</w:t>
      </w:r>
    </w:p>
    <w:p w14:paraId="779803CD">
      <w:pPr>
        <w:bidi w:val="0"/>
        <w:rPr>
          <w:rFonts w:hint="eastAsia"/>
          <w:lang w:val="zh-CN"/>
        </w:rPr>
      </w:pPr>
      <w:r>
        <w:rPr>
          <w:rFonts w:hint="eastAsia"/>
          <w:lang w:val="zh-CN"/>
        </w:rPr>
        <w:t>参加生育保险2.33万人，完成年度计划的197.5%，与上年对比增长4.11%，享受生育保险待遇600人次。4月1日，将生育保险费由用人单位按照本单位上月职工工资总额0.5%的比例按月缴纳调整为0.9%比例按月缴纳。</w:t>
      </w:r>
    </w:p>
    <w:p w14:paraId="34FB21BA">
      <w:pPr>
        <w:pStyle w:val="4"/>
        <w:bidi w:val="0"/>
        <w:rPr>
          <w:rFonts w:hint="eastAsia"/>
          <w:lang w:val="zh-CN"/>
        </w:rPr>
      </w:pPr>
      <w:r>
        <w:rPr>
          <w:rFonts w:hint="eastAsia"/>
          <w:lang w:val="zh-CN"/>
        </w:rPr>
        <w:t>【城乡居民养老保险】</w:t>
      </w:r>
    </w:p>
    <w:p w14:paraId="4EC85C60">
      <w:pPr>
        <w:bidi w:val="0"/>
        <w:rPr>
          <w:rFonts w:hint="eastAsia"/>
          <w:lang w:val="zh-CN"/>
        </w:rPr>
      </w:pPr>
      <w:r>
        <w:rPr>
          <w:rFonts w:hint="eastAsia"/>
          <w:lang w:val="zh-CN"/>
        </w:rPr>
        <w:t>2018年城乡居民养老保险参保21.11万人，完成年度计划的103.13%，与上年对比增长6.1%，享受退休待遇有6.83万人。2018年1月1日起，城乡居民基本养老保险基础养老金最低标准从120元/月·人提高到148元/月·人。</w:t>
      </w:r>
    </w:p>
    <w:p w14:paraId="5B97E14C">
      <w:pPr>
        <w:pStyle w:val="4"/>
        <w:bidi w:val="0"/>
        <w:rPr>
          <w:rFonts w:hint="eastAsia"/>
          <w:lang w:val="zh-CN"/>
        </w:rPr>
      </w:pPr>
      <w:r>
        <w:rPr>
          <w:rFonts w:hint="eastAsia"/>
          <w:lang w:val="zh-CN"/>
        </w:rPr>
        <w:t>【城乡居民医疗保险】</w:t>
      </w:r>
    </w:p>
    <w:p w14:paraId="4A6BCA15">
      <w:pPr>
        <w:bidi w:val="0"/>
        <w:rPr>
          <w:rFonts w:hint="eastAsia"/>
          <w:lang w:val="zh-CN"/>
        </w:rPr>
      </w:pPr>
      <w:r>
        <w:rPr>
          <w:rFonts w:hint="eastAsia"/>
          <w:lang w:val="zh-CN"/>
        </w:rPr>
        <w:t>参加城乡居民医疗保险38.84万人，完成年度计划100.01%，与上年对比下降0.46%。从11月1日起，提高城乡居民大病保险报销比例，起付线以上符合规定的费用，0—3万元的报销比例从55%提高到65%，3万元以上报销比例从65%提高到75%。</w:t>
      </w:r>
    </w:p>
    <w:p w14:paraId="35E38346">
      <w:pPr>
        <w:pStyle w:val="4"/>
        <w:bidi w:val="0"/>
        <w:rPr>
          <w:rFonts w:hint="eastAsia"/>
          <w:lang w:val="zh-CN"/>
        </w:rPr>
      </w:pPr>
      <w:r>
        <w:rPr>
          <w:rFonts w:hint="eastAsia"/>
          <w:lang w:val="zh-CN"/>
        </w:rPr>
        <w:t>【机关事业养老保险】</w:t>
      </w:r>
    </w:p>
    <w:p w14:paraId="7A19C02D">
      <w:pPr>
        <w:bidi w:val="0"/>
        <w:rPr>
          <w:rFonts w:hint="eastAsia"/>
          <w:lang w:val="zh-CN"/>
        </w:rPr>
      </w:pPr>
      <w:r>
        <w:rPr>
          <w:rFonts w:hint="eastAsia"/>
          <w:lang w:val="zh-CN"/>
        </w:rPr>
        <w:t>完成全市机关养老保险参保登记3.77万人，完成全年任务的115.53%。贯彻落实职业年金经办管理制度，9月职业年金正式启动。</w:t>
      </w:r>
    </w:p>
    <w:p w14:paraId="6D1710B3">
      <w:pPr>
        <w:pStyle w:val="4"/>
        <w:bidi w:val="0"/>
        <w:rPr>
          <w:rFonts w:hint="eastAsia"/>
          <w:lang w:val="zh-CN"/>
        </w:rPr>
      </w:pPr>
      <w:r>
        <w:rPr>
          <w:rFonts w:hint="eastAsia"/>
          <w:lang w:val="zh-CN"/>
        </w:rPr>
        <w:t>【社会保险稽核监督】</w:t>
      </w:r>
    </w:p>
    <w:p w14:paraId="5F113024">
      <w:pPr>
        <w:bidi w:val="0"/>
        <w:rPr>
          <w:rFonts w:hint="eastAsia"/>
          <w:lang w:val="zh-CN"/>
        </w:rPr>
      </w:pPr>
      <w:r>
        <w:rPr>
          <w:rFonts w:hint="eastAsia"/>
          <w:lang w:val="zh-CN"/>
        </w:rPr>
        <w:t>通过查阅档案、电话核对、去函协查、系统智能监控、实地调查等方式，共核查享受待遇2.02万人次，其中享受养老保险待遇1751人，医疗保险1.81万人，失业保险88人，工伤保险51人，生育保险245人，追回欺诈冒领（重复领取）各项待遇金额61.29万元；稽核定点医疗机构、零售药店378间次，拒付违规金额17.27万元，确保基金安全。</w:t>
      </w:r>
    </w:p>
    <w:p w14:paraId="5EBE4C7D">
      <w:pPr>
        <w:pStyle w:val="4"/>
        <w:bidi w:val="0"/>
        <w:rPr>
          <w:rFonts w:hint="eastAsia"/>
          <w:lang w:val="zh-CN"/>
        </w:rPr>
      </w:pPr>
      <w:r>
        <w:rPr>
          <w:rFonts w:hint="eastAsia"/>
          <w:lang w:val="zh-CN"/>
        </w:rPr>
        <w:t>【社保信息化管理】</w:t>
      </w:r>
    </w:p>
    <w:p w14:paraId="602E9C60">
      <w:pPr>
        <w:bidi w:val="0"/>
        <w:rPr>
          <w:rFonts w:hint="eastAsia"/>
          <w:lang w:val="zh-CN"/>
        </w:rPr>
      </w:pPr>
      <w:r>
        <w:rPr>
          <w:rFonts w:hint="eastAsia"/>
          <w:lang w:val="zh-CN"/>
        </w:rPr>
        <w:t>12月底，南雄市人民医院、南雄市中医院、南雄市妇幼保健计划生育服务院等三家二级医院全部成功接入跨省异地就医直接结算国家结算平台和省内异地就医直接结算平台；省内异地就医直接结算医疗机构数量增加至875家，极大地方便了办理医保异地登记的参保群众住院费用的直接结算。养老金领取资格认证实行“手机APP自助认证”方式，足不出户就能办理领取资格认证。</w:t>
      </w:r>
    </w:p>
    <w:p w14:paraId="5464D29F">
      <w:pPr>
        <w:pStyle w:val="4"/>
        <w:bidi w:val="0"/>
        <w:rPr>
          <w:rFonts w:hint="eastAsia"/>
          <w:lang w:val="zh-CN"/>
        </w:rPr>
      </w:pPr>
      <w:r>
        <w:rPr>
          <w:rFonts w:hint="eastAsia"/>
          <w:lang w:val="zh-CN"/>
        </w:rPr>
        <w:t>【业务办理】</w:t>
      </w:r>
    </w:p>
    <w:p w14:paraId="23C4C344">
      <w:pPr>
        <w:bidi w:val="0"/>
        <w:rPr>
          <w:rFonts w:hint="eastAsia"/>
          <w:lang w:val="zh-CN"/>
        </w:rPr>
      </w:pPr>
      <w:r>
        <w:rPr>
          <w:rFonts w:hint="eastAsia"/>
          <w:lang w:val="zh-CN"/>
        </w:rPr>
        <w:t>办理社会保险关系转移960人次，灵活就业人员一次性补缴553人次，社保补缴4人次，养老保险缴费历史核定1137人次，二代社保卡补办、激活、重置密码业务6050人次。受理医保报销返回结算5880人次，其中城乡医保5420人次，职工医保461人次，职工大额医保144人次，办理城乡居民医保特殊病种审批1631人次。职工医保特殊病种补贴340人次，各项待遇都能够及时发放。</w:t>
      </w:r>
    </w:p>
    <w:p w14:paraId="432E1E07">
      <w:pPr>
        <w:bidi w:val="0"/>
        <w:jc w:val="right"/>
        <w:rPr>
          <w:rFonts w:hint="eastAsia"/>
          <w:b/>
          <w:bCs/>
          <w:lang w:val="zh-CN"/>
        </w:rPr>
      </w:pPr>
      <w:r>
        <w:rPr>
          <w:rFonts w:hint="eastAsia"/>
          <w:b/>
          <w:bCs/>
          <w:lang w:val="zh-CN"/>
        </w:rPr>
        <w:t>（邬旭昇）</w:t>
      </w:r>
    </w:p>
    <w:p w14:paraId="18350ED4">
      <w:pPr>
        <w:pStyle w:val="11"/>
        <w:bidi w:val="0"/>
        <w:rPr>
          <w:rFonts w:hint="eastAsia"/>
          <w:b/>
          <w:bCs/>
          <w:lang w:val="zh-CN"/>
        </w:rPr>
      </w:pPr>
      <w:r>
        <w:rPr>
          <w:rFonts w:hint="eastAsia"/>
          <w:b/>
          <w:bCs/>
          <w:lang w:val="zh-CN"/>
        </w:rPr>
        <w:t>附：2018年市社保局领导班子成员名单</w:t>
      </w:r>
    </w:p>
    <w:p w14:paraId="7899B9C3">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曾</w:t>
      </w:r>
      <w:r>
        <w:rPr>
          <w:rFonts w:hint="eastAsia"/>
          <w:lang w:val="en-US" w:eastAsia="zh-CN"/>
        </w:rPr>
        <w:t xml:space="preserve">  </w:t>
      </w:r>
      <w:r>
        <w:rPr>
          <w:rFonts w:hint="eastAsia"/>
          <w:lang w:val="zh-CN"/>
        </w:rPr>
        <w:t>智</w:t>
      </w:r>
    </w:p>
    <w:p w14:paraId="16D8C5D8">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孔维伟</w:t>
      </w:r>
      <w:r>
        <w:rPr>
          <w:rFonts w:hint="eastAsia"/>
          <w:lang w:val="en-US" w:eastAsia="zh-CN"/>
        </w:rPr>
        <w:t xml:space="preserve">   </w:t>
      </w:r>
      <w:r>
        <w:rPr>
          <w:rFonts w:hint="eastAsia"/>
          <w:lang w:val="zh-CN"/>
        </w:rPr>
        <w:t>曾宪英</w:t>
      </w:r>
    </w:p>
    <w:p w14:paraId="2447246C">
      <w:pPr>
        <w:pStyle w:val="11"/>
        <w:bidi w:val="0"/>
        <w:rPr>
          <w:rFonts w:hint="eastAsia"/>
          <w:lang w:val="zh-CN"/>
        </w:rPr>
      </w:pPr>
      <w:r>
        <w:rPr>
          <w:rFonts w:hint="eastAsia"/>
          <w:b/>
          <w:bCs/>
          <w:lang w:val="zh-CN"/>
        </w:rPr>
        <w:t>副主任科员：</w:t>
      </w:r>
      <w:r>
        <w:rPr>
          <w:rFonts w:hint="eastAsia"/>
          <w:lang w:val="zh-CN"/>
        </w:rPr>
        <w:t>王向山</w:t>
      </w:r>
      <w:r>
        <w:rPr>
          <w:rFonts w:hint="eastAsia"/>
          <w:lang w:val="en-US" w:eastAsia="zh-CN"/>
        </w:rPr>
        <w:t xml:space="preserve">   </w:t>
      </w:r>
      <w:r>
        <w:rPr>
          <w:rFonts w:hint="eastAsia"/>
          <w:lang w:val="zh-CN"/>
        </w:rPr>
        <w:t>董书长</w:t>
      </w:r>
    </w:p>
    <w:p w14:paraId="72157B90">
      <w:pPr>
        <w:pStyle w:val="3"/>
        <w:bidi w:val="0"/>
        <w:rPr>
          <w:rFonts w:hint="eastAsia"/>
          <w:lang w:val="zh-CN"/>
        </w:rPr>
      </w:pPr>
      <w:r>
        <w:rPr>
          <w:rFonts w:hint="eastAsia"/>
          <w:lang w:val="zh-CN"/>
        </w:rPr>
        <w:t>民政</w:t>
      </w:r>
    </w:p>
    <w:p w14:paraId="793B8EB8">
      <w:pPr>
        <w:pStyle w:val="4"/>
        <w:bidi w:val="0"/>
        <w:rPr>
          <w:rFonts w:hint="eastAsia"/>
          <w:lang w:val="zh-CN"/>
        </w:rPr>
      </w:pPr>
      <w:r>
        <w:rPr>
          <w:rFonts w:hint="eastAsia"/>
          <w:lang w:val="zh-CN"/>
        </w:rPr>
        <w:t>【概况】</w:t>
      </w:r>
    </w:p>
    <w:p w14:paraId="59EE3056">
      <w:pPr>
        <w:bidi w:val="0"/>
        <w:rPr>
          <w:rFonts w:hint="eastAsia"/>
          <w:lang w:val="zh-CN"/>
        </w:rPr>
      </w:pPr>
      <w:r>
        <w:rPr>
          <w:rFonts w:hint="eastAsia"/>
          <w:lang w:val="zh-CN"/>
        </w:rPr>
        <w:t>南雄市民政局内设有办公室、优抚安置股、救灾股、社会事务股、基层政权区划地名股、社会救助股6个股室，下设有殡葬管理所、军队离退休干部管理所、光荣院、烈士陵园管理所、南山陵园公墓有限公司、社会捐助接收站、老龄工作委员会办公室、社会福利中心、社会儿童福利院、社会服务救助窗口、婚姻登记处11个单位。</w:t>
      </w:r>
    </w:p>
    <w:p w14:paraId="53878E9F">
      <w:pPr>
        <w:pStyle w:val="4"/>
        <w:bidi w:val="0"/>
        <w:rPr>
          <w:rFonts w:hint="eastAsia"/>
          <w:lang w:val="zh-CN"/>
        </w:rPr>
      </w:pPr>
      <w:r>
        <w:rPr>
          <w:rFonts w:hint="eastAsia"/>
          <w:lang w:val="zh-CN"/>
        </w:rPr>
        <w:t>【社会救助】</w:t>
      </w:r>
    </w:p>
    <w:p w14:paraId="38BE2533">
      <w:pPr>
        <w:bidi w:val="0"/>
        <w:rPr>
          <w:rFonts w:hint="eastAsia"/>
          <w:lang w:val="zh-CN"/>
        </w:rPr>
      </w:pPr>
      <w:r>
        <w:rPr>
          <w:rFonts w:hint="eastAsia"/>
          <w:lang w:val="zh-CN"/>
        </w:rPr>
        <w:t>2018年全市低保5267户1万人，从2018年1月1日起，城镇最低生活保障标准提高到每人每月638元，农村最低生活保障标准提高到每人每月440元。城镇最低生活保障补差标准提高到每人每月503元，农村最低生活保障补差标准提高到每人每月228元。2018年支出低保资金4050.69万元，其中城市低保资金支出576.78万元，农村低保资金支出3473.91万元，为城市低保人数569户877人，农村低保人数4698户9136人缓解生活困难。提高五保救助标准。2018年，农村特困供养人员（五保）供养标准提高到每人每月810元，城镇特困供养人员从原每人每月928元提高到1021元，支出1269万元改善1285名五保老人的生活。提高医疗救助标准，扩大救助覆盖面。2018年全市医疗救助累计救助171万人次，医疗救助支出1676.25万元，切实缓解城乡贫困群众看病难、治病难或因病致贫的问题；推进困难群体临时救助工作，临时救助支出68.95万元，救助576人次；2018年救助流浪乞讨人员343人次；协助护送流浪返乡人员11人次，街头救助42人次。发放及使用流浪乞讨救助资金4.66万元。</w:t>
      </w:r>
    </w:p>
    <w:p w14:paraId="67AB3DE6">
      <w:pPr>
        <w:pStyle w:val="4"/>
        <w:bidi w:val="0"/>
        <w:rPr>
          <w:rFonts w:hint="eastAsia"/>
          <w:lang w:val="zh-CN"/>
        </w:rPr>
      </w:pPr>
      <w:r>
        <w:rPr>
          <w:rFonts w:hint="eastAsia"/>
          <w:lang w:val="zh-CN"/>
        </w:rPr>
        <w:t>【养老服务】</w:t>
      </w:r>
    </w:p>
    <w:p w14:paraId="3B1A765F">
      <w:pPr>
        <w:bidi w:val="0"/>
        <w:rPr>
          <w:rFonts w:hint="eastAsia"/>
          <w:lang w:val="zh-CN"/>
        </w:rPr>
      </w:pPr>
      <w:r>
        <w:rPr>
          <w:rFonts w:hint="eastAsia"/>
          <w:lang w:val="zh-CN"/>
        </w:rPr>
        <w:t>2018年，市福利中心入住老人数从69人增加到108人，同比增长56.5%；一线护理员工从30人增加到48人，同比增长60%。据统计，南雄市有敬老院18所，五保老人1291人，入院居住301人，拥有床位540个，集中供养率23%。在基础设施建设上，每所敬老院均新建一栋老年公寓，总建筑面积8000多平方米，新增床位250个；在消防安全检查上，南雄市18个敬老院消防改造工程全部完成并投入使用，总造价934.29万元，平均每个乡镇51.9万元，同时联合消防、食药监等部门对全市福利机构开展消防安全专项治理和消防安全大检查工作，全市列出46条内容清单，成立9个整治小组到各镇敬老院排查问题清单66条，进一步推进全市敬老院整治工作；在农村居家养老服务中心建设上，针对2017年下达的4个居家养老项目（江头涌溪、界址镇界址社区、南亩镇南亩村、油山镇上溯村）已完成投入使用；在高龄老人津贴发放上，2018年有11.93万人次享受政府高龄老人津贴，发放高龄老人津贴257.35万元。</w:t>
      </w:r>
    </w:p>
    <w:p w14:paraId="372324E8">
      <w:pPr>
        <w:pStyle w:val="4"/>
        <w:bidi w:val="0"/>
        <w:rPr>
          <w:rFonts w:hint="eastAsia"/>
          <w:lang w:val="zh-CN"/>
        </w:rPr>
      </w:pPr>
      <w:r>
        <w:rPr>
          <w:rFonts w:hint="eastAsia"/>
          <w:lang w:val="zh-CN"/>
        </w:rPr>
        <w:t>【社会福利和慈善事业】</w:t>
      </w:r>
    </w:p>
    <w:p w14:paraId="68D75B0A">
      <w:pPr>
        <w:bidi w:val="0"/>
        <w:rPr>
          <w:rFonts w:hint="eastAsia"/>
          <w:lang w:val="zh-CN"/>
        </w:rPr>
      </w:pPr>
      <w:r>
        <w:rPr>
          <w:rFonts w:hint="eastAsia"/>
          <w:lang w:val="zh-CN"/>
        </w:rPr>
        <w:t>2018年市散居孤儿生活保障由600元提高到950元，集中供养孤儿生活保障由700元提高到1560元。全市享受孤儿生活保障人数103人，按时足额发放孤儿基本生活费支出资金128.53万元。全市享受儿童生活保障48名，办结收养登记15宗。全市9.91万人次残疾人享受到护理补贴和生活补贴，发放金额1889.76万元。</w:t>
      </w:r>
    </w:p>
    <w:p w14:paraId="1DF167DA">
      <w:pPr>
        <w:bidi w:val="0"/>
        <w:rPr>
          <w:rFonts w:hint="eastAsia"/>
          <w:lang w:val="zh-CN"/>
        </w:rPr>
      </w:pPr>
      <w:r>
        <w:rPr>
          <w:rFonts w:hint="eastAsia"/>
          <w:lang w:val="zh-CN"/>
        </w:rPr>
        <w:t>2018年，市慈善总会资金收入835.73万元，其中接收本级2018年扶贫济困日资金170.83万元，上级下拨定向专项资金528.93万元，其他定向捐款135.97万元。全年市慈善总会资金总支出981.09万元，用于捐赠指定帮扶定点扶贫村。</w:t>
      </w:r>
    </w:p>
    <w:p w14:paraId="6AAE3F5A">
      <w:pPr>
        <w:pStyle w:val="4"/>
        <w:bidi w:val="0"/>
        <w:rPr>
          <w:rFonts w:hint="eastAsia"/>
          <w:lang w:val="zh-CN"/>
        </w:rPr>
      </w:pPr>
      <w:r>
        <w:rPr>
          <w:rFonts w:hint="eastAsia"/>
          <w:lang w:val="zh-CN"/>
        </w:rPr>
        <w:t>【基层政权和社区服务】</w:t>
      </w:r>
    </w:p>
    <w:p w14:paraId="7DA41C3C">
      <w:pPr>
        <w:bidi w:val="0"/>
        <w:rPr>
          <w:rFonts w:hint="eastAsia"/>
          <w:lang w:val="zh-CN"/>
        </w:rPr>
      </w:pPr>
      <w:r>
        <w:rPr>
          <w:rFonts w:hint="eastAsia"/>
          <w:lang w:val="zh-CN"/>
        </w:rPr>
        <w:t>2018年年底完成全市232个村（社区）社会信用代码证书发放工作。健全村（居）务监督委员会运行机制，2018年全市有208个村设村务监督委员会，成员624名，村务监督委员成员每人每月625元津贴全部发放。推动村民自治下沉，全市208个村2585个村民小组，2294个自然村，成立村民理事会1742个，理事会成员6486人。落实好村委会公共服务建设，乌迳镇孔江村公共服务站开工建设，油山镇下惠村、黄坑镇小陂村以及全安镇河塘村公共服务站已完成，樟屋村公共服务站主体工程已经完成。</w:t>
      </w:r>
    </w:p>
    <w:p w14:paraId="38038F24">
      <w:pPr>
        <w:pStyle w:val="4"/>
        <w:bidi w:val="0"/>
        <w:rPr>
          <w:rFonts w:hint="eastAsia"/>
          <w:lang w:val="zh-CN"/>
        </w:rPr>
      </w:pPr>
      <w:r>
        <w:rPr>
          <w:rFonts w:hint="eastAsia"/>
          <w:lang w:val="zh-CN"/>
        </w:rPr>
        <w:t>【地名普查】</w:t>
      </w:r>
    </w:p>
    <w:p w14:paraId="3AB02C1F">
      <w:pPr>
        <w:bidi w:val="0"/>
        <w:rPr>
          <w:rFonts w:hint="eastAsia"/>
          <w:lang w:val="zh-CN"/>
        </w:rPr>
      </w:pPr>
      <w:r>
        <w:rPr>
          <w:rFonts w:hint="eastAsia"/>
          <w:lang w:val="zh-CN"/>
        </w:rPr>
        <w:t>2018年完成地名普查工作，收录11大类地名信息8047条。办理住宅区命名3件，道路命名1件。</w:t>
      </w:r>
    </w:p>
    <w:p w14:paraId="471455CA">
      <w:pPr>
        <w:pStyle w:val="4"/>
        <w:bidi w:val="0"/>
        <w:rPr>
          <w:rFonts w:hint="eastAsia"/>
          <w:lang w:val="zh-CN"/>
        </w:rPr>
      </w:pPr>
      <w:r>
        <w:rPr>
          <w:rFonts w:hint="eastAsia"/>
          <w:lang w:val="zh-CN"/>
        </w:rPr>
        <w:t>【殡葬改革】</w:t>
      </w:r>
    </w:p>
    <w:p w14:paraId="33E6BCCF">
      <w:pPr>
        <w:bidi w:val="0"/>
        <w:rPr>
          <w:rFonts w:hint="eastAsia"/>
          <w:lang w:val="zh-CN"/>
        </w:rPr>
      </w:pPr>
      <w:r>
        <w:rPr>
          <w:rFonts w:hint="eastAsia"/>
          <w:lang w:val="zh-CN"/>
        </w:rPr>
        <w:t>组织殡葬服务机构开展“尊重逝者，抚慰生者，人文殡葬”主题宣传活动，引导广大群众积极参与推动“绿色殡葬”建设，2018年火化遗体2180具，惠民减免金额294.3万元。</w:t>
      </w:r>
    </w:p>
    <w:p w14:paraId="18D5D105">
      <w:pPr>
        <w:pStyle w:val="4"/>
        <w:bidi w:val="0"/>
        <w:rPr>
          <w:rFonts w:hint="eastAsia"/>
          <w:lang w:val="zh-CN"/>
        </w:rPr>
      </w:pPr>
      <w:r>
        <w:rPr>
          <w:rFonts w:hint="eastAsia"/>
          <w:lang w:val="zh-CN"/>
        </w:rPr>
        <w:t>【社会组织】</w:t>
      </w:r>
    </w:p>
    <w:p w14:paraId="15E0E3C3">
      <w:pPr>
        <w:bidi w:val="0"/>
        <w:rPr>
          <w:rFonts w:hint="eastAsia"/>
          <w:lang w:val="zh-CN"/>
        </w:rPr>
      </w:pPr>
      <w:r>
        <w:rPr>
          <w:rFonts w:hint="eastAsia"/>
          <w:lang w:val="zh-CN"/>
        </w:rPr>
        <w:t>2018年新登记民间组织14个，其中社会组织13个，民非组织1个。为190家社团民非办理相关业务，其中89家完成年审，33个换证，1个民办非换证。2018年全市社会团体和民间组织209个，其中社团153个、民办非组织53个，行业协会9个。为进一步加强社会组织党建工作领导，民间组织有23个社团成立支部。</w:t>
      </w:r>
    </w:p>
    <w:p w14:paraId="6E854655">
      <w:pPr>
        <w:pStyle w:val="4"/>
        <w:bidi w:val="0"/>
        <w:rPr>
          <w:rFonts w:hint="eastAsia"/>
          <w:lang w:val="zh-CN"/>
        </w:rPr>
      </w:pPr>
      <w:r>
        <w:rPr>
          <w:rFonts w:hint="eastAsia"/>
          <w:lang w:val="zh-CN"/>
        </w:rPr>
        <w:t>【民间组织】</w:t>
      </w:r>
    </w:p>
    <w:p w14:paraId="40CE2150">
      <w:pPr>
        <w:bidi w:val="0"/>
        <w:rPr>
          <w:rFonts w:hint="eastAsia"/>
          <w:lang w:val="zh-CN"/>
        </w:rPr>
      </w:pPr>
      <w:r>
        <w:rPr>
          <w:rFonts w:hint="eastAsia"/>
          <w:lang w:val="zh-CN"/>
        </w:rPr>
        <w:t>民间组织管理监管到位，收养登记管理工作和婚姻登记管理日趋规范。2018年办理民间组织登记14宗，办理收养登记15宗，婚姻登记处办理结婚登记3057对，离婚1087对，补发结婚证867本，补发离婚证115本，婚姻登记合格率为100%。</w:t>
      </w:r>
    </w:p>
    <w:p w14:paraId="070C16EA">
      <w:pPr>
        <w:pStyle w:val="4"/>
        <w:bidi w:val="0"/>
        <w:rPr>
          <w:rFonts w:hint="eastAsia"/>
          <w:lang w:val="zh-CN"/>
        </w:rPr>
      </w:pPr>
      <w:r>
        <w:rPr>
          <w:rFonts w:hint="eastAsia"/>
          <w:lang w:val="zh-CN"/>
        </w:rPr>
        <w:t>【优抚安置】</w:t>
      </w:r>
    </w:p>
    <w:p w14:paraId="75079F05">
      <w:pPr>
        <w:bidi w:val="0"/>
        <w:rPr>
          <w:rFonts w:hint="eastAsia"/>
          <w:lang w:val="zh-CN"/>
        </w:rPr>
      </w:pPr>
      <w:r>
        <w:rPr>
          <w:rFonts w:hint="eastAsia"/>
          <w:lang w:val="zh-CN"/>
        </w:rPr>
        <w:t>全面落实优抚政策，2018年为317户军烈属发放优待金395.33万元，落实重点优抚对象2865人，支出定补抚恤金1841万元，积极做好退伍军人信访维稳工作。2018年，南雄市参战人员1110名，发放生活补助为每人每月640元，所有符合条件参战人员基本上得到确认。成功化解集体上访三次，确保无越级上访事件发生。认真开展享受优抚抚恤待遇人员身份认定，2018年落实认定优抚对象68人，其中参战人员22人，60周岁农村籍老兵44人，伤残退役军人2人。</w:t>
      </w:r>
    </w:p>
    <w:p w14:paraId="0317E99C">
      <w:pPr>
        <w:bidi w:val="0"/>
        <w:jc w:val="right"/>
        <w:rPr>
          <w:rFonts w:hint="eastAsia"/>
          <w:b/>
          <w:bCs/>
          <w:lang w:val="zh-CN"/>
        </w:rPr>
      </w:pPr>
      <w:r>
        <w:rPr>
          <w:rFonts w:hint="eastAsia"/>
          <w:b/>
          <w:bCs/>
          <w:lang w:val="zh-CN"/>
        </w:rPr>
        <w:t>（何</w:t>
      </w:r>
      <w:r>
        <w:rPr>
          <w:rFonts w:hint="eastAsia"/>
          <w:b/>
          <w:bCs/>
          <w:lang w:val="en-US" w:eastAsia="zh-CN"/>
        </w:rPr>
        <w:t xml:space="preserve">  </w:t>
      </w:r>
      <w:r>
        <w:rPr>
          <w:rFonts w:hint="eastAsia"/>
          <w:b/>
          <w:bCs/>
          <w:lang w:val="zh-CN"/>
        </w:rPr>
        <w:t>俊）</w:t>
      </w:r>
    </w:p>
    <w:p w14:paraId="3077B6F9">
      <w:pPr>
        <w:pStyle w:val="11"/>
        <w:bidi w:val="0"/>
        <w:rPr>
          <w:rFonts w:hint="eastAsia"/>
          <w:b/>
          <w:bCs/>
          <w:lang w:val="zh-CN"/>
        </w:rPr>
      </w:pPr>
      <w:r>
        <w:rPr>
          <w:rFonts w:hint="eastAsia"/>
          <w:b/>
          <w:bCs/>
          <w:lang w:val="zh-CN"/>
        </w:rPr>
        <w:t>附：2018年市民政局领导班子成员名单</w:t>
      </w:r>
    </w:p>
    <w:p w14:paraId="2076C0CA">
      <w:pPr>
        <w:pStyle w:val="11"/>
        <w:bidi w:val="0"/>
        <w:rPr>
          <w:rFonts w:hint="eastAsia"/>
          <w:lang w:val="zh-CN"/>
        </w:rPr>
      </w:pP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肖清志</w:t>
      </w:r>
    </w:p>
    <w:p w14:paraId="2AC70617">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局</w:t>
      </w:r>
      <w:r>
        <w:rPr>
          <w:rFonts w:hint="eastAsia"/>
          <w:b/>
          <w:bCs/>
          <w:lang w:val="en-US" w:eastAsia="zh-CN"/>
        </w:rPr>
        <w:t xml:space="preserve"> </w:t>
      </w:r>
      <w:r>
        <w:rPr>
          <w:rFonts w:hint="eastAsia"/>
          <w:b/>
          <w:bCs/>
          <w:lang w:val="zh-CN"/>
        </w:rPr>
        <w:t>长：</w:t>
      </w:r>
      <w:r>
        <w:rPr>
          <w:rFonts w:hint="eastAsia"/>
          <w:lang w:val="zh-CN"/>
        </w:rPr>
        <w:t>刘洪森</w:t>
      </w:r>
      <w:r>
        <w:rPr>
          <w:rFonts w:hint="eastAsia"/>
          <w:lang w:val="en-US" w:eastAsia="zh-CN"/>
        </w:rPr>
        <w:t xml:space="preserve">   </w:t>
      </w:r>
      <w:r>
        <w:rPr>
          <w:rFonts w:hint="eastAsia"/>
          <w:lang w:val="zh-CN"/>
        </w:rPr>
        <w:t>郭</w:t>
      </w:r>
      <w:r>
        <w:rPr>
          <w:rFonts w:hint="eastAsia"/>
          <w:lang w:val="en-US" w:eastAsia="zh-CN"/>
        </w:rPr>
        <w:t xml:space="preserve">  </w:t>
      </w:r>
      <w:r>
        <w:rPr>
          <w:rFonts w:hint="eastAsia"/>
          <w:lang w:val="zh-CN"/>
        </w:rPr>
        <w:t>忠</w:t>
      </w:r>
    </w:p>
    <w:p w14:paraId="2D03B718">
      <w:pPr>
        <w:pStyle w:val="11"/>
        <w:bidi w:val="0"/>
        <w:ind w:leftChars="500"/>
        <w:rPr>
          <w:rFonts w:hint="eastAsia"/>
          <w:lang w:val="zh-CN"/>
        </w:rPr>
      </w:pPr>
      <w:r>
        <w:rPr>
          <w:rFonts w:hint="eastAsia"/>
          <w:lang w:val="zh-CN"/>
        </w:rPr>
        <w:t>刘梨秀</w:t>
      </w:r>
    </w:p>
    <w:p w14:paraId="2B35DF6E">
      <w:pPr>
        <w:pStyle w:val="11"/>
        <w:bidi w:val="0"/>
        <w:rPr>
          <w:rFonts w:hint="eastAsia"/>
          <w:lang w:val="zh-CN"/>
        </w:rPr>
      </w:pPr>
      <w:r>
        <w:rPr>
          <w:rFonts w:hint="eastAsia"/>
          <w:b/>
          <w:bCs/>
          <w:lang w:val="zh-CN"/>
        </w:rPr>
        <w:t>主任科员：</w:t>
      </w:r>
      <w:r>
        <w:rPr>
          <w:rFonts w:hint="eastAsia"/>
          <w:lang w:val="zh-CN"/>
        </w:rPr>
        <w:t>徐学辉</w:t>
      </w:r>
    </w:p>
    <w:p w14:paraId="7F634DAD">
      <w:pPr>
        <w:pStyle w:val="3"/>
        <w:bidi w:val="0"/>
        <w:rPr>
          <w:rFonts w:hint="eastAsia"/>
          <w:lang w:val="zh-CN"/>
        </w:rPr>
      </w:pPr>
      <w:r>
        <w:rPr>
          <w:rFonts w:hint="eastAsia"/>
          <w:lang w:val="zh-CN"/>
        </w:rPr>
        <w:t>关心下一代</w:t>
      </w:r>
    </w:p>
    <w:p w14:paraId="02E134DC">
      <w:pPr>
        <w:pStyle w:val="4"/>
        <w:bidi w:val="0"/>
        <w:rPr>
          <w:rFonts w:hint="eastAsia"/>
          <w:lang w:val="zh-CN"/>
        </w:rPr>
      </w:pPr>
      <w:r>
        <w:rPr>
          <w:rFonts w:hint="eastAsia"/>
          <w:lang w:val="zh-CN"/>
        </w:rPr>
        <w:t>【概况】</w:t>
      </w:r>
    </w:p>
    <w:p w14:paraId="606CC7AF">
      <w:pPr>
        <w:bidi w:val="0"/>
        <w:rPr>
          <w:rFonts w:hint="eastAsia"/>
          <w:lang w:val="zh-CN"/>
        </w:rPr>
      </w:pPr>
      <w:r>
        <w:rPr>
          <w:rFonts w:hint="eastAsia"/>
          <w:lang w:val="zh-CN"/>
        </w:rPr>
        <w:t>南雄市关心下一代工作委员会（简称关工委）是市委领导下的，以热心关心下一代工作的离退休老同志为主体、党政有关部门和群团组织负责人参加的，以关心、教育、培养青少年健康成长为目的的群众性工作组织。全市18个镇（街道）全部成立关工委，232个村（社区）成立关工小组；中小学校成立40个关工组织，机关事业单位成立关工组织84个；“两新”组织成立56个关工小组。同时，成员单位由原来的8个增加到现在的18个，全市关工组织达到391个，3657名关工成员。</w:t>
      </w:r>
    </w:p>
    <w:p w14:paraId="4F3E4D84">
      <w:pPr>
        <w:pStyle w:val="4"/>
        <w:bidi w:val="0"/>
        <w:rPr>
          <w:rFonts w:hint="eastAsia"/>
          <w:lang w:val="zh-CN"/>
        </w:rPr>
      </w:pPr>
      <w:r>
        <w:rPr>
          <w:rFonts w:hint="eastAsia"/>
          <w:lang w:val="zh-CN"/>
        </w:rPr>
        <w:t>【“大关工”机制建立】</w:t>
      </w:r>
    </w:p>
    <w:p w14:paraId="3B0ABE54">
      <w:pPr>
        <w:bidi w:val="0"/>
        <w:rPr>
          <w:rFonts w:hint="eastAsia"/>
          <w:lang w:val="zh-CN"/>
        </w:rPr>
      </w:pPr>
      <w:r>
        <w:rPr>
          <w:rFonts w:hint="eastAsia"/>
          <w:lang w:val="zh-CN"/>
        </w:rPr>
        <w:t>印发《2018年南雄市加强“党建带关建”工作实施方案》《关于加强“党建带关建”工作的通知》《南雄市2018年镇（街道）、科局关工工作考核方案》等文件推动落实。市委将把关工工作纳入党政年度绩效考核。聘请12位讲师团成员和12位顾问团成员，表彰先进集体、先进个人以及优秀创业青年。市委启动奖教助学基金。</w:t>
      </w:r>
    </w:p>
    <w:p w14:paraId="03A8DC5A">
      <w:pPr>
        <w:pStyle w:val="4"/>
        <w:bidi w:val="0"/>
        <w:rPr>
          <w:rFonts w:hint="eastAsia"/>
          <w:lang w:val="zh-CN"/>
        </w:rPr>
      </w:pPr>
      <w:r>
        <w:rPr>
          <w:rFonts w:hint="eastAsia"/>
          <w:lang w:val="zh-CN"/>
        </w:rPr>
        <w:t>【红色基因教育传承】</w:t>
      </w:r>
    </w:p>
    <w:p w14:paraId="1EAD9267">
      <w:pPr>
        <w:bidi w:val="0"/>
        <w:rPr>
          <w:rFonts w:hint="eastAsia"/>
          <w:lang w:val="zh-CN"/>
        </w:rPr>
      </w:pPr>
      <w:r>
        <w:rPr>
          <w:rFonts w:hint="eastAsia"/>
          <w:lang w:val="zh-CN"/>
        </w:rPr>
        <w:t>全市42所中小学校组织红色主题讲座131场，5万多名中小学师生接受“中华魂·传承红色基因”主题教育活动，从城区到工业园区，从机关到学校，从市区到边远农村，处处可见“社会主义核心价值观”教育宣传牌。结合中小学校实际，组织指导学生认真研读“中华魂”（腾飞的祖国）主题教育读本，开展“传承红色基因”主题教育征文、演讲比赛，收到各学校选送稿件365篇，选送41篇到韶关参赛，获得一等奖7篇，二等奖7篇；获得韶关市演讲比赛三等奖2人。全年举办“五老”进校园报告会108场。投入2000多元发放22个U盘，制作15个课件。</w:t>
      </w:r>
    </w:p>
    <w:p w14:paraId="1C298AE6">
      <w:pPr>
        <w:pStyle w:val="4"/>
        <w:bidi w:val="0"/>
        <w:rPr>
          <w:rFonts w:hint="eastAsia"/>
          <w:lang w:val="zh-CN"/>
        </w:rPr>
      </w:pPr>
      <w:r>
        <w:rPr>
          <w:rFonts w:hint="eastAsia"/>
          <w:lang w:val="zh-CN"/>
        </w:rPr>
        <w:t>【农村创业青年培训】</w:t>
      </w:r>
    </w:p>
    <w:p w14:paraId="5EAB1717">
      <w:pPr>
        <w:bidi w:val="0"/>
        <w:rPr>
          <w:rFonts w:hint="eastAsia"/>
          <w:lang w:val="zh-CN"/>
        </w:rPr>
      </w:pPr>
      <w:r>
        <w:rPr>
          <w:rFonts w:hint="eastAsia"/>
          <w:lang w:val="zh-CN"/>
        </w:rPr>
        <w:t>2018年给予20多位创业青年资金扶持。全市建立18个创业青年培训基地，培训农村创业青年600多人，每年选拔创业青年30多人参加省市培训。</w:t>
      </w:r>
    </w:p>
    <w:p w14:paraId="4D8219A1">
      <w:pPr>
        <w:pStyle w:val="4"/>
        <w:bidi w:val="0"/>
        <w:rPr>
          <w:rFonts w:hint="eastAsia"/>
          <w:lang w:val="zh-CN"/>
        </w:rPr>
      </w:pPr>
      <w:r>
        <w:rPr>
          <w:rFonts w:hint="eastAsia"/>
          <w:lang w:val="zh-CN"/>
        </w:rPr>
        <w:t>【扶贫助学】</w:t>
      </w:r>
    </w:p>
    <w:p w14:paraId="74CDBC91">
      <w:pPr>
        <w:bidi w:val="0"/>
        <w:rPr>
          <w:rFonts w:hint="eastAsia"/>
          <w:lang w:val="zh-CN"/>
        </w:rPr>
      </w:pPr>
      <w:r>
        <w:rPr>
          <w:rFonts w:hint="eastAsia"/>
          <w:lang w:val="zh-CN"/>
        </w:rPr>
        <w:t>推动“两新”组织关工委积极参与扶贫助学。如南雄市阳光公益协会扶贫助学资金45万元，乐华陶瓷洁具有限公司关工委捐资5万元扶持贫困生60名。2018年奖教奖学累计超过300万元。18个镇（街道）党（工）委政府成立“教育基金会”，全市筹集扶贫助学资金达到1000多万元，受助学生达到3000多人。</w:t>
      </w:r>
    </w:p>
    <w:p w14:paraId="14469588">
      <w:pPr>
        <w:pStyle w:val="4"/>
        <w:bidi w:val="0"/>
        <w:rPr>
          <w:rFonts w:hint="eastAsia"/>
          <w:lang w:val="zh-CN"/>
        </w:rPr>
      </w:pPr>
      <w:r>
        <w:rPr>
          <w:rFonts w:hint="eastAsia"/>
          <w:lang w:val="zh-CN"/>
        </w:rPr>
        <w:t>【关爱留守儿童】</w:t>
      </w:r>
    </w:p>
    <w:p w14:paraId="2596C670">
      <w:pPr>
        <w:bidi w:val="0"/>
        <w:rPr>
          <w:rFonts w:hint="eastAsia"/>
          <w:lang w:val="zh-CN"/>
        </w:rPr>
      </w:pPr>
      <w:r>
        <w:rPr>
          <w:rFonts w:hint="eastAsia"/>
          <w:lang w:val="zh-CN"/>
        </w:rPr>
        <w:t>全市有“留守儿童之家”232个，机关事务局等6个文艺团体充分发挥“五老”作用，利用暑假和周末为关爱服务青少年服务200多场次。2018年全市留守儿童由6000多人减少到4000人。</w:t>
      </w:r>
    </w:p>
    <w:p w14:paraId="358E0E44">
      <w:pPr>
        <w:bidi w:val="0"/>
        <w:jc w:val="right"/>
        <w:rPr>
          <w:rFonts w:hint="eastAsia"/>
          <w:b/>
          <w:bCs/>
          <w:lang w:val="zh-CN"/>
        </w:rPr>
      </w:pPr>
      <w:r>
        <w:rPr>
          <w:rFonts w:hint="eastAsia"/>
          <w:b/>
          <w:bCs/>
          <w:lang w:val="zh-CN"/>
        </w:rPr>
        <w:t>（钟祥灵）</w:t>
      </w:r>
    </w:p>
    <w:p w14:paraId="120C446A">
      <w:pPr>
        <w:pStyle w:val="11"/>
        <w:bidi w:val="0"/>
        <w:rPr>
          <w:rFonts w:hint="eastAsia"/>
          <w:b/>
          <w:bCs/>
          <w:lang w:val="zh-CN"/>
        </w:rPr>
      </w:pPr>
      <w:r>
        <w:rPr>
          <w:rFonts w:hint="eastAsia"/>
          <w:b/>
          <w:bCs/>
          <w:lang w:val="zh-CN"/>
        </w:rPr>
        <w:t>附：2018年市关工委领导班子成员名单</w:t>
      </w:r>
    </w:p>
    <w:p w14:paraId="50DA1BC1">
      <w:pPr>
        <w:pStyle w:val="11"/>
        <w:bidi w:val="0"/>
        <w:rPr>
          <w:rFonts w:hint="eastAsia"/>
          <w:lang w:val="zh-CN"/>
        </w:rPr>
      </w:pPr>
      <w:r>
        <w:rPr>
          <w:rFonts w:hint="eastAsia"/>
          <w:b/>
          <w:bCs/>
          <w:lang w:val="zh-CN"/>
        </w:rPr>
        <w:t>主任：</w:t>
      </w:r>
      <w:r>
        <w:rPr>
          <w:rFonts w:hint="eastAsia"/>
          <w:lang w:val="zh-CN"/>
        </w:rPr>
        <w:t>叶济熊（市委副书记）（兼）</w:t>
      </w:r>
    </w:p>
    <w:p w14:paraId="4A77A400">
      <w:pPr>
        <w:pStyle w:val="11"/>
        <w:bidi w:val="0"/>
        <w:rPr>
          <w:rFonts w:hint="eastAsia"/>
          <w:lang w:val="zh-CN"/>
        </w:rPr>
      </w:pPr>
      <w:r>
        <w:rPr>
          <w:rFonts w:hint="eastAsia"/>
          <w:b/>
          <w:bCs/>
          <w:lang w:val="zh-CN"/>
        </w:rPr>
        <w:t>第一执行主任：</w:t>
      </w:r>
      <w:r>
        <w:rPr>
          <w:rFonts w:hint="eastAsia"/>
          <w:lang w:val="zh-CN"/>
        </w:rPr>
        <w:t>林军（市委常委、组织部部长）（兼）</w:t>
      </w:r>
    </w:p>
    <w:p w14:paraId="1EFBB8E9">
      <w:pPr>
        <w:pStyle w:val="11"/>
        <w:bidi w:val="0"/>
        <w:rPr>
          <w:rFonts w:hint="eastAsia"/>
          <w:lang w:val="zh-CN"/>
        </w:rPr>
      </w:pPr>
      <w:r>
        <w:rPr>
          <w:rFonts w:hint="eastAsia"/>
          <w:b/>
          <w:bCs/>
          <w:lang w:val="zh-CN"/>
        </w:rPr>
        <w:t>执行主任：</w:t>
      </w:r>
      <w:r>
        <w:rPr>
          <w:rFonts w:hint="eastAsia"/>
          <w:lang w:val="zh-CN"/>
        </w:rPr>
        <w:t>刘宏伟（市人大常委会原副主任）</w:t>
      </w:r>
    </w:p>
    <w:p w14:paraId="5109C0C4">
      <w:pPr>
        <w:pStyle w:val="11"/>
        <w:bidi w:val="0"/>
        <w:rPr>
          <w:rFonts w:hint="eastAsia"/>
          <w:lang w:val="zh-CN"/>
        </w:rPr>
      </w:pPr>
      <w:r>
        <w:rPr>
          <w:rFonts w:hint="eastAsia"/>
          <w:b/>
          <w:bCs/>
          <w:lang w:val="zh-CN"/>
        </w:rPr>
        <w:t>常务副主任：</w:t>
      </w:r>
      <w:r>
        <w:rPr>
          <w:rFonts w:hint="eastAsia"/>
          <w:lang w:val="zh-CN"/>
        </w:rPr>
        <w:t>李振华（市委组织部副部长、市委老干局局长）（兼）</w:t>
      </w:r>
    </w:p>
    <w:p w14:paraId="28BE5457">
      <w:pPr>
        <w:pStyle w:val="11"/>
        <w:bidi w:val="0"/>
        <w:rPr>
          <w:rFonts w:hint="eastAsia"/>
          <w:lang w:val="zh-CN"/>
        </w:rPr>
      </w:pPr>
      <w:r>
        <w:rPr>
          <w:rFonts w:hint="eastAsia"/>
          <w:b/>
          <w:bCs/>
          <w:lang w:val="zh-CN"/>
        </w:rPr>
        <w:t>副主任：</w:t>
      </w:r>
      <w:r>
        <w:rPr>
          <w:rFonts w:hint="eastAsia"/>
          <w:lang w:val="zh-CN"/>
        </w:rPr>
        <w:t>李光洋（市委党校原常务副校长）</w:t>
      </w:r>
    </w:p>
    <w:p w14:paraId="0B2EE49F">
      <w:pPr>
        <w:pStyle w:val="2"/>
        <w:bidi w:val="0"/>
        <w:rPr>
          <w:rFonts w:hint="eastAsia"/>
        </w:rPr>
      </w:pPr>
      <w:r>
        <w:rPr>
          <w:rFonts w:hint="eastAsia"/>
        </w:rPr>
        <w:t>镇（街道）</w:t>
      </w:r>
    </w:p>
    <w:p w14:paraId="25C4FFDF">
      <w:pPr>
        <w:pStyle w:val="3"/>
        <w:bidi w:val="0"/>
        <w:rPr>
          <w:rFonts w:hint="eastAsia"/>
          <w:lang w:val="zh-CN"/>
        </w:rPr>
      </w:pPr>
      <w:r>
        <w:rPr>
          <w:rFonts w:hint="eastAsia"/>
          <w:lang w:val="zh-CN"/>
        </w:rPr>
        <w:t>雄州街道</w:t>
      </w:r>
    </w:p>
    <w:p w14:paraId="6986489C">
      <w:pPr>
        <w:pStyle w:val="4"/>
        <w:bidi w:val="0"/>
        <w:rPr>
          <w:rFonts w:hint="eastAsia"/>
          <w:lang w:val="zh-CN"/>
        </w:rPr>
      </w:pPr>
      <w:r>
        <w:rPr>
          <w:rFonts w:hint="eastAsia"/>
          <w:lang w:val="zh-CN"/>
        </w:rPr>
        <w:t>【概况】</w:t>
      </w:r>
    </w:p>
    <w:p w14:paraId="753DFE15">
      <w:pPr>
        <w:bidi w:val="0"/>
        <w:rPr>
          <w:rFonts w:hint="eastAsia"/>
          <w:lang w:val="zh-CN"/>
        </w:rPr>
      </w:pPr>
      <w:r>
        <w:rPr>
          <w:rFonts w:hint="eastAsia"/>
          <w:lang w:val="zh-CN"/>
        </w:rPr>
        <w:t>雄州街道办事处是南雄市人民政府派出机构，2005年8月设立。下设党政办、人大办、规划建设办、综合治理办、社会事务办、农业办、人口与计划生育办7大办公室。2018年有126名干部职工，其中行政编制48人，事业编制35人，市直机关单位派驻街道14人，政府购买人员6人，合同工23人。办事处下辖13个村委会和7个社区居委会，193个村民小组和84个居民小组。街道总面积96.88平方千米，其中耕地约2370公顷，林地约3430公顷。农业生产主要以种植黄烟、水稻、蔬菜、花生、火龙果、瓜果和养殖鱼、猪等为主。2018年，街道常住人口20.6万人，户籍总户数2.55万户，户籍人口9.5万人，其中机关单位户籍2.6万人。</w:t>
      </w:r>
    </w:p>
    <w:p w14:paraId="41B6DF40">
      <w:pPr>
        <w:pStyle w:val="4"/>
        <w:bidi w:val="0"/>
        <w:rPr>
          <w:rFonts w:hint="eastAsia"/>
          <w:lang w:val="zh-CN"/>
        </w:rPr>
      </w:pPr>
      <w:r>
        <w:rPr>
          <w:rFonts w:hint="eastAsia"/>
          <w:lang w:val="zh-CN"/>
        </w:rPr>
        <w:t>【经济发展】</w:t>
      </w:r>
    </w:p>
    <w:p w14:paraId="42DC59A4">
      <w:pPr>
        <w:bidi w:val="0"/>
        <w:rPr>
          <w:rFonts w:hint="eastAsia"/>
          <w:lang w:val="zh-CN"/>
        </w:rPr>
      </w:pPr>
      <w:r>
        <w:rPr>
          <w:rFonts w:hint="eastAsia"/>
          <w:lang w:val="zh-CN"/>
        </w:rPr>
        <w:t>2018年，雄州街道实现工业总产值3.8亿元，比上年下降21%。</w:t>
      </w:r>
    </w:p>
    <w:p w14:paraId="551AE34C">
      <w:pPr>
        <w:pStyle w:val="4"/>
        <w:bidi w:val="0"/>
        <w:rPr>
          <w:rFonts w:hint="eastAsia"/>
          <w:lang w:val="zh-CN"/>
        </w:rPr>
      </w:pPr>
      <w:r>
        <w:rPr>
          <w:rFonts w:hint="eastAsia"/>
          <w:lang w:val="zh-CN"/>
        </w:rPr>
        <w:t>【精准扶贫】</w:t>
      </w:r>
    </w:p>
    <w:p w14:paraId="0F12C407">
      <w:pPr>
        <w:bidi w:val="0"/>
        <w:rPr>
          <w:rFonts w:hint="eastAsia"/>
          <w:lang w:val="zh-CN"/>
        </w:rPr>
      </w:pPr>
      <w:r>
        <w:rPr>
          <w:rFonts w:hint="eastAsia"/>
          <w:lang w:val="zh-CN"/>
        </w:rPr>
        <w:t>2018年，在全街道相对贫困户326户678人之中，有283户551人实现预脱贫，脱贫率为81.27%。2016-2018年年有97户危房改造户，2016年预脱贫户为76户，其中72户完工，4户封顶，完工率为94.7%。</w:t>
      </w:r>
    </w:p>
    <w:p w14:paraId="646B6FD9">
      <w:pPr>
        <w:pStyle w:val="4"/>
        <w:bidi w:val="0"/>
        <w:rPr>
          <w:rFonts w:hint="eastAsia"/>
          <w:lang w:val="zh-CN"/>
        </w:rPr>
      </w:pPr>
      <w:r>
        <w:rPr>
          <w:rFonts w:hint="eastAsia"/>
          <w:lang w:val="zh-CN"/>
        </w:rPr>
        <w:t>【新农村建设】</w:t>
      </w:r>
    </w:p>
    <w:p w14:paraId="247C0AB0">
      <w:pPr>
        <w:bidi w:val="0"/>
        <w:rPr>
          <w:rFonts w:hint="eastAsia"/>
          <w:lang w:val="zh-CN"/>
        </w:rPr>
      </w:pPr>
      <w:r>
        <w:rPr>
          <w:rFonts w:hint="eastAsia"/>
          <w:lang w:val="zh-CN"/>
        </w:rPr>
        <w:t>2018年累计拆除危旧房、废弃猪牛栏及露天厕所等1000余间，拆除面积2万多平方米，清运各类垃圾1000多吨。其中，省定贫困村上坪村7个20户以上自然村全面完成“三清三拆”，大树园、长岭头、大村3个自然村已进场施工，进场率42.9%，大树园村完工，完工率14.3%。水南村新农村规划建设的280套三层楼房有189套已经封顶。</w:t>
      </w:r>
    </w:p>
    <w:p w14:paraId="6CA69D46">
      <w:pPr>
        <w:pStyle w:val="4"/>
        <w:bidi w:val="0"/>
        <w:rPr>
          <w:rFonts w:hint="eastAsia"/>
          <w:lang w:val="zh-CN"/>
        </w:rPr>
      </w:pPr>
      <w:r>
        <w:rPr>
          <w:rFonts w:hint="eastAsia"/>
          <w:lang w:val="zh-CN"/>
        </w:rPr>
        <w:t>【征地拆迁】</w:t>
      </w:r>
    </w:p>
    <w:p w14:paraId="70E2D775">
      <w:pPr>
        <w:bidi w:val="0"/>
        <w:rPr>
          <w:rFonts w:hint="eastAsia"/>
          <w:lang w:val="zh-CN"/>
        </w:rPr>
      </w:pPr>
      <w:r>
        <w:rPr>
          <w:rFonts w:hint="eastAsia"/>
          <w:lang w:val="zh-CN"/>
        </w:rPr>
        <w:t>全面启动北城区二期48公顷土地征收工作。做好北城大道征地拆迁收尾工作，于6月15日实现北城大道通车。完成华电项目1200米供热管道地块征收工作。完成康绿宝二期约3.33公顷征地工作。完成医联体地块12户房屋拆迁和1000多平方米征地任务。完成新汽车站项目征地，并做好围蔽工作。完成雄州廊桥项目征地拆迁工作，确保项目建设如期开工。</w:t>
      </w:r>
    </w:p>
    <w:p w14:paraId="0E93DB55">
      <w:pPr>
        <w:pStyle w:val="4"/>
        <w:bidi w:val="0"/>
        <w:rPr>
          <w:rFonts w:hint="eastAsia"/>
          <w:lang w:val="zh-CN"/>
        </w:rPr>
      </w:pPr>
      <w:r>
        <w:rPr>
          <w:rFonts w:hint="eastAsia"/>
          <w:lang w:val="zh-CN"/>
        </w:rPr>
        <w:t>【民生保障】</w:t>
      </w:r>
    </w:p>
    <w:p w14:paraId="0DD118AA">
      <w:pPr>
        <w:bidi w:val="0"/>
        <w:rPr>
          <w:rFonts w:hint="eastAsia"/>
          <w:lang w:val="zh-CN"/>
        </w:rPr>
      </w:pPr>
      <w:r>
        <w:rPr>
          <w:rFonts w:hint="eastAsia"/>
          <w:lang w:val="zh-CN"/>
        </w:rPr>
        <w:t>投入30多万元完善雄州敬老院基础设施并狠抓各项整治措施落实，做好579户1205名低保人口和209名五保人口的保障金发放、1430名残疾人“两项补贴”发放、1354名高龄老人老年补贴发放以及364名优抚人员的优抚金发放工作。</w:t>
      </w:r>
    </w:p>
    <w:p w14:paraId="2F4A6B7C">
      <w:pPr>
        <w:pStyle w:val="4"/>
        <w:bidi w:val="0"/>
        <w:rPr>
          <w:rFonts w:hint="eastAsia"/>
          <w:lang w:val="zh-CN"/>
        </w:rPr>
      </w:pPr>
      <w:r>
        <w:rPr>
          <w:rFonts w:hint="eastAsia"/>
          <w:lang w:val="zh-CN"/>
        </w:rPr>
        <w:t>【综治信访维稳】</w:t>
      </w:r>
    </w:p>
    <w:p w14:paraId="70321303">
      <w:pPr>
        <w:bidi w:val="0"/>
        <w:rPr>
          <w:rFonts w:hint="eastAsia"/>
          <w:lang w:val="zh-CN"/>
        </w:rPr>
      </w:pPr>
      <w:r>
        <w:rPr>
          <w:rFonts w:hint="eastAsia"/>
          <w:lang w:val="zh-CN"/>
        </w:rPr>
        <w:t>开展扫黑除恶专项斗争，向市扫黑办上报线索10条，核查线索16条，排查和调处各类矛盾纠纷106件，妥善处理水南村外嫁女申请确认村集体经济组织成员资格问题，做好特别防护期重点信访人员稳控，未发生到省进京越级上访事件。</w:t>
      </w:r>
    </w:p>
    <w:p w14:paraId="570D2F85">
      <w:pPr>
        <w:pStyle w:val="4"/>
        <w:bidi w:val="0"/>
        <w:rPr>
          <w:rFonts w:hint="eastAsia"/>
          <w:lang w:val="zh-CN"/>
        </w:rPr>
      </w:pPr>
      <w:r>
        <w:rPr>
          <w:rFonts w:hint="eastAsia"/>
          <w:lang w:val="zh-CN"/>
        </w:rPr>
        <w:t>【“两违”管控】</w:t>
      </w:r>
    </w:p>
    <w:p w14:paraId="6023A2E0">
      <w:pPr>
        <w:bidi w:val="0"/>
        <w:rPr>
          <w:rFonts w:hint="eastAsia"/>
          <w:lang w:val="zh-CN"/>
        </w:rPr>
      </w:pPr>
      <w:r>
        <w:rPr>
          <w:rFonts w:hint="eastAsia"/>
          <w:lang w:val="zh-CN"/>
        </w:rPr>
        <w:t>制止188宗非法占地建房行为，完成73个2017及2018年度卫片执法图斑的现场核查、立案查处、复耕复绿和拆除工作，拆除20余处违章建筑，拆除面积超过1万平方米。</w:t>
      </w:r>
    </w:p>
    <w:p w14:paraId="5EFF9733">
      <w:pPr>
        <w:pStyle w:val="4"/>
        <w:bidi w:val="0"/>
        <w:rPr>
          <w:rFonts w:hint="eastAsia"/>
          <w:lang w:val="zh-CN"/>
        </w:rPr>
      </w:pPr>
      <w:r>
        <w:rPr>
          <w:rFonts w:hint="eastAsia"/>
          <w:lang w:val="zh-CN"/>
        </w:rPr>
        <w:t>【路域环境整治】</w:t>
      </w:r>
    </w:p>
    <w:p w14:paraId="52ADAABB">
      <w:pPr>
        <w:bidi w:val="0"/>
        <w:rPr>
          <w:rFonts w:hint="eastAsia"/>
          <w:lang w:val="zh-CN"/>
        </w:rPr>
      </w:pPr>
      <w:r>
        <w:rPr>
          <w:rFonts w:hint="eastAsia"/>
          <w:lang w:val="zh-CN"/>
        </w:rPr>
        <w:t>出资近30万元对国道新323线雄州路段6千米、省道342线雄州段1.5千米路段和县道338线黎口村至江头镇7千米路段进行路域整治提升。</w:t>
      </w:r>
    </w:p>
    <w:p w14:paraId="55E9CFC2">
      <w:pPr>
        <w:pStyle w:val="4"/>
        <w:bidi w:val="0"/>
        <w:rPr>
          <w:rFonts w:hint="eastAsia"/>
          <w:lang w:val="zh-CN"/>
        </w:rPr>
      </w:pPr>
      <w:r>
        <w:rPr>
          <w:rFonts w:hint="eastAsia"/>
          <w:lang w:val="zh-CN"/>
        </w:rPr>
        <w:t>【安全生产及消防安全】</w:t>
      </w:r>
    </w:p>
    <w:p w14:paraId="448A9B39">
      <w:pPr>
        <w:bidi w:val="0"/>
        <w:rPr>
          <w:rFonts w:hint="eastAsia"/>
          <w:lang w:val="zh-CN"/>
        </w:rPr>
      </w:pPr>
      <w:r>
        <w:rPr>
          <w:rFonts w:hint="eastAsia"/>
          <w:lang w:val="zh-CN"/>
        </w:rPr>
        <w:t>与各村、社区和生产经营单位签订安全生产责任书，排查安全隐患41处并全部整改完成，投入4.2万多元清运街道管辖废品回收站的存量垃圾，消除安全隐患。</w:t>
      </w:r>
    </w:p>
    <w:p w14:paraId="23921CEB">
      <w:pPr>
        <w:pStyle w:val="4"/>
        <w:bidi w:val="0"/>
        <w:rPr>
          <w:rFonts w:hint="eastAsia"/>
          <w:lang w:val="zh-CN"/>
        </w:rPr>
      </w:pPr>
      <w:r>
        <w:rPr>
          <w:rFonts w:hint="eastAsia"/>
          <w:lang w:val="zh-CN"/>
        </w:rPr>
        <w:t>【三防水利】</w:t>
      </w:r>
    </w:p>
    <w:p w14:paraId="4A754530">
      <w:pPr>
        <w:bidi w:val="0"/>
        <w:rPr>
          <w:rFonts w:hint="eastAsia"/>
          <w:lang w:val="zh-CN"/>
        </w:rPr>
      </w:pPr>
      <w:r>
        <w:rPr>
          <w:rFonts w:hint="eastAsia"/>
          <w:lang w:val="zh-CN"/>
        </w:rPr>
        <w:t>5—8月，出资4万元购买抽水设施设备用于农业生产抗旱自救，最大程度减轻旱灾损失；严格落实汛期值班值守制度，做好台风防御各项工作。</w:t>
      </w:r>
    </w:p>
    <w:p w14:paraId="1D7156C8">
      <w:pPr>
        <w:pStyle w:val="4"/>
        <w:bidi w:val="0"/>
        <w:rPr>
          <w:rFonts w:hint="eastAsia"/>
          <w:lang w:val="zh-CN"/>
        </w:rPr>
      </w:pPr>
      <w:r>
        <w:rPr>
          <w:rFonts w:hint="eastAsia"/>
          <w:lang w:val="zh-CN"/>
        </w:rPr>
        <w:t>【林业工作】</w:t>
      </w:r>
    </w:p>
    <w:p w14:paraId="786BF907">
      <w:pPr>
        <w:bidi w:val="0"/>
        <w:rPr>
          <w:rFonts w:hint="eastAsia"/>
          <w:lang w:val="zh-CN"/>
        </w:rPr>
      </w:pPr>
      <w:r>
        <w:rPr>
          <w:rFonts w:hint="eastAsia"/>
          <w:lang w:val="zh-CN"/>
        </w:rPr>
        <w:t>种果造林约17.33公顷，义务植树11万多株，抓好森林防火工作，全年未发生森林火灾。</w:t>
      </w:r>
    </w:p>
    <w:p w14:paraId="3B0BF5F3">
      <w:pPr>
        <w:pStyle w:val="4"/>
        <w:bidi w:val="0"/>
        <w:rPr>
          <w:rFonts w:hint="eastAsia"/>
          <w:lang w:val="zh-CN"/>
        </w:rPr>
      </w:pPr>
      <w:r>
        <w:rPr>
          <w:rFonts w:hint="eastAsia"/>
          <w:lang w:val="zh-CN"/>
        </w:rPr>
        <w:t>【计划生育】</w:t>
      </w:r>
    </w:p>
    <w:p w14:paraId="220DA89A">
      <w:pPr>
        <w:bidi w:val="0"/>
        <w:rPr>
          <w:rFonts w:hint="eastAsia"/>
          <w:lang w:val="zh-CN"/>
        </w:rPr>
      </w:pPr>
      <w:r>
        <w:rPr>
          <w:rFonts w:hint="eastAsia"/>
          <w:lang w:val="zh-CN"/>
        </w:rPr>
        <w:t>征收社会抚养费23万多元，按规定及时向4428名计划生育奖励对象发放奖励金。</w:t>
      </w:r>
    </w:p>
    <w:p w14:paraId="54DE0C7D">
      <w:pPr>
        <w:pStyle w:val="4"/>
        <w:bidi w:val="0"/>
        <w:rPr>
          <w:rFonts w:hint="eastAsia"/>
          <w:lang w:val="zh-CN"/>
        </w:rPr>
      </w:pPr>
      <w:r>
        <w:rPr>
          <w:rFonts w:hint="eastAsia"/>
          <w:lang w:val="zh-CN"/>
        </w:rPr>
        <w:t>【特色农业】</w:t>
      </w:r>
    </w:p>
    <w:p w14:paraId="2155CC33">
      <w:pPr>
        <w:bidi w:val="0"/>
        <w:rPr>
          <w:rFonts w:hint="eastAsia"/>
          <w:lang w:val="zh-CN"/>
        </w:rPr>
      </w:pPr>
      <w:r>
        <w:rPr>
          <w:rFonts w:hint="eastAsia"/>
          <w:lang w:val="zh-CN"/>
        </w:rPr>
        <w:t>重点扶持观新村稻田养殖禾花鱼项目。以禾花鱼为载体，打造绿色生态禾花鱼、泥鳅、有机稻种植等稻田种养综合体。成立观新种养专业合作社，流转连片农田33.33公顷，投放鱼苗24万尾，并成功举办南雄市首届“禾花鱼节”活动。2018年底，养殖禾花鱼水稻面积达到20多公顷，亩产800多斤，禾花鱼亩产30多斤，养殖泥鳅水面面积2公顷，亩产2000—3000斤，水稻、禾花鱼及泥鳅总产值达到180万元。引进阳光玫瑰葡萄现代农业产业园项目，2018年底，流转土地近66.67公顷，预计总投资将达到2.8亿元。发展勋口村千亩油菜花和荆岗村18.67公顷火龙果种植。做好黄烟生产工作，11月底，完成648.34吨烟叶合同约定量，占任务数的80.95%。</w:t>
      </w:r>
    </w:p>
    <w:p w14:paraId="6A3E5962">
      <w:pPr>
        <w:pStyle w:val="4"/>
        <w:bidi w:val="0"/>
        <w:rPr>
          <w:rFonts w:hint="eastAsia"/>
          <w:lang w:val="zh-CN"/>
        </w:rPr>
      </w:pPr>
      <w:r>
        <w:rPr>
          <w:rFonts w:hint="eastAsia"/>
          <w:lang w:val="zh-CN"/>
        </w:rPr>
        <w:t>【农村生活垃圾整治】</w:t>
      </w:r>
    </w:p>
    <w:p w14:paraId="2F7F259B">
      <w:pPr>
        <w:bidi w:val="0"/>
        <w:rPr>
          <w:rFonts w:hint="eastAsia"/>
          <w:lang w:val="zh-CN"/>
        </w:rPr>
      </w:pPr>
      <w:r>
        <w:rPr>
          <w:rFonts w:hint="eastAsia"/>
          <w:lang w:val="zh-CN"/>
        </w:rPr>
        <w:t>整合72余万元基本农田保护补偿金用于完善农村垃圾清运系统，聘请72名村级保洁员，清理历史存量垃圾1000多吨，清除卫生死角4000多个。12月底，将除水南村以外的12个行政村卫生保洁工作全部交由北控公司进行市场化管理，统筹资金80多万元用于支付市场化保洁工作，保留专职保洁员39个。</w:t>
      </w:r>
    </w:p>
    <w:p w14:paraId="2EFF500A">
      <w:pPr>
        <w:pStyle w:val="4"/>
        <w:bidi w:val="0"/>
        <w:rPr>
          <w:rFonts w:hint="eastAsia"/>
          <w:lang w:val="zh-CN"/>
        </w:rPr>
      </w:pPr>
      <w:r>
        <w:rPr>
          <w:rFonts w:hint="eastAsia"/>
          <w:lang w:val="zh-CN"/>
        </w:rPr>
        <w:t>【各村委会（社区）基本情况】</w:t>
      </w:r>
    </w:p>
    <w:p w14:paraId="4A0BA0DF">
      <w:pPr>
        <w:bidi w:val="0"/>
        <w:rPr>
          <w:rFonts w:hint="eastAsia"/>
          <w:lang w:val="zh-CN"/>
        </w:rPr>
      </w:pPr>
      <w:r>
        <w:rPr>
          <w:rFonts w:hint="eastAsia"/>
          <w:b/>
          <w:bCs/>
          <w:lang w:val="zh-CN"/>
        </w:rPr>
        <w:t>黎口村</w:t>
      </w:r>
      <w:r>
        <w:rPr>
          <w:rFonts w:hint="eastAsia"/>
          <w:b/>
          <w:bCs/>
          <w:lang w:val="en-US" w:eastAsia="zh-CN"/>
        </w:rPr>
        <w:t xml:space="preserve">   </w:t>
      </w:r>
      <w:r>
        <w:rPr>
          <w:rFonts w:hint="eastAsia"/>
          <w:lang w:val="zh-CN"/>
        </w:rPr>
        <w:t>距离雄州街道办事处2千米，属城乡接合部，全村总面积8.67平方千米，下辖6个自然村，户籍人口4000余人。全村以丘陵地形地貌为主，土地总面积160.73公顷，其中耕地120.87公顷，林地39.87公顷，水域面积24公顷，村民的主要经济来源为种植水稻、花生和外出务工。2018年村集体经济收入12.2万元。</w:t>
      </w:r>
    </w:p>
    <w:p w14:paraId="1648AEFA">
      <w:pPr>
        <w:bidi w:val="0"/>
        <w:rPr>
          <w:rFonts w:hint="eastAsia"/>
          <w:lang w:val="zh-CN"/>
        </w:rPr>
      </w:pPr>
      <w:r>
        <w:rPr>
          <w:rFonts w:hint="eastAsia"/>
          <w:b/>
          <w:bCs/>
          <w:lang w:val="zh-CN"/>
        </w:rPr>
        <w:t>观新村</w:t>
      </w:r>
      <w:r>
        <w:rPr>
          <w:rFonts w:hint="eastAsia"/>
          <w:b/>
          <w:bCs/>
          <w:lang w:val="en-US" w:eastAsia="zh-CN"/>
        </w:rPr>
        <w:t xml:space="preserve">   </w:t>
      </w:r>
      <w:r>
        <w:rPr>
          <w:rFonts w:hint="eastAsia"/>
          <w:lang w:val="zh-CN"/>
        </w:rPr>
        <w:t>地处城区东郊3千米处，是城乡接合部，总面积约5平方千米，户籍人口1100人。耕地面积约113.33公顷，林地面积约23.33公顷。2018年村集体经济收入25.1万元。主导产业为水稻、花生种植。</w:t>
      </w:r>
    </w:p>
    <w:p w14:paraId="613CD1EC">
      <w:pPr>
        <w:bidi w:val="0"/>
        <w:rPr>
          <w:rFonts w:hint="eastAsia"/>
          <w:lang w:val="zh-CN"/>
        </w:rPr>
      </w:pPr>
      <w:r>
        <w:rPr>
          <w:rFonts w:hint="eastAsia"/>
          <w:b/>
          <w:bCs/>
          <w:lang w:val="zh-CN"/>
        </w:rPr>
        <w:t>荆岗村</w:t>
      </w:r>
      <w:r>
        <w:rPr>
          <w:rFonts w:hint="eastAsia"/>
          <w:b/>
          <w:bCs/>
          <w:lang w:val="en-US" w:eastAsia="zh-CN"/>
        </w:rPr>
        <w:t xml:space="preserve">   </w:t>
      </w:r>
      <w:r>
        <w:rPr>
          <w:rFonts w:hint="eastAsia"/>
          <w:lang w:val="zh-CN"/>
        </w:rPr>
        <w:t>位于城东往雄江公路约3千米，分三大自然村：里坑、瑶坑、荆岗，由19个村小组组成，户籍人口2900余人。土地面积约为746.67公顷，其中耕地面积约280公顷，林地面积约446.67公顷。2018年村集体经济收入36.3万元。主导产业有黄烟、水稻、花生，拥有红砂岭土地等自然资源。省委机关旧址位于该村委会瑶坑村，红色文化氛围浓厚。</w:t>
      </w:r>
    </w:p>
    <w:p w14:paraId="1399B9D7">
      <w:pPr>
        <w:bidi w:val="0"/>
        <w:rPr>
          <w:rFonts w:hint="eastAsia"/>
          <w:lang w:val="zh-CN"/>
        </w:rPr>
      </w:pPr>
      <w:r>
        <w:rPr>
          <w:rFonts w:hint="eastAsia"/>
          <w:b/>
          <w:bCs/>
          <w:lang w:val="zh-CN"/>
        </w:rPr>
        <w:t>勋口村</w:t>
      </w:r>
      <w:r>
        <w:rPr>
          <w:rFonts w:hint="eastAsia"/>
          <w:b/>
          <w:bCs/>
          <w:lang w:val="en-US" w:eastAsia="zh-CN"/>
        </w:rPr>
        <w:t xml:space="preserve">   </w:t>
      </w:r>
      <w:r>
        <w:rPr>
          <w:rFonts w:hint="eastAsia"/>
          <w:lang w:val="zh-CN"/>
        </w:rPr>
        <w:t>全村下辖21个村小组，户籍人口3800余人。耕地面积（含已确权的土、田）378.9公顷，林地面积66.67公顷。勋口村以种植黄烟、水稻、花生为主，特色农业产业为油菜花基地。2018年村集体经济收入23.6万元。</w:t>
      </w:r>
    </w:p>
    <w:p w14:paraId="4E3E1703">
      <w:pPr>
        <w:bidi w:val="0"/>
        <w:rPr>
          <w:rFonts w:hint="eastAsia"/>
          <w:lang w:val="zh-CN"/>
        </w:rPr>
      </w:pPr>
      <w:r>
        <w:rPr>
          <w:rFonts w:hint="eastAsia"/>
          <w:b/>
          <w:bCs/>
          <w:lang w:val="zh-CN"/>
        </w:rPr>
        <w:t>上坪村</w:t>
      </w:r>
      <w:r>
        <w:rPr>
          <w:rFonts w:hint="eastAsia"/>
          <w:b/>
          <w:bCs/>
          <w:lang w:val="en-US" w:eastAsia="zh-CN"/>
        </w:rPr>
        <w:t xml:space="preserve">   </w:t>
      </w:r>
      <w:r>
        <w:rPr>
          <w:rFonts w:hint="eastAsia"/>
          <w:lang w:val="zh-CN"/>
        </w:rPr>
        <w:t>距离雄州街道办9.1千米。全村总面积8.67平方千米，下辖15个村小组，户籍人口1600余人。全村土地总面积467.33公顷，其中耕地81公顷，林地373.33公顷，水域13公顷。2018年村集体经济收入20万元，主要收入来源有电站分红、黄烟种植补贴、山塘租金等。村民主要收入来源有黄烟、水稻种植以及外出务工等.村主导产业是黄烟、水稻种植，产业规模为80多公顷；2011年成立15个农村集体经济合作社，社员850人。村委会到市区、15个村小组到村委会道路均实现硬底化。全村有“三面光”水渠15千米，山塘水库7座，排灌站2座。</w:t>
      </w:r>
    </w:p>
    <w:p w14:paraId="2336D2B9">
      <w:pPr>
        <w:bidi w:val="0"/>
        <w:rPr>
          <w:rFonts w:hint="eastAsia"/>
          <w:lang w:val="zh-CN"/>
        </w:rPr>
      </w:pPr>
      <w:r>
        <w:rPr>
          <w:rFonts w:hint="eastAsia"/>
          <w:b/>
          <w:bCs/>
          <w:lang w:val="zh-CN"/>
        </w:rPr>
        <w:t>下坪村</w:t>
      </w:r>
      <w:r>
        <w:rPr>
          <w:rFonts w:hint="eastAsia"/>
          <w:b/>
          <w:bCs/>
          <w:lang w:val="en-US" w:eastAsia="zh-CN"/>
        </w:rPr>
        <w:t xml:space="preserve">   </w:t>
      </w:r>
      <w:r>
        <w:rPr>
          <w:rFonts w:hint="eastAsia"/>
          <w:lang w:val="zh-CN"/>
        </w:rPr>
        <w:t>全村23个村小组，户籍人口3300余人，耕地面积272.2公顷，林地180公顷。2018年村集体经济收入26.7万元，主要来源是黄烟种植。主导产业是黄烟、花生、水稻，特色产业有温泉。村内有丰富的林地资源和水资源。</w:t>
      </w:r>
    </w:p>
    <w:p w14:paraId="1DC51F61">
      <w:pPr>
        <w:bidi w:val="0"/>
        <w:rPr>
          <w:rFonts w:hint="eastAsia"/>
          <w:lang w:val="zh-CN"/>
        </w:rPr>
      </w:pPr>
      <w:r>
        <w:rPr>
          <w:rFonts w:hint="eastAsia"/>
          <w:b/>
          <w:bCs/>
          <w:lang w:val="zh-CN"/>
        </w:rPr>
        <w:t>五洲村</w:t>
      </w:r>
      <w:r>
        <w:rPr>
          <w:rFonts w:hint="eastAsia"/>
          <w:b/>
          <w:bCs/>
          <w:lang w:val="en-US" w:eastAsia="zh-CN"/>
        </w:rPr>
        <w:t xml:space="preserve">   </w:t>
      </w:r>
      <w:r>
        <w:rPr>
          <w:rFonts w:hint="eastAsia"/>
          <w:lang w:val="zh-CN"/>
        </w:rPr>
        <w:t>距离雄州街道办5千米，有7个自然村22个村民小组，户籍人口4000余人，土地总面积255.58公顷，耕地面积374.07公顷，林地174.1公顷。2018年村集体经济收入29.1万元，村民经济收入以产业和外出打工为主，主导产业以黄烟、水稻、花生为主，特色农产品有三华李。</w:t>
      </w:r>
    </w:p>
    <w:p w14:paraId="2F1D1E07">
      <w:pPr>
        <w:bidi w:val="0"/>
        <w:rPr>
          <w:rFonts w:hint="eastAsia"/>
          <w:lang w:val="zh-CN"/>
        </w:rPr>
      </w:pPr>
      <w:r>
        <w:rPr>
          <w:rFonts w:hint="eastAsia"/>
          <w:b/>
          <w:bCs/>
          <w:lang w:val="zh-CN"/>
        </w:rPr>
        <w:t>迳口村</w:t>
      </w:r>
      <w:r>
        <w:rPr>
          <w:rFonts w:hint="eastAsia"/>
          <w:b/>
          <w:bCs/>
          <w:lang w:val="en-US" w:eastAsia="zh-CN"/>
        </w:rPr>
        <w:t xml:space="preserve">   </w:t>
      </w:r>
      <w:r>
        <w:rPr>
          <w:rFonts w:hint="eastAsia"/>
          <w:lang w:val="zh-CN"/>
        </w:rPr>
        <w:t>全村5个自然村15个村小组，户籍人口2600余人。全村耕地有260公顷，林地79.6公顷。2018年村集体经济收入27.4万元，收入来源主要靠电站资源费、小学租金、黄烟分成。本村有黄烟、蔬菜、粮食等特色产业。</w:t>
      </w:r>
    </w:p>
    <w:p w14:paraId="1FC60AF5">
      <w:pPr>
        <w:bidi w:val="0"/>
        <w:rPr>
          <w:rFonts w:hint="eastAsia"/>
          <w:lang w:val="zh-CN"/>
        </w:rPr>
      </w:pPr>
      <w:r>
        <w:rPr>
          <w:rFonts w:hint="eastAsia"/>
          <w:b/>
          <w:bCs/>
          <w:lang w:val="zh-CN"/>
        </w:rPr>
        <w:t>铺背村</w:t>
      </w:r>
      <w:r>
        <w:rPr>
          <w:rFonts w:hint="eastAsia"/>
          <w:b/>
          <w:bCs/>
          <w:lang w:val="en-US" w:eastAsia="zh-CN"/>
        </w:rPr>
        <w:t xml:space="preserve">   </w:t>
      </w:r>
      <w:r>
        <w:rPr>
          <w:rFonts w:hint="eastAsia"/>
          <w:lang w:val="zh-CN"/>
        </w:rPr>
        <w:t>有8个村小组，户籍人口2500余人。拥有耕地面积120.93公顷，土地面积184.77公顷，村集体经济作物主要以优质水稻、地膜花生、黄烟、鱼塘养殖、蔬菜、等作物为主，是该村农业生产的主要作物和支柱产业。2018年村集体经济收入25.7万元。</w:t>
      </w:r>
    </w:p>
    <w:p w14:paraId="3A77F9A5">
      <w:pPr>
        <w:bidi w:val="0"/>
        <w:rPr>
          <w:rFonts w:hint="eastAsia"/>
          <w:lang w:val="zh-CN"/>
        </w:rPr>
      </w:pPr>
      <w:r>
        <w:rPr>
          <w:rFonts w:hint="eastAsia"/>
          <w:b/>
          <w:bCs/>
          <w:lang w:val="zh-CN"/>
        </w:rPr>
        <w:t>莲塘村</w:t>
      </w:r>
      <w:r>
        <w:rPr>
          <w:rFonts w:hint="eastAsia"/>
          <w:b/>
          <w:bCs/>
          <w:lang w:val="en-US" w:eastAsia="zh-CN"/>
        </w:rPr>
        <w:t xml:space="preserve">   </w:t>
      </w:r>
      <w:r>
        <w:rPr>
          <w:rFonts w:hint="eastAsia"/>
          <w:lang w:val="zh-CN"/>
        </w:rPr>
        <w:t>有16个村小组，户籍人口3900余人。拥有耕地面积122.67公顷，土地面积161.93公顷。2018年村集体经济收入36.8万元，村集体经济作物主要有水稻、花生、鱼塘养殖、蔬菜等。</w:t>
      </w:r>
    </w:p>
    <w:p w14:paraId="235ADB90">
      <w:pPr>
        <w:bidi w:val="0"/>
        <w:rPr>
          <w:rFonts w:hint="eastAsia"/>
          <w:lang w:val="zh-CN"/>
        </w:rPr>
      </w:pPr>
      <w:r>
        <w:rPr>
          <w:rFonts w:hint="eastAsia"/>
          <w:b/>
          <w:bCs/>
          <w:lang w:val="zh-CN"/>
        </w:rPr>
        <w:t>郊区村</w:t>
      </w:r>
      <w:r>
        <w:rPr>
          <w:rFonts w:hint="eastAsia"/>
          <w:b/>
          <w:bCs/>
          <w:lang w:val="en-US" w:eastAsia="zh-CN"/>
        </w:rPr>
        <w:t xml:space="preserve">   </w:t>
      </w:r>
      <w:r>
        <w:rPr>
          <w:rFonts w:hint="eastAsia"/>
          <w:lang w:val="zh-CN"/>
        </w:rPr>
        <w:t>全村分7个自然村，有洋汾水、塘尾等14个村小组。有耕地约58公顷，无林地和山林，户籍人口5900余人。2018年村集体经济收入26.5万元。村民经济收入主要以建筑、蔬菜种植和外出务工为主。</w:t>
      </w:r>
    </w:p>
    <w:p w14:paraId="661DB5EF">
      <w:pPr>
        <w:bidi w:val="0"/>
        <w:rPr>
          <w:rFonts w:hint="eastAsia"/>
          <w:lang w:val="zh-CN"/>
        </w:rPr>
      </w:pPr>
      <w:r>
        <w:rPr>
          <w:rFonts w:hint="eastAsia"/>
          <w:b/>
          <w:bCs/>
          <w:lang w:val="zh-CN"/>
        </w:rPr>
        <w:t>河南村</w:t>
      </w:r>
      <w:r>
        <w:rPr>
          <w:rFonts w:hint="eastAsia"/>
          <w:b/>
          <w:bCs/>
          <w:lang w:val="en-US" w:eastAsia="zh-CN"/>
        </w:rPr>
        <w:t xml:space="preserve">   </w:t>
      </w:r>
      <w:r>
        <w:rPr>
          <w:rFonts w:hint="eastAsia"/>
          <w:lang w:val="zh-CN"/>
        </w:rPr>
        <w:t>全村有5个自然村，11个村民小组。户籍人口2800余人。全村以第一产业和第三产业为主。2018年村集体经济收入49.2万元。</w:t>
      </w:r>
    </w:p>
    <w:p w14:paraId="40BCFEC9">
      <w:pPr>
        <w:bidi w:val="0"/>
        <w:rPr>
          <w:rFonts w:hint="eastAsia"/>
          <w:lang w:val="zh-CN"/>
        </w:rPr>
      </w:pPr>
      <w:r>
        <w:rPr>
          <w:rFonts w:hint="eastAsia"/>
          <w:b/>
          <w:bCs/>
          <w:lang w:val="zh-CN"/>
        </w:rPr>
        <w:t>水南村</w:t>
      </w:r>
      <w:r>
        <w:rPr>
          <w:rFonts w:hint="eastAsia"/>
          <w:b/>
          <w:bCs/>
          <w:lang w:val="en-US" w:eastAsia="zh-CN"/>
        </w:rPr>
        <w:t xml:space="preserve">   </w:t>
      </w:r>
      <w:r>
        <w:rPr>
          <w:rFonts w:hint="eastAsia"/>
          <w:lang w:val="zh-CN"/>
        </w:rPr>
        <w:t>全村村民小组6个，户籍人口4000余人。有林地120公顷，耕地100公顷。2018年村集体经济收入106.8万元，收入来源主要为村集体企业租赁收入。产业包括企业租赁和房屋出租等。</w:t>
      </w:r>
    </w:p>
    <w:p w14:paraId="781B413E">
      <w:pPr>
        <w:bidi w:val="0"/>
        <w:rPr>
          <w:rFonts w:hint="eastAsia"/>
          <w:lang w:val="zh-CN"/>
        </w:rPr>
      </w:pPr>
      <w:r>
        <w:rPr>
          <w:rFonts w:hint="eastAsia"/>
          <w:b/>
          <w:bCs/>
          <w:lang w:val="zh-CN"/>
        </w:rPr>
        <w:t>八一社区</w:t>
      </w:r>
      <w:r>
        <w:rPr>
          <w:rFonts w:hint="eastAsia"/>
          <w:b/>
          <w:bCs/>
          <w:lang w:val="en-US" w:eastAsia="zh-CN"/>
        </w:rPr>
        <w:t xml:space="preserve">   </w:t>
      </w:r>
      <w:r>
        <w:rPr>
          <w:rFonts w:hint="eastAsia"/>
          <w:lang w:val="zh-CN"/>
        </w:rPr>
        <w:t>管辖范围东至水南加油站，西至环城东路，南至老虎塘路，北至雄东路黄泥塘烟厂宿舍，总面积约为4.2平方千米，有24个居民小组，户籍人口7400余人。居委会办公场所位于宾阳南路6栋5号，有干部职工7人，其中“两委”干部6人，计生专干1人。</w:t>
      </w:r>
    </w:p>
    <w:p w14:paraId="4B976B3F">
      <w:pPr>
        <w:bidi w:val="0"/>
        <w:rPr>
          <w:rFonts w:hint="eastAsia"/>
          <w:lang w:val="zh-CN"/>
        </w:rPr>
      </w:pPr>
      <w:r>
        <w:rPr>
          <w:rFonts w:hint="eastAsia"/>
          <w:b/>
          <w:bCs/>
          <w:lang w:val="zh-CN"/>
        </w:rPr>
        <w:t>胜利社区</w:t>
      </w:r>
      <w:r>
        <w:rPr>
          <w:rFonts w:hint="eastAsia"/>
          <w:b/>
          <w:bCs/>
          <w:lang w:val="en-US" w:eastAsia="zh-CN"/>
        </w:rPr>
        <w:t xml:space="preserve">   </w:t>
      </w:r>
      <w:r>
        <w:rPr>
          <w:rFonts w:hint="eastAsia"/>
          <w:lang w:val="zh-CN"/>
        </w:rPr>
        <w:t>社区辖区面积为0.91公顷。现有户籍人口4000余人。社区分为9个居民小组，辖区内有10条街巷。居委会办公地点在龙沟巷77号，有社区干部职工7名，其中“两委”干部6人，计生专干1人。</w:t>
      </w:r>
    </w:p>
    <w:p w14:paraId="1229774E">
      <w:pPr>
        <w:bidi w:val="0"/>
        <w:rPr>
          <w:rFonts w:hint="eastAsia"/>
          <w:lang w:val="zh-CN"/>
        </w:rPr>
      </w:pPr>
      <w:r>
        <w:rPr>
          <w:rFonts w:hint="eastAsia"/>
          <w:b/>
          <w:bCs/>
          <w:lang w:val="zh-CN"/>
        </w:rPr>
        <w:t>民主社区</w:t>
      </w:r>
      <w:r>
        <w:rPr>
          <w:rFonts w:hint="eastAsia"/>
          <w:b/>
          <w:bCs/>
          <w:lang w:val="en-US" w:eastAsia="zh-CN"/>
        </w:rPr>
        <w:t xml:space="preserve">   </w:t>
      </w:r>
      <w:r>
        <w:rPr>
          <w:rFonts w:hint="eastAsia"/>
          <w:lang w:val="zh-CN"/>
        </w:rPr>
        <w:t>辖区面积0.8万平方米，下辖6个居民小组，户籍人数3600余人。居委会干部职工8名，其中“两委”干部7人，计生专干1人，居委会办公地点位于成康路18号。</w:t>
      </w:r>
    </w:p>
    <w:p w14:paraId="72F07346">
      <w:pPr>
        <w:bidi w:val="0"/>
        <w:rPr>
          <w:rFonts w:hint="eastAsia"/>
          <w:lang w:val="zh-CN"/>
        </w:rPr>
      </w:pPr>
      <w:r>
        <w:rPr>
          <w:rFonts w:hint="eastAsia"/>
          <w:b/>
          <w:bCs/>
          <w:lang w:val="zh-CN"/>
        </w:rPr>
        <w:t>建国社区</w:t>
      </w:r>
      <w:r>
        <w:rPr>
          <w:rFonts w:hint="eastAsia"/>
          <w:b/>
          <w:bCs/>
          <w:lang w:val="en-US" w:eastAsia="zh-CN"/>
        </w:rPr>
        <w:t xml:space="preserve">   </w:t>
      </w:r>
      <w:r>
        <w:rPr>
          <w:rFonts w:hint="eastAsia"/>
          <w:lang w:val="zh-CN"/>
        </w:rPr>
        <w:t>辖区范围东至青云西路，西至环城西路，南至金叶大道中，北至维新路和北门街，总面积约0.165平方千米。辖区有18个居民小组，户籍人口3100余人。居委会办公地点位于环城西路105号原雄州街道文化楼三楼，地处郊区村委会辖区内。居委会有干部职工6名，其中“两委”干部5人，计生专干1人。</w:t>
      </w:r>
    </w:p>
    <w:p w14:paraId="73E3F864">
      <w:pPr>
        <w:bidi w:val="0"/>
        <w:rPr>
          <w:rFonts w:hint="eastAsia"/>
          <w:lang w:val="zh-CN"/>
        </w:rPr>
      </w:pPr>
      <w:r>
        <w:rPr>
          <w:rFonts w:hint="eastAsia"/>
          <w:b/>
          <w:bCs/>
          <w:lang w:val="zh-CN"/>
        </w:rPr>
        <w:t>幸福社区</w:t>
      </w:r>
      <w:r>
        <w:rPr>
          <w:rFonts w:hint="eastAsia"/>
          <w:b/>
          <w:bCs/>
          <w:lang w:val="en-US" w:eastAsia="zh-CN"/>
        </w:rPr>
        <w:t xml:space="preserve">   </w:t>
      </w:r>
      <w:r>
        <w:rPr>
          <w:rFonts w:hint="eastAsia"/>
          <w:lang w:val="zh-CN"/>
        </w:rPr>
        <w:t>管辖范围位于雄州大道西，河南大桥江北，现有管辖面积约0.5平方千米，户籍人口数3300余人。辖区内有13条街道，有银兴花园、中山锦苑、金鹏花苑、江玥名门等居民小区。居委会办公场所位于江玥名门E栋27、28号，有干部职工5人，其中“两委”干部4人，计生专干1名。</w:t>
      </w:r>
    </w:p>
    <w:p w14:paraId="00965B76">
      <w:pPr>
        <w:bidi w:val="0"/>
        <w:rPr>
          <w:rFonts w:hint="eastAsia"/>
          <w:lang w:val="zh-CN"/>
        </w:rPr>
      </w:pPr>
      <w:r>
        <w:rPr>
          <w:rFonts w:hint="eastAsia"/>
          <w:b/>
          <w:bCs/>
          <w:lang w:val="zh-CN"/>
        </w:rPr>
        <w:t>新城东社区</w:t>
      </w:r>
      <w:r>
        <w:rPr>
          <w:rFonts w:hint="eastAsia"/>
          <w:b/>
          <w:bCs/>
          <w:lang w:val="en-US" w:eastAsia="zh-CN"/>
        </w:rPr>
        <w:t xml:space="preserve">   </w:t>
      </w:r>
      <w:r>
        <w:rPr>
          <w:rFonts w:hint="eastAsia"/>
          <w:lang w:val="zh-CN"/>
        </w:rPr>
        <w:t>管辖面积约0.92平方千米，户籍人口2900余人。居委会办公地点位于水南路10号，有居委会干部职工5名，其中“两委”干部4人，计生专干1名。</w:t>
      </w:r>
    </w:p>
    <w:p w14:paraId="3C456031">
      <w:pPr>
        <w:bidi w:val="0"/>
        <w:rPr>
          <w:rFonts w:hint="eastAsia"/>
          <w:lang w:val="zh-CN"/>
        </w:rPr>
      </w:pPr>
      <w:r>
        <w:rPr>
          <w:rFonts w:hint="eastAsia"/>
          <w:b/>
          <w:bCs/>
          <w:lang w:val="zh-CN"/>
        </w:rPr>
        <w:t>新城西社区</w:t>
      </w:r>
      <w:r>
        <w:rPr>
          <w:rFonts w:hint="eastAsia"/>
          <w:b/>
          <w:bCs/>
          <w:lang w:val="en-US" w:eastAsia="zh-CN"/>
        </w:rPr>
        <w:t xml:space="preserve">   </w:t>
      </w:r>
      <w:r>
        <w:rPr>
          <w:rFonts w:hint="eastAsia"/>
          <w:lang w:val="zh-CN"/>
        </w:rPr>
        <w:t>位于雄州街道新城南端，有管辖面积约0.7平方千米，辖区设有金叶大道、林荫路、沿江路、浈江路、乐园巷、仙人巷、竹园路、雄中路8条自然街巷，户籍人口2500余人。社区居委会成立于2002年6月，有社区居委会干部职工7人，其中“两委”干部6人，计生专干1名。</w:t>
      </w:r>
    </w:p>
    <w:p w14:paraId="0378760F">
      <w:pPr>
        <w:bidi w:val="0"/>
        <w:jc w:val="right"/>
        <w:rPr>
          <w:rFonts w:hint="eastAsia"/>
          <w:b/>
          <w:bCs/>
          <w:lang w:val="zh-CN"/>
        </w:rPr>
      </w:pPr>
      <w:r>
        <w:rPr>
          <w:rFonts w:hint="eastAsia"/>
          <w:b/>
          <w:bCs/>
          <w:lang w:val="zh-CN"/>
        </w:rPr>
        <w:t>（孔垂利）</w:t>
      </w:r>
    </w:p>
    <w:p w14:paraId="6BBC31A2">
      <w:pPr>
        <w:pStyle w:val="11"/>
        <w:bidi w:val="0"/>
        <w:rPr>
          <w:rFonts w:hint="eastAsia"/>
          <w:b/>
          <w:bCs/>
          <w:lang w:val="zh-CN"/>
        </w:rPr>
      </w:pPr>
      <w:r>
        <w:rPr>
          <w:rFonts w:hint="eastAsia"/>
          <w:b/>
          <w:bCs/>
          <w:lang w:val="zh-CN"/>
        </w:rPr>
        <w:t>附：2018年雄州街道领导班子成员名单</w:t>
      </w:r>
    </w:p>
    <w:p w14:paraId="69352D2B">
      <w:pPr>
        <w:pStyle w:val="11"/>
        <w:bidi w:val="0"/>
        <w:rPr>
          <w:rFonts w:hint="eastAsia"/>
          <w:lang w:val="zh-CN"/>
        </w:rPr>
      </w:pPr>
      <w:r>
        <w:rPr>
          <w:rFonts w:hint="eastAsia"/>
          <w:b/>
          <w:bCs/>
          <w:lang w:val="zh-CN"/>
        </w:rPr>
        <w:t>党工委书记：</w:t>
      </w:r>
      <w:r>
        <w:rPr>
          <w:rFonts w:hint="eastAsia"/>
          <w:lang w:val="zh-CN"/>
        </w:rPr>
        <w:t>王高峰</w:t>
      </w:r>
    </w:p>
    <w:p w14:paraId="77C8E8E3">
      <w:pPr>
        <w:pStyle w:val="11"/>
        <w:bidi w:val="0"/>
        <w:rPr>
          <w:rFonts w:hint="eastAsia"/>
          <w:b/>
          <w:bCs/>
          <w:lang w:val="zh-CN"/>
        </w:rPr>
      </w:pPr>
      <w:r>
        <w:rPr>
          <w:rFonts w:hint="eastAsia"/>
          <w:b/>
          <w:bCs/>
          <w:lang w:val="zh-CN"/>
        </w:rPr>
        <w:t>党工委副书记、办事处主任：</w:t>
      </w:r>
    </w:p>
    <w:p w14:paraId="61AEA3BE">
      <w:pPr>
        <w:pStyle w:val="11"/>
        <w:bidi w:val="0"/>
        <w:ind w:leftChars="700"/>
        <w:rPr>
          <w:rFonts w:hint="eastAsia"/>
          <w:lang w:val="zh-CN"/>
        </w:rPr>
      </w:pPr>
      <w:r>
        <w:rPr>
          <w:rFonts w:hint="eastAsia"/>
          <w:lang w:val="zh-CN"/>
        </w:rPr>
        <w:t>刘春伟</w:t>
      </w:r>
    </w:p>
    <w:p w14:paraId="4468415F">
      <w:pPr>
        <w:pStyle w:val="11"/>
        <w:bidi w:val="0"/>
        <w:rPr>
          <w:rFonts w:hint="eastAsia"/>
          <w:lang w:val="zh-CN"/>
        </w:rPr>
      </w:pPr>
      <w:r>
        <w:rPr>
          <w:rFonts w:hint="eastAsia"/>
          <w:b/>
          <w:bCs/>
          <w:lang w:val="zh-CN"/>
        </w:rPr>
        <w:t>人大工委主任：</w:t>
      </w:r>
      <w:r>
        <w:rPr>
          <w:rFonts w:hint="eastAsia"/>
          <w:lang w:val="zh-CN"/>
        </w:rPr>
        <w:t>刘烈斌</w:t>
      </w:r>
    </w:p>
    <w:p w14:paraId="2164F17A">
      <w:pPr>
        <w:pStyle w:val="11"/>
        <w:bidi w:val="0"/>
        <w:rPr>
          <w:rFonts w:hint="eastAsia"/>
          <w:b/>
          <w:bCs/>
          <w:lang w:val="zh-CN"/>
        </w:rPr>
      </w:pPr>
      <w:r>
        <w:rPr>
          <w:rFonts w:hint="eastAsia"/>
          <w:b/>
          <w:bCs/>
          <w:lang w:val="zh-CN"/>
        </w:rPr>
        <w:t>党工委副书记（党建）：</w:t>
      </w:r>
    </w:p>
    <w:p w14:paraId="6D198B5F">
      <w:pPr>
        <w:pStyle w:val="11"/>
        <w:bidi w:val="0"/>
        <w:ind w:leftChars="700"/>
        <w:rPr>
          <w:rFonts w:hint="eastAsia"/>
          <w:lang w:val="zh-CN"/>
        </w:rPr>
      </w:pPr>
      <w:r>
        <w:rPr>
          <w:rFonts w:hint="eastAsia"/>
          <w:lang w:val="zh-CN"/>
        </w:rPr>
        <w:t>何松山</w:t>
      </w:r>
    </w:p>
    <w:p w14:paraId="3EDEBBAD">
      <w:pPr>
        <w:pStyle w:val="11"/>
        <w:bidi w:val="0"/>
        <w:rPr>
          <w:rFonts w:hint="eastAsia"/>
          <w:b/>
          <w:bCs/>
          <w:lang w:val="zh-CN"/>
        </w:rPr>
      </w:pPr>
      <w:r>
        <w:rPr>
          <w:rFonts w:hint="eastAsia"/>
          <w:b/>
          <w:bCs/>
          <w:lang w:val="zh-CN"/>
        </w:rPr>
        <w:t>党工委副书记（综治）：</w:t>
      </w:r>
    </w:p>
    <w:p w14:paraId="3C91561D">
      <w:pPr>
        <w:pStyle w:val="11"/>
        <w:bidi w:val="0"/>
        <w:ind w:leftChars="800"/>
        <w:rPr>
          <w:rFonts w:hint="eastAsia"/>
          <w:lang w:val="zh-CN"/>
        </w:rPr>
      </w:pPr>
      <w:r>
        <w:rPr>
          <w:rFonts w:hint="eastAsia"/>
          <w:lang w:val="zh-CN"/>
        </w:rPr>
        <w:t>彭刚健</w:t>
      </w:r>
    </w:p>
    <w:p w14:paraId="01CFA3DD">
      <w:pPr>
        <w:pStyle w:val="11"/>
        <w:bidi w:val="0"/>
        <w:rPr>
          <w:rFonts w:hint="eastAsia"/>
          <w:b/>
          <w:bCs/>
          <w:lang w:val="zh-CN"/>
        </w:rPr>
      </w:pPr>
      <w:r>
        <w:rPr>
          <w:rFonts w:hint="eastAsia"/>
          <w:b/>
          <w:bCs/>
          <w:lang w:val="zh-CN"/>
        </w:rPr>
        <w:t>党工委委员、纪工委书记：</w:t>
      </w:r>
    </w:p>
    <w:p w14:paraId="7AB464CF">
      <w:pPr>
        <w:pStyle w:val="11"/>
        <w:bidi w:val="0"/>
        <w:ind w:leftChars="800"/>
        <w:rPr>
          <w:rFonts w:hint="eastAsia"/>
          <w:lang w:val="zh-CN"/>
        </w:rPr>
      </w:pPr>
      <w:r>
        <w:rPr>
          <w:rFonts w:hint="eastAsia"/>
          <w:lang w:val="zh-CN"/>
        </w:rPr>
        <w:t>何</w:t>
      </w:r>
      <w:r>
        <w:rPr>
          <w:rFonts w:hint="eastAsia"/>
          <w:lang w:val="en-US" w:eastAsia="zh-CN"/>
        </w:rPr>
        <w:t xml:space="preserve">  </w:t>
      </w:r>
      <w:r>
        <w:rPr>
          <w:rFonts w:hint="eastAsia"/>
          <w:lang w:val="zh-CN"/>
        </w:rPr>
        <w:t>钰（1月任职）</w:t>
      </w:r>
    </w:p>
    <w:p w14:paraId="6DC6879A">
      <w:pPr>
        <w:pStyle w:val="11"/>
        <w:bidi w:val="0"/>
        <w:rPr>
          <w:rFonts w:hint="eastAsia"/>
          <w:lang w:val="zh-CN"/>
        </w:rPr>
      </w:pPr>
      <w:r>
        <w:rPr>
          <w:rFonts w:hint="eastAsia"/>
          <w:b/>
          <w:bCs/>
          <w:lang w:val="zh-CN"/>
        </w:rPr>
        <w:t>党工委组织委员：</w:t>
      </w:r>
      <w:r>
        <w:rPr>
          <w:rFonts w:hint="eastAsia"/>
          <w:lang w:val="zh-CN"/>
        </w:rPr>
        <w:t>黄勇红</w:t>
      </w:r>
    </w:p>
    <w:p w14:paraId="1C033A50">
      <w:pPr>
        <w:pStyle w:val="11"/>
        <w:bidi w:val="0"/>
        <w:rPr>
          <w:rFonts w:hint="eastAsia"/>
          <w:lang w:val="zh-CN"/>
        </w:rPr>
      </w:pPr>
      <w:r>
        <w:rPr>
          <w:rFonts w:hint="eastAsia"/>
          <w:b/>
          <w:bCs/>
          <w:lang w:val="zh-CN"/>
        </w:rPr>
        <w:t>党工委宣传委员：</w:t>
      </w:r>
      <w:r>
        <w:rPr>
          <w:rFonts w:hint="eastAsia"/>
          <w:lang w:val="zh-CN"/>
        </w:rPr>
        <w:t>雷会信</w:t>
      </w:r>
    </w:p>
    <w:p w14:paraId="3434D39B">
      <w:pPr>
        <w:pStyle w:val="11"/>
        <w:bidi w:val="0"/>
        <w:rPr>
          <w:rFonts w:hint="eastAsia"/>
          <w:b/>
          <w:bCs/>
          <w:lang w:val="zh-CN"/>
        </w:rPr>
      </w:pPr>
      <w:r>
        <w:rPr>
          <w:rFonts w:hint="eastAsia"/>
          <w:b/>
          <w:bCs/>
          <w:lang w:val="zh-CN"/>
        </w:rPr>
        <w:t>党工委委员、武装部部长：</w:t>
      </w:r>
    </w:p>
    <w:p w14:paraId="5D81A7A2">
      <w:pPr>
        <w:pStyle w:val="11"/>
        <w:bidi w:val="0"/>
        <w:ind w:leftChars="600"/>
        <w:rPr>
          <w:rFonts w:hint="eastAsia"/>
          <w:lang w:val="zh-CN"/>
        </w:rPr>
      </w:pPr>
      <w:r>
        <w:rPr>
          <w:rFonts w:hint="eastAsia"/>
          <w:lang w:val="zh-CN"/>
        </w:rPr>
        <w:t>邓荣贵</w:t>
      </w:r>
    </w:p>
    <w:p w14:paraId="332CF70B">
      <w:pPr>
        <w:pStyle w:val="11"/>
        <w:bidi w:val="0"/>
        <w:rPr>
          <w:rFonts w:hint="eastAsia"/>
          <w:lang w:val="zh-CN"/>
        </w:rPr>
      </w:pPr>
      <w:r>
        <w:rPr>
          <w:rFonts w:hint="eastAsia"/>
          <w:b/>
          <w:bCs/>
          <w:lang w:val="zh-CN"/>
        </w:rPr>
        <w:t>党工委委员、办事处副主任：</w:t>
      </w:r>
      <w:r>
        <w:rPr>
          <w:rFonts w:hint="eastAsia"/>
          <w:lang w:val="zh-CN"/>
        </w:rPr>
        <w:t>何</w:t>
      </w:r>
      <w:r>
        <w:rPr>
          <w:rFonts w:hint="eastAsia"/>
          <w:lang w:val="en-US" w:eastAsia="zh-CN"/>
        </w:rPr>
        <w:t xml:space="preserve">  </w:t>
      </w:r>
      <w:r>
        <w:rPr>
          <w:rFonts w:hint="eastAsia"/>
          <w:lang w:val="zh-CN"/>
        </w:rPr>
        <w:t>钰（任至1月）</w:t>
      </w:r>
    </w:p>
    <w:p w14:paraId="0B038DBC">
      <w:pPr>
        <w:pStyle w:val="11"/>
        <w:bidi w:val="0"/>
        <w:rPr>
          <w:rFonts w:hint="eastAsia"/>
          <w:b/>
          <w:bCs/>
          <w:lang w:val="zh-CN"/>
        </w:rPr>
      </w:pPr>
      <w:r>
        <w:rPr>
          <w:rFonts w:hint="eastAsia"/>
          <w:b/>
          <w:bCs/>
          <w:lang w:val="zh-CN"/>
        </w:rPr>
        <w:t>办事处副主任：</w:t>
      </w:r>
    </w:p>
    <w:p w14:paraId="2088CAC0">
      <w:pPr>
        <w:pStyle w:val="11"/>
        <w:bidi w:val="0"/>
        <w:ind w:leftChars="600"/>
        <w:rPr>
          <w:rFonts w:hint="eastAsia"/>
          <w:lang w:val="zh-CN"/>
        </w:rPr>
      </w:pPr>
      <w:r>
        <w:rPr>
          <w:rFonts w:hint="eastAsia"/>
          <w:lang w:val="zh-CN"/>
        </w:rPr>
        <w:t>邱</w:t>
      </w:r>
      <w:r>
        <w:rPr>
          <w:rFonts w:hint="eastAsia"/>
          <w:lang w:val="en-US" w:eastAsia="zh-CN"/>
        </w:rPr>
        <w:t xml:space="preserve">  </w:t>
      </w:r>
      <w:r>
        <w:rPr>
          <w:rFonts w:hint="eastAsia"/>
          <w:lang w:val="zh-CN"/>
        </w:rPr>
        <w:t>洪（1月任党工委委员）</w:t>
      </w:r>
    </w:p>
    <w:p w14:paraId="7CB29A18">
      <w:pPr>
        <w:pStyle w:val="11"/>
        <w:bidi w:val="0"/>
        <w:ind w:leftChars="600"/>
        <w:rPr>
          <w:rFonts w:hint="eastAsia"/>
          <w:lang w:val="zh-CN"/>
        </w:rPr>
      </w:pPr>
      <w:r>
        <w:rPr>
          <w:rFonts w:hint="eastAsia"/>
          <w:lang w:val="zh-CN"/>
        </w:rPr>
        <w:t>刘锦泉</w:t>
      </w:r>
      <w:r>
        <w:rPr>
          <w:rFonts w:hint="eastAsia"/>
          <w:lang w:val="en-US" w:eastAsia="zh-CN"/>
        </w:rPr>
        <w:t xml:space="preserve">   </w:t>
      </w:r>
      <w:r>
        <w:rPr>
          <w:rFonts w:hint="eastAsia"/>
          <w:lang w:val="zh-CN"/>
        </w:rPr>
        <w:t>王衍明</w:t>
      </w:r>
    </w:p>
    <w:p w14:paraId="479186C6">
      <w:pPr>
        <w:pStyle w:val="11"/>
        <w:bidi w:val="0"/>
        <w:ind w:leftChars="600"/>
        <w:rPr>
          <w:rFonts w:hint="eastAsia"/>
          <w:lang w:val="zh-CN"/>
        </w:rPr>
      </w:pPr>
      <w:r>
        <w:rPr>
          <w:rFonts w:hint="eastAsia"/>
          <w:lang w:val="zh-CN"/>
        </w:rPr>
        <w:t>钟庆湘（1月任职）</w:t>
      </w:r>
    </w:p>
    <w:p w14:paraId="1BD94826">
      <w:pPr>
        <w:pStyle w:val="11"/>
        <w:bidi w:val="0"/>
        <w:rPr>
          <w:rFonts w:hint="eastAsia"/>
          <w:b/>
          <w:bCs/>
          <w:lang w:val="zh-CN"/>
        </w:rPr>
      </w:pPr>
      <w:r>
        <w:rPr>
          <w:rFonts w:hint="eastAsia"/>
          <w:b/>
          <w:bCs/>
          <w:lang w:val="zh-CN"/>
        </w:rPr>
        <w:t>人大工委副主任：</w:t>
      </w:r>
    </w:p>
    <w:p w14:paraId="607E970E">
      <w:pPr>
        <w:pStyle w:val="11"/>
        <w:bidi w:val="0"/>
        <w:ind w:leftChars="600"/>
        <w:rPr>
          <w:rFonts w:hint="eastAsia"/>
          <w:lang w:val="zh-CN"/>
        </w:rPr>
      </w:pPr>
      <w:r>
        <w:rPr>
          <w:rFonts w:hint="eastAsia"/>
          <w:lang w:val="zh-CN"/>
        </w:rPr>
        <w:t>刘雄明（1月任职）</w:t>
      </w:r>
    </w:p>
    <w:p w14:paraId="7433D137">
      <w:pPr>
        <w:bidi w:val="0"/>
        <w:rPr>
          <w:rFonts w:hint="eastAsia"/>
          <w:lang w:val="zh-CN"/>
        </w:rPr>
      </w:pPr>
      <w:r>
        <w:rPr>
          <w:rFonts w:hint="eastAsia"/>
          <w:b/>
          <w:bCs/>
          <w:lang w:val="zh-CN"/>
        </w:rPr>
        <w:t>举办南雄市首届禾花鱼节</w:t>
      </w:r>
      <w:r>
        <w:rPr>
          <w:rFonts w:hint="eastAsia"/>
          <w:b/>
          <w:bCs/>
          <w:lang w:val="en-US" w:eastAsia="zh-CN"/>
        </w:rPr>
        <w:t xml:space="preserve">   </w:t>
      </w:r>
      <w:r>
        <w:rPr>
          <w:rFonts w:hint="eastAsia"/>
          <w:lang w:val="zh-CN"/>
        </w:rPr>
        <w:t>10月20日，南雄市首届禾花鱼节在雄州街道观新村举行。刚刚收割完的稻田里禾花鱼清晰可见，各地游客纷纷下田抓鱼，亲身感受粤北山区的农趣。为贯彻落实南雄市乡村振兴发展战略，观新村积极引导农户流转整合农田，打造养殖+农家乐+农耕文化体验的特色农旅产业，帮助农民增收。2018年初，观新村成立经济种养合作社，采取“合作社+基地+农户+贫困户”的运作模式，引进禾花鱼、泥鳅种苗和种养技术，实行产品包销，打造“岭南稻乡”特色品牌，以特色产业发展带动村民积极性，推动当地产业发展。2018年，观新村养殖禾花鱼水稻面积20多公顷，每亩稻田放禾花鱼苗800尾，水稻亩产800多斤，禾花鱼亩产30至50斤，禾花鱼卖48元一斤，增加群众收入。此外，有180多户村民以土地入股，30户村民以现金入股，整合农田连片500亩，资金63万元，以资源变资产、资金变股金、农民变股东的“三变模式”，为禾花鱼产业发展打下坚实基础，助力乡村振兴发展。</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3E08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149D91B">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2360" cy="3731895"/>
                  <wp:effectExtent l="0" t="0" r="8890" b="1905"/>
                  <wp:docPr id="131" name="图片 131" descr="南雄年鉴2019_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南雄年鉴2019_0106"/>
                          <pic:cNvPicPr>
                            <a:picLocks noChangeAspect="1"/>
                          </pic:cNvPicPr>
                        </pic:nvPicPr>
                        <pic:blipFill>
                          <a:blip r:embed="rId118"/>
                          <a:stretch>
                            <a:fillRect/>
                          </a:stretch>
                        </pic:blipFill>
                        <pic:spPr>
                          <a:xfrm>
                            <a:off x="0" y="0"/>
                            <a:ext cx="6182360" cy="3731895"/>
                          </a:xfrm>
                          <a:prstGeom prst="rect">
                            <a:avLst/>
                          </a:prstGeom>
                        </pic:spPr>
                      </pic:pic>
                    </a:graphicData>
                  </a:graphic>
                </wp:inline>
              </w:drawing>
            </w:r>
          </w:p>
        </w:tc>
      </w:tr>
      <w:tr w14:paraId="088F8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E653152">
            <w:pPr>
              <w:bidi w:val="0"/>
              <w:rPr>
                <w:rFonts w:hint="eastAsia"/>
                <w:vertAlign w:val="baseline"/>
                <w:lang w:val="zh-CN"/>
              </w:rPr>
            </w:pPr>
            <w:r>
              <w:rPr>
                <w:rFonts w:hint="eastAsia" w:ascii="FZKTK--GBK1-0" w:hAnsi="FZKTK--GBK1-0" w:eastAsia="FZKTK--GBK1-0"/>
                <w:sz w:val="20"/>
              </w:rPr>
              <w:t>图为禾花鱼节活动现场</w:t>
            </w:r>
          </w:p>
        </w:tc>
      </w:tr>
    </w:tbl>
    <w:p w14:paraId="0D9EFBB3">
      <w:pPr>
        <w:pStyle w:val="3"/>
        <w:bidi w:val="0"/>
        <w:rPr>
          <w:rFonts w:hint="eastAsia"/>
          <w:lang w:val="zh-CN"/>
        </w:rPr>
      </w:pPr>
      <w:r>
        <w:rPr>
          <w:rFonts w:hint="eastAsia"/>
          <w:lang w:val="zh-CN"/>
        </w:rPr>
        <w:t>乌迳镇</w:t>
      </w:r>
    </w:p>
    <w:p w14:paraId="0FE8A15C">
      <w:pPr>
        <w:pStyle w:val="4"/>
        <w:bidi w:val="0"/>
        <w:rPr>
          <w:rFonts w:hint="eastAsia"/>
          <w:lang w:val="zh-CN"/>
        </w:rPr>
      </w:pPr>
      <w:r>
        <w:rPr>
          <w:rFonts w:hint="eastAsia"/>
          <w:lang w:val="zh-CN"/>
        </w:rPr>
        <w:t>【概况】</w:t>
      </w:r>
    </w:p>
    <w:p w14:paraId="1F33C86D">
      <w:pPr>
        <w:bidi w:val="0"/>
        <w:rPr>
          <w:rFonts w:hint="eastAsia"/>
          <w:lang w:val="zh-CN"/>
        </w:rPr>
      </w:pPr>
      <w:r>
        <w:rPr>
          <w:rFonts w:hint="eastAsia"/>
          <w:lang w:val="zh-CN"/>
        </w:rPr>
        <w:t>乌迳镇地处广东省南雄市东北部，面积约158平方千米，辖21个村委会，1个居委会，人口近5.8万人，是南雄市最大的乡镇，属革命老区。2002年被列为广东省268个中心镇之一。乌迳镇交通便利，北距江西省信丰县及105国道、京九铁路42千米，距粤赣高速公路21千米，南离南雄市区及323国道31千米，省道S342线贯穿全镇。由于地理位置优越，城镇化建设飞速发展，乌迳镇已成为南雄东部六镇15万人口的政治、经济、文化、交通中心，2015年被市委、市政府定为南雄市城市副中心。</w:t>
      </w:r>
    </w:p>
    <w:p w14:paraId="602F9430">
      <w:pPr>
        <w:bidi w:val="0"/>
        <w:rPr>
          <w:rFonts w:hint="eastAsia"/>
          <w:lang w:val="zh-CN"/>
        </w:rPr>
      </w:pPr>
      <w:r>
        <w:rPr>
          <w:rFonts w:hint="eastAsia"/>
          <w:lang w:val="zh-CN"/>
        </w:rPr>
        <w:t>乌迳镇具有悠久的文化历史。在历史上，乌迳镇有“中原南迁第一镇”之说，而乌迳镇最古老的村落新田村素有“迁徙南雄第一村”之称。常说“先有新田，后有南雄”就充分说明了这一点。2009年12月，新田村被评为“广东省古村落”“广东省历史文化名村”。除此之外，乌迳镇内的罗汉岩庙还是广东最早的佛教圣地之一。有诗为证：“罗汉岩开自汉年，今因胜友一随缘；丛丛缘行沦山浦，杳杳青松古经穿。浴室常存仙介石，香厨仍隐佛盈泉；况逢禅侣皆我土，指点予心发兴编。”后又有一诗曰“古刹重修弘治年，崇仁乐善结前缘；山岩寂寞云烟绕，华阁清虚日月穿。广化佛留禅谷石，汉神仙引玉壶泉；登临眺望无穷胜，不觉名留勒石编。”现存水松村的罗汉大禅钟，从重铸之日至今已整整过去530年。说明乌迳曾经是一个佛教文化相当活跃的地方。在乌迳镇以新田村为中心的周围村落，居住着叶、李、董、赖、黄、彭、赵、孔等总数达60姓之多的村民，迄今保持着典型的宗族文化，60种姓氏节均有具体的时间，不同的形式，形成独特的风俗文化。</w:t>
      </w:r>
    </w:p>
    <w:p w14:paraId="734137F4">
      <w:pPr>
        <w:bidi w:val="0"/>
        <w:rPr>
          <w:rFonts w:hint="eastAsia"/>
          <w:lang w:val="zh-CN"/>
        </w:rPr>
      </w:pPr>
      <w:r>
        <w:rPr>
          <w:rFonts w:hint="eastAsia"/>
          <w:lang w:val="zh-CN"/>
        </w:rPr>
        <w:t>乌迳镇自然资源十分丰富，森林覆盖率68%，四季气候宜人，年平均气温21.5℃左右。有林木、毛竹资源5万多亩，花岗石总储存量超过800万立方米，是目前南雄最大的花岗岩石板材生产基地。水力资源丰富，可开发电力3000多千瓦，有电站6座，装机容量1000瓦。可谓是“山上有资源，地下有矿藏，水中有动力”。乌迳镇黄烟种植历史悠久、品质特优。乌迳特产“霸王椒”畅销国内外，享誉东南亚。乌迳的旅游资源独具特色，孔江国家湿地公园（俗称“百岛湖”）生态旅游区和观音山“小丹霞”风景区以及新田古村落，吸引着省内外无数游客前来观光旅游，逐渐成为粤北地区旅游、休闲、度假的新亮点。</w:t>
      </w:r>
    </w:p>
    <w:p w14:paraId="0336CF3B">
      <w:pPr>
        <w:pStyle w:val="4"/>
        <w:bidi w:val="0"/>
        <w:rPr>
          <w:rFonts w:hint="eastAsia"/>
          <w:lang w:val="zh-CN"/>
        </w:rPr>
      </w:pPr>
      <w:r>
        <w:rPr>
          <w:rFonts w:hint="eastAsia"/>
          <w:lang w:val="zh-CN"/>
        </w:rPr>
        <w:t>【经济发展】</w:t>
      </w:r>
    </w:p>
    <w:p w14:paraId="2C6B2309">
      <w:pPr>
        <w:bidi w:val="0"/>
        <w:rPr>
          <w:rFonts w:hint="eastAsia"/>
          <w:lang w:val="zh-CN"/>
        </w:rPr>
      </w:pPr>
      <w:r>
        <w:rPr>
          <w:rFonts w:hint="eastAsia"/>
          <w:lang w:val="zh-CN"/>
        </w:rPr>
        <w:t>2018年，完成财政总收入1476.6万元，其中市财政补助收入1476.6万元，其他79.07万元；水稻种植2704公顷，花生937.53公顷，玉米84.53公顷，黄烟446.27公顷，完成2273.33公顷粮食生产功能区划定工作，完成粮食收购1.91万吨，粮食产量创新高；生猪存栏7.31万头，家禽存栏量17.53万羽，牛存栏量7356头，羊存栏量1560头；保持原有农业经营主体数量，并新增加21个新型经营主体。</w:t>
      </w:r>
    </w:p>
    <w:p w14:paraId="0CA2D910">
      <w:pPr>
        <w:pStyle w:val="4"/>
        <w:bidi w:val="0"/>
        <w:rPr>
          <w:rFonts w:hint="eastAsia"/>
          <w:lang w:val="zh-CN"/>
        </w:rPr>
      </w:pPr>
      <w:r>
        <w:rPr>
          <w:rFonts w:hint="eastAsia"/>
          <w:lang w:val="zh-CN"/>
        </w:rPr>
        <w:t>【特色农业】</w:t>
      </w:r>
    </w:p>
    <w:p w14:paraId="533B0F9F">
      <w:pPr>
        <w:bidi w:val="0"/>
        <w:rPr>
          <w:rFonts w:hint="eastAsia"/>
          <w:lang w:val="zh-CN"/>
        </w:rPr>
      </w:pPr>
      <w:r>
        <w:rPr>
          <w:rFonts w:hint="eastAsia"/>
          <w:lang w:val="zh-CN"/>
        </w:rPr>
        <w:t>推广“公司+合作社+贫困户”、合作社+贫困户等产业发展模式，助力脱贫攻坚。长龙村打造66.67公顷中草药种植基地，形成较强示范带动效应，推动中药材产业发展做大做强；水松村通过流转土地发展37.33公顷的西瓜种植基地；兰坵村打造46.67公顷的脐橙种植基地；田心村通过整合财政扶贫资金和社会资金，采取“公司+基地+贫困户”的模式发展葡萄种植产业，建设24公顷阳光玫瑰葡萄现代农业产业园；黄洞村成立黄洞村鲜品农业专业合作社，种植优质稻近千亩；响联村通过成立合作社，流转土地4公顷，连片开发野菊花种植。通过支持和引导支持特色农业发展，带动群众增收致富，增强经济发展动力。</w:t>
      </w:r>
    </w:p>
    <w:p w14:paraId="6DC5F151">
      <w:pPr>
        <w:pStyle w:val="4"/>
        <w:bidi w:val="0"/>
        <w:rPr>
          <w:rFonts w:hint="eastAsia"/>
          <w:lang w:val="zh-CN"/>
        </w:rPr>
      </w:pPr>
      <w:r>
        <w:rPr>
          <w:rFonts w:hint="eastAsia"/>
          <w:lang w:val="zh-CN"/>
        </w:rPr>
        <w:t>【农田水利】</w:t>
      </w:r>
    </w:p>
    <w:p w14:paraId="5666B92E">
      <w:pPr>
        <w:bidi w:val="0"/>
        <w:rPr>
          <w:rFonts w:hint="eastAsia"/>
          <w:lang w:val="zh-CN"/>
        </w:rPr>
      </w:pPr>
      <w:r>
        <w:rPr>
          <w:rFonts w:hint="eastAsia"/>
          <w:lang w:val="zh-CN"/>
        </w:rPr>
        <w:t>全面落实好“河长制”，对全镇辖区河流进行整治，实现对20多千米重要河道巡查保洁常态化；成立乌迳镇村村通自来水工程工作领导小组，完成兰坵村片区、井石村小组、大竹村委会布庄村小组等部分移民村自来水安装工程；投入110万元资金完成黄洞村双木塘、白龙村白泥塘两口病险山塘除险加固工程，同时清理中坪灌区多年未清理的淤泥和垃圾，解决良田灌溉用水问题；加强河砂治理，严打非法采砂活动，整治非法采砂案件3宗（高溯村委会溯水村小组1宗，高溯村委会下高陂2宗）。</w:t>
      </w:r>
    </w:p>
    <w:p w14:paraId="2FC86FBC">
      <w:pPr>
        <w:pStyle w:val="4"/>
        <w:bidi w:val="0"/>
        <w:rPr>
          <w:rFonts w:hint="eastAsia"/>
          <w:lang w:val="zh-CN"/>
        </w:rPr>
      </w:pPr>
      <w:r>
        <w:rPr>
          <w:rFonts w:hint="eastAsia"/>
          <w:lang w:val="zh-CN"/>
        </w:rPr>
        <w:t>【土地确权】</w:t>
      </w:r>
    </w:p>
    <w:p w14:paraId="006FB51E">
      <w:pPr>
        <w:bidi w:val="0"/>
        <w:rPr>
          <w:rFonts w:hint="eastAsia"/>
          <w:lang w:val="zh-CN"/>
        </w:rPr>
      </w:pPr>
      <w:r>
        <w:rPr>
          <w:rFonts w:hint="eastAsia"/>
          <w:lang w:val="zh-CN"/>
        </w:rPr>
        <w:t>全镇应颁证9836户，已颁证9742户，颁证率98.99%；建立乌迳镇土地流转交易中心，成立乌迳镇土地确权工作领导小组，落实工作人员，制定工作方案和工作制度。分别在大竹、高溯、兰坵完成3家新型农业经营主体流转工作。</w:t>
      </w:r>
    </w:p>
    <w:p w14:paraId="36AAE700">
      <w:pPr>
        <w:pStyle w:val="4"/>
        <w:bidi w:val="0"/>
        <w:rPr>
          <w:rFonts w:hint="eastAsia"/>
          <w:lang w:val="zh-CN"/>
        </w:rPr>
      </w:pPr>
      <w:r>
        <w:rPr>
          <w:rFonts w:hint="eastAsia"/>
          <w:lang w:val="zh-CN"/>
        </w:rPr>
        <w:t>【重点工作】</w:t>
      </w:r>
    </w:p>
    <w:p w14:paraId="53CA7550">
      <w:pPr>
        <w:bidi w:val="0"/>
        <w:rPr>
          <w:rFonts w:hint="eastAsia"/>
          <w:lang w:val="zh-CN"/>
        </w:rPr>
      </w:pPr>
      <w:r>
        <w:rPr>
          <w:rFonts w:hint="eastAsia"/>
          <w:lang w:val="zh-CN"/>
        </w:rPr>
        <w:t>推进墟镇扩容提质，墟镇功能风貌不断提升；重点推进南雄市第二人民医院、乌迳第二小学、公路建设、污水管网等民生重点项目建设。第二人民医院征收土地面积3.73公顷，于2018年3月底开工建设，12月31日进行综合楼封顶庆典仪式，完成主体工程建设，预计2020年12月前建成投入使用；乌迳二小征地工作顺利开展，前期基础施工工作稳步推进；南粤梅关—乌迳古驿道修复保护与活化利用项目基本完工，乌迳镇荣获省休闲农业与乡村旅游示范镇称号，新田古村落被评为2018韶关乡村旅游季·最美古村落，为乌迳旅游项目打下良好基础；S342线路段改造提升工作稳步推进，完成53千米农村公路硬底化。</w:t>
      </w:r>
    </w:p>
    <w:p w14:paraId="592A4C3C">
      <w:pPr>
        <w:pStyle w:val="4"/>
        <w:bidi w:val="0"/>
        <w:rPr>
          <w:rFonts w:hint="eastAsia"/>
          <w:lang w:val="zh-CN"/>
        </w:rPr>
      </w:pPr>
      <w:r>
        <w:rPr>
          <w:rFonts w:hint="eastAsia"/>
          <w:lang w:val="zh-CN"/>
        </w:rPr>
        <w:t>【社会事业】</w:t>
      </w:r>
    </w:p>
    <w:p w14:paraId="41B63BCA">
      <w:pPr>
        <w:bidi w:val="0"/>
        <w:rPr>
          <w:rFonts w:hint="eastAsia"/>
          <w:lang w:val="zh-CN"/>
        </w:rPr>
      </w:pPr>
      <w:r>
        <w:rPr>
          <w:rFonts w:hint="eastAsia"/>
          <w:lang w:val="zh-CN"/>
        </w:rPr>
        <w:t>推进民生保障工作，完成新农保参保7357人，完成社保扩面居民19人，“五险一金”覆盖面不断扩大。2018年新增低保29户51人，办理医疗救助156宗，救助金额67万元，及时为762位老人发放高龄老人生活津贴，为优抚对象266人发放待遇补贴。广泛宣传“全面二孩”政策，2018年出生530人，符合政策生育率85%；经济普查工作顺利进行，以数据质量为中心，完成2262个普查对象的清查摸底、入户调查、PDA录入及上报工作；应急管理体系进一步完善，全面完成专职消防队建队工作，安全生产、食品药品安全形势持续稳定。完成水松、官门楼、坪塘、山下、乌迳5间公建民营卫生站建设，新（改）建49间乡村公厕；开展形式多样的文化活动，受益群众达1.4万多人次，村级综合性文化服务中心建设稳步推进，建成6个新时代文明实践所，乌迳篮球队荣获南雄市第二届男子篮球联赛乡镇组冠军。</w:t>
      </w:r>
    </w:p>
    <w:p w14:paraId="2456977E">
      <w:pPr>
        <w:pStyle w:val="4"/>
        <w:bidi w:val="0"/>
        <w:rPr>
          <w:rFonts w:hint="eastAsia"/>
          <w:lang w:val="zh-CN"/>
        </w:rPr>
      </w:pPr>
      <w:r>
        <w:rPr>
          <w:rFonts w:hint="eastAsia"/>
          <w:lang w:val="zh-CN"/>
        </w:rPr>
        <w:t>【生态文明】</w:t>
      </w:r>
    </w:p>
    <w:p w14:paraId="6A814A6A">
      <w:pPr>
        <w:bidi w:val="0"/>
        <w:rPr>
          <w:rFonts w:hint="eastAsia"/>
          <w:lang w:val="zh-CN"/>
        </w:rPr>
      </w:pPr>
      <w:r>
        <w:rPr>
          <w:rFonts w:hint="eastAsia"/>
          <w:lang w:val="zh-CN"/>
        </w:rPr>
        <w:t>完善农村垃圾清运体系和农村保洁员管理制度，北控公司进一步加大辐射区域，对墟镇、农村卫生进行全天候保洁，农村生活垃圾分类试点工作逐步开展，镇区面貌焕然一新。全力推进第二次全国污染源普查工作，成立乌迳镇污染防治攻坚战工作领导小组，印发《乌迳镇环境保护网格化管理实施方案》，落实普查员6名，强化推进入户调查工作，开展畜禽养殖污染减排综合整治，关停6个规模养殖场，对8个生猪养殖场进行整改。全面加快造林绿化步伐，完成鱼塘、黄洞、田心、庙前等地森林碳汇造林200多公顷，鼓励全镇居民植树造林约46.67公顷，生态环境逐步改善。</w:t>
      </w:r>
    </w:p>
    <w:p w14:paraId="7530C41E">
      <w:pPr>
        <w:pStyle w:val="4"/>
        <w:bidi w:val="0"/>
        <w:rPr>
          <w:rFonts w:hint="eastAsia"/>
          <w:lang w:val="zh-CN"/>
        </w:rPr>
      </w:pPr>
      <w:r>
        <w:rPr>
          <w:rFonts w:hint="eastAsia"/>
          <w:lang w:val="zh-CN"/>
        </w:rPr>
        <w:t>【脱贫攻坚】</w:t>
      </w:r>
    </w:p>
    <w:p w14:paraId="1447F463">
      <w:pPr>
        <w:bidi w:val="0"/>
        <w:rPr>
          <w:rFonts w:hint="eastAsia"/>
          <w:lang w:val="zh-CN"/>
        </w:rPr>
      </w:pPr>
      <w:r>
        <w:rPr>
          <w:rFonts w:hint="eastAsia"/>
          <w:lang w:val="zh-CN"/>
        </w:rPr>
        <w:t>坚持以脱贫攻坚工作统揽全局，做好基础设施建设、新农村建设、产业扶贫和贫困户“三保障”等工作。2018年，415户1117人实现脱贫，脱贫率达96.2%。产业扶贫方面：8个重点贫困村全部落实产业扶贫，为510户贫困户发放奖补资金105.34万元，进一步提高贫困户经济收入；就业扶贫方面：积极发动宣传，鼓励贫困户积极参与各类扶贫招聘会，实现贫困家庭劳动力转移就业223人；金融扶贫方面：17户贫困户参与小额贷项目，贷款总额达49万元，解决贫困户创业难的问题；教育扶贫方面：全镇贫困户子女在校就读人数256人，已经落实“两免一补”等对237名贫困户子女资助的惠民政策；医疗保障方面：为77户贫困户提供医疗救助13.38万元。275名年满60周岁贫困户人领取养老保险金，养老保险参保率达到100%；2018年乌迳镇积极落实贫困户住房安全政策，下达危房改造任务数104户，全部竣工并通过住建局验收合格。</w:t>
      </w:r>
    </w:p>
    <w:p w14:paraId="001B27BC">
      <w:pPr>
        <w:pStyle w:val="4"/>
        <w:bidi w:val="0"/>
        <w:rPr>
          <w:rFonts w:hint="eastAsia"/>
          <w:lang w:val="zh-CN"/>
        </w:rPr>
      </w:pPr>
      <w:r>
        <w:rPr>
          <w:rFonts w:hint="eastAsia"/>
          <w:lang w:val="zh-CN"/>
        </w:rPr>
        <w:t>【农村人居环境整治】</w:t>
      </w:r>
    </w:p>
    <w:p w14:paraId="5EB7DF36">
      <w:pPr>
        <w:bidi w:val="0"/>
        <w:rPr>
          <w:rFonts w:hint="eastAsia"/>
          <w:lang w:val="zh-CN"/>
        </w:rPr>
      </w:pPr>
      <w:r>
        <w:rPr>
          <w:rFonts w:hint="eastAsia"/>
          <w:lang w:val="en-US" w:eastAsia="zh-CN"/>
        </w:rPr>
        <w:t>2</w:t>
      </w:r>
      <w:r>
        <w:rPr>
          <w:rFonts w:hint="eastAsia"/>
          <w:lang w:val="zh-CN"/>
        </w:rPr>
        <w:t>018年，乌迳镇8个省定贫困村67个自然村全部组建党群理事会，完成“三清三拆”，拆除危旧房1.2万多间，面积达40多万平方米，其中8个重点村拆除危旧房6803间，面积25万平方米；20户以上自然村已进场施工的有60个，进场率90%，完成或基本完成施工的48个，完工率71.6%。13个面上村拆除危旧房4000多间，拆除面积12万平方米，完成清拆任务的65%。</w:t>
      </w:r>
    </w:p>
    <w:p w14:paraId="37F12B71">
      <w:pPr>
        <w:pStyle w:val="4"/>
        <w:bidi w:val="0"/>
        <w:rPr>
          <w:rFonts w:hint="eastAsia"/>
          <w:lang w:val="zh-CN"/>
        </w:rPr>
      </w:pPr>
      <w:r>
        <w:rPr>
          <w:rFonts w:hint="eastAsia"/>
          <w:lang w:val="zh-CN"/>
        </w:rPr>
        <w:t>【各村委会（社区）基本情况】</w:t>
      </w:r>
    </w:p>
    <w:p w14:paraId="6D74A673">
      <w:pPr>
        <w:bidi w:val="0"/>
        <w:rPr>
          <w:rFonts w:hint="eastAsia"/>
          <w:lang w:val="zh-CN"/>
        </w:rPr>
      </w:pPr>
      <w:r>
        <w:rPr>
          <w:rFonts w:hint="eastAsia"/>
          <w:b/>
          <w:bCs/>
          <w:lang w:val="zh-CN"/>
        </w:rPr>
        <w:t>迳新社区</w:t>
      </w:r>
      <w:r>
        <w:rPr>
          <w:rFonts w:hint="eastAsia"/>
          <w:b/>
          <w:bCs/>
          <w:lang w:val="en-US" w:eastAsia="zh-CN"/>
        </w:rPr>
        <w:t xml:space="preserve">   </w:t>
      </w:r>
      <w:r>
        <w:rPr>
          <w:rFonts w:hint="eastAsia"/>
          <w:lang w:val="zh-CN"/>
        </w:rPr>
        <w:t>社区3405人，现有社区“两委”干部3人，中共党员53人。</w:t>
      </w:r>
    </w:p>
    <w:p w14:paraId="0AAC0E16">
      <w:pPr>
        <w:bidi w:val="0"/>
        <w:rPr>
          <w:rFonts w:hint="eastAsia"/>
          <w:lang w:val="zh-CN"/>
        </w:rPr>
      </w:pPr>
      <w:r>
        <w:rPr>
          <w:rFonts w:hint="eastAsia"/>
          <w:b/>
          <w:bCs/>
          <w:lang w:val="zh-CN"/>
        </w:rPr>
        <w:t>白胜村</w:t>
      </w:r>
      <w:r>
        <w:rPr>
          <w:rFonts w:hint="eastAsia"/>
          <w:b/>
          <w:bCs/>
          <w:lang w:val="en-US" w:eastAsia="zh-CN"/>
        </w:rPr>
        <w:t xml:space="preserve">   </w:t>
      </w:r>
      <w:r>
        <w:rPr>
          <w:rFonts w:hint="eastAsia"/>
          <w:lang w:val="zh-CN"/>
        </w:rPr>
        <w:t>距离镇政府所在地约3.5千米，全村东邻孔江村，南邻田心村，西邻山下村，北邻鱼塘村，浈江支流穿过本村。主要森林有仙姐岩、白胜后龙山，迳口后龙山、称砣岭、车干等。主要灌溉是来自孔江水库。辖区有13个自然村，17个村小组。全村户数692户，2795人，约有600人外出务工或经商。村“两委”干部5名，计生专干1名，党员64名。全村以丘陵沙土为主，人均收入为7050元，全村山林面积883.07公顷，非林地面积646.22公顷，耕地面积225.67公顷，生态林面积236.85公顷，农民以种水稻为主，黄烟、花生、辣椒等经济作物，作为经济来源和劳务输出等。</w:t>
      </w:r>
    </w:p>
    <w:p w14:paraId="6644C131">
      <w:pPr>
        <w:bidi w:val="0"/>
        <w:rPr>
          <w:rFonts w:hint="eastAsia"/>
          <w:lang w:val="zh-CN"/>
        </w:rPr>
      </w:pPr>
      <w:r>
        <w:rPr>
          <w:rFonts w:hint="eastAsia"/>
          <w:b/>
          <w:bCs/>
          <w:lang w:val="zh-CN"/>
        </w:rPr>
        <w:t>庙前村</w:t>
      </w:r>
      <w:r>
        <w:rPr>
          <w:rFonts w:hint="eastAsia"/>
          <w:b/>
          <w:bCs/>
          <w:lang w:val="en-US" w:eastAsia="zh-CN"/>
        </w:rPr>
        <w:t xml:space="preserve">   </w:t>
      </w:r>
      <w:r>
        <w:rPr>
          <w:rFonts w:hint="eastAsia"/>
          <w:lang w:val="zh-CN"/>
        </w:rPr>
        <w:t>距圩镇7.5千米，全村林地较多，辖7个自然村（飞鹅塘村、庙前村、岗背村、孔坑村、山下村、南坑村、布谷岭村）。454户村民，1742人，其中外出务工人员262人。村“两委”干部5名，党员29名。村年人均收入为16200元。全村山林面积627.1公顷，耕地面积126.33公顷，农民以种植黄烟为主，水稻、花生、辣椒等经济作物作为经济来源和劳务输出。</w:t>
      </w:r>
    </w:p>
    <w:p w14:paraId="66DB3144">
      <w:pPr>
        <w:bidi w:val="0"/>
        <w:rPr>
          <w:rFonts w:hint="eastAsia"/>
          <w:lang w:val="zh-CN"/>
        </w:rPr>
      </w:pPr>
      <w:r>
        <w:rPr>
          <w:rFonts w:hint="eastAsia"/>
          <w:b/>
          <w:bCs/>
          <w:lang w:val="zh-CN"/>
        </w:rPr>
        <w:t>大竹村</w:t>
      </w:r>
      <w:r>
        <w:rPr>
          <w:rFonts w:hint="eastAsia"/>
          <w:b/>
          <w:bCs/>
          <w:lang w:val="en-US" w:eastAsia="zh-CN"/>
        </w:rPr>
        <w:t xml:space="preserve">   </w:t>
      </w:r>
      <w:r>
        <w:rPr>
          <w:rFonts w:hint="eastAsia"/>
          <w:lang w:val="zh-CN"/>
        </w:rPr>
        <w:t>距离乌迳镇政府8千米，下辖14个自然村（村小组），全村村小组道路都已水泥硬化，总户数383户，总人口1747人。外出务工680人，村“两委”干部4人，党员49人。大竹村行政区域面积约4.29平方千米，耕地面积119.4公顷、林地面积约1026.7公顷、水域面积约498.35公顷。人均纯收入约1.49万元，人均可支配收入5800元。集体收入8.6万元。村民收入主要靠外出务工和种植辣椒、花生、水稻、西瓜等传统作物。</w:t>
      </w:r>
    </w:p>
    <w:p w14:paraId="6B65D47D">
      <w:pPr>
        <w:bidi w:val="0"/>
        <w:rPr>
          <w:rFonts w:hint="eastAsia"/>
          <w:lang w:val="zh-CN"/>
        </w:rPr>
      </w:pPr>
      <w:r>
        <w:rPr>
          <w:rFonts w:hint="eastAsia"/>
          <w:b/>
          <w:bCs/>
          <w:lang w:val="zh-CN"/>
        </w:rPr>
        <w:t>高溯村</w:t>
      </w:r>
      <w:r>
        <w:rPr>
          <w:rFonts w:hint="eastAsia"/>
          <w:b/>
          <w:bCs/>
          <w:lang w:val="en-US" w:eastAsia="zh-CN"/>
        </w:rPr>
        <w:t xml:space="preserve">   </w:t>
      </w:r>
      <w:r>
        <w:rPr>
          <w:rFonts w:hint="eastAsia"/>
          <w:lang w:val="zh-CN"/>
        </w:rPr>
        <w:t>下辖7个自然村。全村总户数623户，2705人，党员54名，高溯村委会各辖区主要种植黄烟和优质的大米、花生、辣椒等经济作物。全村以丘陵红沙土为主，人均年收入为1.54万元，全村山林面积31.8公顷、耕地面积176.67公顷，农民以种黄烟为主，水稻、花生、辣椒等经济作物，作为经济来源和劳务输出等。</w:t>
      </w:r>
    </w:p>
    <w:p w14:paraId="46980D89">
      <w:pPr>
        <w:bidi w:val="0"/>
        <w:rPr>
          <w:rFonts w:hint="eastAsia"/>
          <w:lang w:val="zh-CN"/>
        </w:rPr>
      </w:pPr>
      <w:r>
        <w:rPr>
          <w:rFonts w:hint="eastAsia"/>
          <w:b/>
          <w:bCs/>
          <w:lang w:val="zh-CN"/>
        </w:rPr>
        <w:t>官门楼村</w:t>
      </w:r>
      <w:r>
        <w:rPr>
          <w:rFonts w:hint="eastAsia"/>
          <w:b/>
          <w:bCs/>
          <w:lang w:val="en-US" w:eastAsia="zh-CN"/>
        </w:rPr>
        <w:t xml:space="preserve">   </w:t>
      </w:r>
      <w:r>
        <w:rPr>
          <w:rFonts w:hint="eastAsia"/>
          <w:lang w:val="zh-CN"/>
        </w:rPr>
        <w:t>距离镇政府所在地约3千米，全村东邻水松村，南邻黄塘村，西邻山下村，北邻田心村，紧靠浈江河约200米。主要森林有黄木岭、官门楼村后龙山、仓子前后龙山、蠏形、老寨俚等。主要灌溉来自中坪水库。官门楼村委会辖区有5个自然村，7个村小组。村“两委”干部4名，计生专干1名，党员34名，全村505户村民，总人口1631人，约有600人外出务工或经商等。全村以丘陵红沙土为主，人均年收入为1.51万元，全村山林面积69.2公顷，耕地面积99.53公顷，农民以种黄烟为主，水稻、花生、辣椒等经济作物，作为经济来源和劳务输出等。收入来源有茶果场，茶果场面积约8公顷，每年承包费2000元；页岩砖厂毎年承包费3500元。</w:t>
      </w:r>
    </w:p>
    <w:p w14:paraId="3B9120CB">
      <w:pPr>
        <w:bidi w:val="0"/>
        <w:rPr>
          <w:rFonts w:hint="eastAsia"/>
          <w:lang w:val="zh-CN"/>
        </w:rPr>
      </w:pPr>
      <w:r>
        <w:rPr>
          <w:rFonts w:hint="eastAsia"/>
          <w:b/>
          <w:bCs/>
          <w:lang w:val="zh-CN"/>
        </w:rPr>
        <w:t>黄塘村</w:t>
      </w:r>
      <w:r>
        <w:rPr>
          <w:rFonts w:hint="eastAsia"/>
          <w:b/>
          <w:bCs/>
          <w:lang w:val="en-US" w:eastAsia="zh-CN"/>
        </w:rPr>
        <w:t xml:space="preserve">   </w:t>
      </w:r>
      <w:r>
        <w:rPr>
          <w:rFonts w:hint="eastAsia"/>
          <w:lang w:val="zh-CN"/>
        </w:rPr>
        <w:t>下辖10个自然村，毗邻江西信丰县，以种植黄烟和水稻为主，全村拥有耕地资源226.4公顷，林地约34.7公顷。总户数618户，总人口2713人。村“两委”干部5名，计生专干1名，中共党员48名。</w:t>
      </w:r>
    </w:p>
    <w:p w14:paraId="5C25C41F">
      <w:pPr>
        <w:bidi w:val="0"/>
        <w:rPr>
          <w:rFonts w:hint="eastAsia"/>
          <w:lang w:val="zh-CN"/>
        </w:rPr>
      </w:pPr>
      <w:r>
        <w:rPr>
          <w:rFonts w:hint="eastAsia"/>
          <w:b/>
          <w:bCs/>
          <w:lang w:val="zh-CN"/>
        </w:rPr>
        <w:t>孔江村</w:t>
      </w:r>
      <w:r>
        <w:rPr>
          <w:rFonts w:hint="eastAsia"/>
          <w:b/>
          <w:bCs/>
          <w:lang w:val="en-US" w:eastAsia="zh-CN"/>
        </w:rPr>
        <w:t xml:space="preserve">   </w:t>
      </w:r>
      <w:r>
        <w:rPr>
          <w:rFonts w:hint="eastAsia"/>
          <w:lang w:val="zh-CN"/>
        </w:rPr>
        <w:t>下辖16个自然村，距离镇政府所在地约8.5千米，全村东邻大竹村，南邻白胜村，西邻油山镇村，北邻兰丘村，该村水资源丰富，在沧浪、两管水、井龙、下赵岭、孔江下等地建有小型发电站。全村总户数426户村民，总人口1805人，约有470人外出务工或经商等。村“两委”干部4名，计生专干1名，中共党员58名。全村山区地带，由梯田与森林组成海拔均达600米以上，人均年收入为1.53万元。全村山林面积1426.8公顷，耕地面积135.13公顷，农民以种水稻为主，黄烟、花生、辣椒等经济作物。</w:t>
      </w:r>
    </w:p>
    <w:p w14:paraId="63F50B6F">
      <w:pPr>
        <w:bidi w:val="0"/>
        <w:rPr>
          <w:rFonts w:hint="eastAsia"/>
          <w:lang w:val="zh-CN"/>
        </w:rPr>
      </w:pPr>
      <w:r>
        <w:rPr>
          <w:rFonts w:hint="eastAsia"/>
          <w:b/>
          <w:bCs/>
          <w:lang w:val="zh-CN"/>
        </w:rPr>
        <w:t>孔塘村</w:t>
      </w:r>
      <w:r>
        <w:rPr>
          <w:rFonts w:hint="eastAsia"/>
          <w:b/>
          <w:bCs/>
          <w:lang w:val="en-US" w:eastAsia="zh-CN"/>
        </w:rPr>
        <w:t xml:space="preserve">   </w:t>
      </w:r>
      <w:r>
        <w:rPr>
          <w:rFonts w:hint="eastAsia"/>
          <w:lang w:val="zh-CN"/>
        </w:rPr>
        <w:t>距离南雄约50千米、乌迳镇政府13千米。全村520户2305人，人均可支配收入1.68万元，集体收入7.5万元。全村耕地146.47公顷、林地551.3公顷。村“两委”干部5名，中共党员49名。主导产业是黄烟、优质水稻、花生等。</w:t>
      </w:r>
    </w:p>
    <w:p w14:paraId="47C5C89A">
      <w:pPr>
        <w:bidi w:val="0"/>
        <w:rPr>
          <w:rFonts w:hint="eastAsia"/>
          <w:lang w:val="zh-CN"/>
        </w:rPr>
      </w:pPr>
      <w:r>
        <w:rPr>
          <w:rFonts w:hint="eastAsia"/>
          <w:b/>
          <w:bCs/>
          <w:lang w:val="zh-CN"/>
        </w:rPr>
        <w:t>黄洞村</w:t>
      </w:r>
      <w:r>
        <w:rPr>
          <w:rFonts w:hint="eastAsia"/>
          <w:b/>
          <w:bCs/>
          <w:lang w:val="en-US" w:eastAsia="zh-CN"/>
        </w:rPr>
        <w:t xml:space="preserve">   </w:t>
      </w:r>
      <w:r>
        <w:rPr>
          <w:rFonts w:hint="eastAsia"/>
          <w:lang w:val="zh-CN"/>
        </w:rPr>
        <w:t>辖8个自然村，离镇政府约5.5千米，离广东南雄至江西信丰省道S342线600米，全村以丘林地形地貌为主。行政区域面积420.54公顷，其中耕地面积106.47公顷、林地244.9公顷，面积10亩以上的山塘14座，自然资源丰富。总户数328户，总人口1098人，外出务工或者经商的有276人。村“两委”干部5名，计生专干1名，中共党员36名。农民以种植黄烟为主，水稻、花生、辣椒等经济作物作为经济来源和劳务输出。村民人均年收入为1.62万元。村集体年收入为3.35万元。</w:t>
      </w:r>
    </w:p>
    <w:p w14:paraId="1C1978C3">
      <w:pPr>
        <w:bidi w:val="0"/>
        <w:rPr>
          <w:rFonts w:hint="eastAsia"/>
          <w:lang w:val="zh-CN"/>
        </w:rPr>
      </w:pPr>
      <w:r>
        <w:rPr>
          <w:rFonts w:hint="eastAsia"/>
          <w:b/>
          <w:bCs/>
          <w:lang w:val="zh-CN"/>
        </w:rPr>
        <w:t>兰坵村</w:t>
      </w:r>
      <w:r>
        <w:rPr>
          <w:rFonts w:hint="eastAsia"/>
          <w:b/>
          <w:bCs/>
          <w:lang w:val="en-US" w:eastAsia="zh-CN"/>
        </w:rPr>
        <w:t xml:space="preserve">   </w:t>
      </w:r>
      <w:r>
        <w:rPr>
          <w:rFonts w:hint="eastAsia"/>
          <w:lang w:val="zh-CN"/>
        </w:rPr>
        <w:t>下辖9个自然村，距离乌迳圩17千米。全村住户有235户，人口1061人，外出务工或者经商的有361人。村“两委”干部4名，中共党员33名。行政区域面积15.38平方千米，林地面积806.4公顷，耕地面积78.07公顷。农业生产以种植水稻、花生为主，由于光照不足，农作物产量低，收入渠道主要以外出务工为主。</w:t>
      </w:r>
    </w:p>
    <w:p w14:paraId="42BE0552">
      <w:pPr>
        <w:bidi w:val="0"/>
        <w:rPr>
          <w:rFonts w:hint="eastAsia"/>
          <w:lang w:val="zh-CN"/>
        </w:rPr>
      </w:pPr>
      <w:r>
        <w:rPr>
          <w:rFonts w:hint="eastAsia"/>
          <w:b/>
          <w:bCs/>
          <w:lang w:val="zh-CN"/>
        </w:rPr>
        <w:t>龙迳村</w:t>
      </w:r>
      <w:r>
        <w:rPr>
          <w:rFonts w:hint="eastAsia"/>
          <w:b/>
          <w:bCs/>
          <w:lang w:val="en-US" w:eastAsia="zh-CN"/>
        </w:rPr>
        <w:t xml:space="preserve">   </w:t>
      </w:r>
      <w:r>
        <w:rPr>
          <w:rFonts w:hint="eastAsia"/>
          <w:lang w:val="zh-CN"/>
        </w:rPr>
        <w:t>距离镇政府6.5千米，距离324省道5.2千米。下辖5个自然村，村“两委”干部5名，党员45名。全村总户数396户，总人口1421人，劳动力869人，外出务工或经商约500余人。全村以丘陵地形地貌为主，行政区域面积2.12平方千米，土地总面积212.6公顷，其中耕地132.73公顷，林地79.4公顷。以种植黄烟、水稻、花生、辣椒等为主经济作物，作为经济来源和劳务输出等。人均年收入为1.6万元。村集体年收入6万元。</w:t>
      </w:r>
    </w:p>
    <w:p w14:paraId="6FCE057E">
      <w:pPr>
        <w:bidi w:val="0"/>
        <w:rPr>
          <w:rFonts w:hint="eastAsia"/>
          <w:lang w:val="zh-CN"/>
        </w:rPr>
      </w:pPr>
      <w:r>
        <w:rPr>
          <w:rFonts w:hint="eastAsia"/>
          <w:b/>
          <w:bCs/>
          <w:lang w:val="zh-CN"/>
        </w:rPr>
        <w:t>坪塘村</w:t>
      </w:r>
      <w:r>
        <w:rPr>
          <w:rFonts w:hint="eastAsia"/>
          <w:b/>
          <w:bCs/>
          <w:lang w:val="en-US" w:eastAsia="zh-CN"/>
        </w:rPr>
        <w:t xml:space="preserve">   </w:t>
      </w:r>
      <w:r>
        <w:rPr>
          <w:rFonts w:hint="eastAsia"/>
          <w:lang w:val="zh-CN"/>
        </w:rPr>
        <w:t>距离镇政府5.8千米，距离324省道3千米。下辖10个自然村，15个村小组，村“两委”干部5名，计生专干1名，党员32名。全村村民595户，人口2551人。常住人口1351人；常年外出务工人口666人。全村以丘陵地形为主。行政区域面积3.77平方千米，土地面积为275.57公顷，其中耕地191.07公顷。林地84.5公顷。村民人均可支配年收入1.49万元，收入主要来源依靠种植黄烟和水稻和外出务工为主。</w:t>
      </w:r>
    </w:p>
    <w:p w14:paraId="3C5B1F82">
      <w:pPr>
        <w:bidi w:val="0"/>
        <w:rPr>
          <w:rFonts w:hint="eastAsia"/>
          <w:lang w:val="zh-CN"/>
        </w:rPr>
      </w:pPr>
      <w:r>
        <w:rPr>
          <w:rFonts w:hint="eastAsia"/>
          <w:b/>
          <w:bCs/>
          <w:lang w:val="zh-CN"/>
        </w:rPr>
        <w:t>山下村</w:t>
      </w:r>
      <w:r>
        <w:rPr>
          <w:rFonts w:hint="eastAsia"/>
          <w:b/>
          <w:bCs/>
          <w:lang w:val="en-US" w:eastAsia="zh-CN"/>
        </w:rPr>
        <w:t xml:space="preserve">   </w:t>
      </w:r>
      <w:r>
        <w:rPr>
          <w:rFonts w:hint="eastAsia"/>
          <w:lang w:val="zh-CN"/>
        </w:rPr>
        <w:t>离镇政府约1.5千米。行政区域面积2.33平方千米，辖区4个自然村，568户，2226人，约有614人外出务工或经商等。全村以丘陵红沙土为主，耕地面积150.87公顷，林地43.3公顷，以种植黄烟、水稻、花生、辣椒等为主经济作物和劳务输出等。村“两委”干部5名、计生专干1名；中共党员52名。人均年收入为1.49万元。主要灌溉来源是来自孔江水库和中坪水库。</w:t>
      </w:r>
    </w:p>
    <w:p w14:paraId="4E9F8167">
      <w:pPr>
        <w:bidi w:val="0"/>
        <w:rPr>
          <w:rFonts w:hint="eastAsia"/>
          <w:lang w:val="zh-CN"/>
        </w:rPr>
      </w:pPr>
      <w:r>
        <w:rPr>
          <w:rFonts w:hint="eastAsia"/>
          <w:b/>
          <w:bCs/>
          <w:lang w:val="zh-CN"/>
        </w:rPr>
        <w:t>水松村</w:t>
      </w:r>
      <w:r>
        <w:rPr>
          <w:rFonts w:hint="eastAsia"/>
          <w:b/>
          <w:bCs/>
          <w:lang w:val="en-US" w:eastAsia="zh-CN"/>
        </w:rPr>
        <w:t xml:space="preserve">   </w:t>
      </w:r>
      <w:r>
        <w:rPr>
          <w:rFonts w:hint="eastAsia"/>
          <w:lang w:val="zh-CN"/>
        </w:rPr>
        <w:t>距圩镇约6.5千米，属于丘陵地带。有13个村民小组，总户数638户，人口2617人，外出务工或经商的有544人。全村总面积约7.85平方千米，其中耕地197.53公顷，林地229.3公顷。村“两委”干部4名，计生专干1名，中共党员57名。全村主要经济收入以外出务工收入、农作物种植和畜禽养殖为主。全村村民人均年收入为1.58万元，村集体年收入为7.48万元，无企业和工厂。</w:t>
      </w:r>
    </w:p>
    <w:p w14:paraId="4D83E50F">
      <w:pPr>
        <w:bidi w:val="0"/>
        <w:rPr>
          <w:rFonts w:hint="eastAsia"/>
          <w:lang w:val="zh-CN"/>
        </w:rPr>
      </w:pPr>
      <w:r>
        <w:rPr>
          <w:rFonts w:hint="eastAsia"/>
          <w:b/>
          <w:bCs/>
          <w:lang w:val="zh-CN"/>
        </w:rPr>
        <w:t>田心村</w:t>
      </w:r>
      <w:r>
        <w:rPr>
          <w:rFonts w:hint="eastAsia"/>
          <w:b/>
          <w:bCs/>
          <w:lang w:val="en-US" w:eastAsia="zh-CN"/>
        </w:rPr>
        <w:t xml:space="preserve">   </w:t>
      </w:r>
      <w:r>
        <w:rPr>
          <w:rFonts w:hint="eastAsia"/>
          <w:lang w:val="zh-CN"/>
        </w:rPr>
        <w:t>距离乌迳圩镇1千米。村委会下辖9个自然村，11个村小组，全村住户460户，人口2112人，村“两委”干部3名，党员40名，行政区域面积7.82平方千米，林地面积438.8公顷，耕地面积124公顷。村民以种植水稻为主，黄烟、辣椒、玉米、花生等经济作物作为经济来源和劳务输出。村年集体收入5万元，年人均收入为1.66万元。</w:t>
      </w:r>
    </w:p>
    <w:p w14:paraId="7A71EE8E">
      <w:pPr>
        <w:bidi w:val="0"/>
        <w:rPr>
          <w:rFonts w:hint="eastAsia"/>
          <w:lang w:val="zh-CN"/>
        </w:rPr>
      </w:pPr>
      <w:r>
        <w:rPr>
          <w:rFonts w:hint="eastAsia"/>
          <w:b/>
          <w:bCs/>
          <w:lang w:val="zh-CN"/>
        </w:rPr>
        <w:t>乌迳村</w:t>
      </w:r>
      <w:r>
        <w:rPr>
          <w:rFonts w:hint="eastAsia"/>
          <w:b/>
          <w:bCs/>
          <w:lang w:val="en-US" w:eastAsia="zh-CN"/>
        </w:rPr>
        <w:t xml:space="preserve">   </w:t>
      </w:r>
      <w:r>
        <w:rPr>
          <w:rFonts w:hint="eastAsia"/>
          <w:lang w:val="zh-CN"/>
        </w:rPr>
        <w:t>离镇政府约1千米。村委会辖区5个自然村，行政区域总面积3.47平方千米。全村722户，2472人，约有900人外出务工或经商等。村“两委”干部5名，计生专干1名，中共党员62名。全村以丘陵红沙土为主，耕地面积121.67公顷，其中基本农田104公顷，林地43.6公顷，主要灌溉来源来自孔江水库。以种植黄烟、水稻、花生、辣椒等为主经济作物，作为经济来源和劳务输出等，人均年收入为1.54万元。</w:t>
      </w:r>
    </w:p>
    <w:p w14:paraId="7C495CFC">
      <w:pPr>
        <w:bidi w:val="0"/>
        <w:rPr>
          <w:rFonts w:hint="eastAsia"/>
          <w:lang w:val="zh-CN"/>
        </w:rPr>
      </w:pPr>
      <w:r>
        <w:rPr>
          <w:rFonts w:hint="eastAsia"/>
          <w:b/>
          <w:bCs/>
          <w:lang w:val="zh-CN"/>
        </w:rPr>
        <w:t>鱼塘村</w:t>
      </w:r>
      <w:r>
        <w:rPr>
          <w:rFonts w:hint="eastAsia"/>
          <w:b/>
          <w:bCs/>
          <w:lang w:val="en-US" w:eastAsia="zh-CN"/>
        </w:rPr>
        <w:t xml:space="preserve">   </w:t>
      </w:r>
      <w:r>
        <w:rPr>
          <w:rFonts w:hint="eastAsia"/>
          <w:lang w:val="zh-CN"/>
        </w:rPr>
        <w:t>距离镇政府1.7千米。鱼塘村下辖16个自然村，全村614户，2451人，劳动力1183人。其中外出务工人员552人。农民以种植黄烟为主，水稻、花生、辣椒等经济作物作为经济来源和劳务输出。人均可支配1.37万元。集体收入仅靠着生态林补贴为主，村委会有666.67公顷，其中593.33公顷为农户个人所有。全村以丘陵地形地貌为主，行政区域总面积12平方千米，其中耕地179.8公顷，林地764.8公顷。全村有“三面光”水渠12千米，机耕道2千米，山塘水库8座，排灌站1座。</w:t>
      </w:r>
    </w:p>
    <w:p w14:paraId="02753F8C">
      <w:pPr>
        <w:bidi w:val="0"/>
        <w:rPr>
          <w:rFonts w:hint="eastAsia"/>
          <w:lang w:val="zh-CN"/>
        </w:rPr>
      </w:pPr>
      <w:r>
        <w:rPr>
          <w:rFonts w:hint="eastAsia"/>
          <w:b/>
          <w:bCs/>
          <w:lang w:val="zh-CN"/>
        </w:rPr>
        <w:t>长龙村</w:t>
      </w:r>
      <w:r>
        <w:rPr>
          <w:rFonts w:hint="eastAsia"/>
          <w:b/>
          <w:bCs/>
          <w:lang w:val="en-US" w:eastAsia="zh-CN"/>
        </w:rPr>
        <w:t xml:space="preserve">   </w:t>
      </w:r>
      <w:r>
        <w:rPr>
          <w:rFonts w:hint="eastAsia"/>
          <w:lang w:val="zh-CN"/>
        </w:rPr>
        <w:t>下辖10个村小组，专业合作社1个。总人口2401人，其中外出务工或者经商人员约700人。地貌以丘陵为主。行政区域面积4.64平方千米，其中耕地面积208.67公顷，林地面积126.4公顷。村民主要经济收入以黄烟、水稻、花生为主。</w:t>
      </w:r>
    </w:p>
    <w:p w14:paraId="048D8868">
      <w:pPr>
        <w:bidi w:val="0"/>
        <w:rPr>
          <w:rFonts w:hint="eastAsia"/>
          <w:lang w:val="zh-CN"/>
        </w:rPr>
      </w:pPr>
      <w:r>
        <w:rPr>
          <w:rFonts w:hint="eastAsia"/>
          <w:b/>
          <w:bCs/>
          <w:lang w:val="zh-CN"/>
        </w:rPr>
        <w:t>响联村</w:t>
      </w:r>
      <w:r>
        <w:rPr>
          <w:rFonts w:hint="eastAsia"/>
          <w:b/>
          <w:bCs/>
          <w:lang w:val="en-US" w:eastAsia="zh-CN"/>
        </w:rPr>
        <w:t xml:space="preserve">   </w:t>
      </w:r>
      <w:r>
        <w:rPr>
          <w:rFonts w:hint="eastAsia"/>
          <w:lang w:val="zh-CN"/>
        </w:rPr>
        <w:t>距离镇政府所在地约5千米，全村有5个自然村，东邻黄圹村、南邻龙迳村、西邻坪圹村、北邻新田村，主要森林有井下后龙山、上屋天禾仂、下屋上桥、大邻仂、大坑罗定坑、下桥。总户数310户，人口1332人，其中外出务工人员469人。村“两委”干部4人，计生专干1人，中共党员40人。本村黄泥、红沙土为主，全村行政区域面积4.87平方千米，其中林地111.5公顷，耕地119公顷。农民以种植黄烟、水稻、花生、辣椒等经济作物作为经济来源和劳动输出等。</w:t>
      </w:r>
    </w:p>
    <w:p w14:paraId="09B94D2A">
      <w:pPr>
        <w:bidi w:val="0"/>
        <w:rPr>
          <w:rFonts w:hint="eastAsia"/>
          <w:lang w:val="zh-CN"/>
        </w:rPr>
      </w:pPr>
      <w:r>
        <w:rPr>
          <w:rFonts w:hint="eastAsia"/>
          <w:b/>
          <w:bCs/>
          <w:lang w:val="zh-CN"/>
        </w:rPr>
        <w:t>新田村</w:t>
      </w:r>
      <w:r>
        <w:rPr>
          <w:rFonts w:hint="eastAsia"/>
          <w:b/>
          <w:bCs/>
          <w:lang w:val="en-US" w:eastAsia="zh-CN"/>
        </w:rPr>
        <w:t xml:space="preserve">   </w:t>
      </w:r>
      <w:r>
        <w:rPr>
          <w:rFonts w:hint="eastAsia"/>
          <w:lang w:val="zh-CN"/>
        </w:rPr>
        <w:t>距离镇政府1千米，下辖10个村民小组，全村562户2579人。耕地198公顷，其中水田140公顷、旱田58公顷。林地50.8公顷。村民以种植黄烟、水稻、花生等经济为主，村“两委”干部5人，计生专干1人，党员53人。新田自然村是一个千年古村落，是乌迳镇最受关注的旅游村庄。2008年被广东省评为第二批古村落、2009年评为广东省“历史文化名村”、2013年被评为“中国传统村落”，村庄旧址尚存古巷、古祠堂、古宅、古书院等古建筑，逐步形成为旅游胜地。</w:t>
      </w:r>
    </w:p>
    <w:p w14:paraId="70978283">
      <w:pPr>
        <w:bidi w:val="0"/>
        <w:rPr>
          <w:rFonts w:hint="eastAsia"/>
          <w:lang w:val="zh-CN"/>
        </w:rPr>
      </w:pPr>
      <w:r>
        <w:rPr>
          <w:rFonts w:hint="eastAsia"/>
          <w:b/>
          <w:bCs/>
          <w:lang w:val="zh-CN"/>
        </w:rPr>
        <w:t>白龙村</w:t>
      </w:r>
      <w:r>
        <w:rPr>
          <w:rFonts w:hint="eastAsia"/>
          <w:b/>
          <w:bCs/>
          <w:lang w:val="en-US" w:eastAsia="zh-CN"/>
        </w:rPr>
        <w:t xml:space="preserve">   </w:t>
      </w:r>
      <w:r>
        <w:rPr>
          <w:rFonts w:hint="eastAsia"/>
          <w:lang w:val="zh-CN"/>
        </w:rPr>
        <w:t>距离乌迳圩镇10.5千米。337县道贯穿整个白龙，往南5.5千米到南亩镇，北面有浈江河通过，东面坪田河通过，西南面南亩河通过，森林覆盖率70%，下辖9个自然村，村“两委”干部4名，支委会3人，党员35人。行政区域总面积5.68平方千米，耕地128.87公顷，其中旱地55.8公顷；山塘21口，水面约有10公顷，多数用于养鱼和农田灌溉；排灌站1座；机耕道路1.8千米；“三面光”水渠7.9千米。人均收入约1.48万元，可支配收入6200元。村集体收入10.21万元，全村的收入来源多数是外出务工，农村主要以种植水稻（米香贴）、黄烟、花生、辣椒为主。</w:t>
      </w:r>
      <w:r>
        <w:rPr>
          <w:rFonts w:hint="eastAsia"/>
          <w:b/>
          <w:bCs/>
          <w:lang w:val="zh-CN"/>
        </w:rPr>
        <w:t>（张</w:t>
      </w:r>
      <w:r>
        <w:rPr>
          <w:rFonts w:hint="eastAsia"/>
          <w:b/>
          <w:bCs/>
          <w:lang w:val="en-US" w:eastAsia="zh-CN"/>
        </w:rPr>
        <w:t xml:space="preserve">  </w:t>
      </w:r>
      <w:r>
        <w:rPr>
          <w:rFonts w:hint="eastAsia"/>
          <w:b/>
          <w:bCs/>
          <w:lang w:val="zh-CN"/>
        </w:rPr>
        <w:t>斌）</w:t>
      </w:r>
    </w:p>
    <w:p w14:paraId="0455EB2F">
      <w:pPr>
        <w:pStyle w:val="11"/>
        <w:bidi w:val="0"/>
        <w:rPr>
          <w:rFonts w:hint="eastAsia"/>
          <w:b/>
          <w:bCs/>
          <w:lang w:val="zh-CN"/>
        </w:rPr>
      </w:pPr>
      <w:r>
        <w:rPr>
          <w:rFonts w:hint="eastAsia"/>
          <w:b/>
          <w:bCs/>
          <w:lang w:val="zh-CN"/>
        </w:rPr>
        <w:t>附：2018年乌迳镇领导班子成员名单</w:t>
      </w:r>
    </w:p>
    <w:p w14:paraId="598BA1FC">
      <w:pPr>
        <w:pStyle w:val="11"/>
        <w:bidi w:val="0"/>
        <w:rPr>
          <w:rFonts w:hint="eastAsia"/>
          <w:lang w:val="zh-CN"/>
        </w:rPr>
      </w:pPr>
      <w:r>
        <w:rPr>
          <w:rFonts w:hint="eastAsia"/>
          <w:b/>
          <w:bCs/>
          <w:lang w:val="zh-CN"/>
        </w:rPr>
        <w:t>党委书记：</w:t>
      </w:r>
      <w:r>
        <w:rPr>
          <w:rFonts w:hint="eastAsia"/>
          <w:lang w:val="zh-CN"/>
        </w:rPr>
        <w:t>朱祖纯</w:t>
      </w:r>
    </w:p>
    <w:p w14:paraId="354E5374">
      <w:pPr>
        <w:pStyle w:val="11"/>
        <w:bidi w:val="0"/>
        <w:rPr>
          <w:rFonts w:hint="eastAsia"/>
          <w:lang w:val="zh-CN"/>
        </w:rPr>
      </w:pPr>
      <w:r>
        <w:rPr>
          <w:rFonts w:hint="eastAsia"/>
          <w:b/>
          <w:bCs/>
          <w:lang w:val="zh-CN"/>
        </w:rPr>
        <w:t>党委副书记、镇长：</w:t>
      </w:r>
      <w:r>
        <w:rPr>
          <w:rFonts w:hint="eastAsia"/>
          <w:lang w:val="zh-CN"/>
        </w:rPr>
        <w:t>黄得龙</w:t>
      </w:r>
    </w:p>
    <w:p w14:paraId="35866563">
      <w:pPr>
        <w:pStyle w:val="11"/>
        <w:bidi w:val="0"/>
        <w:rPr>
          <w:rFonts w:hint="eastAsia"/>
          <w:lang w:val="zh-CN"/>
        </w:rPr>
      </w:pPr>
      <w:r>
        <w:rPr>
          <w:rFonts w:hint="eastAsia"/>
          <w:b/>
          <w:bCs/>
          <w:lang w:val="zh-CN"/>
        </w:rPr>
        <w:t>人大主席：</w:t>
      </w:r>
      <w:r>
        <w:rPr>
          <w:rFonts w:hint="eastAsia"/>
          <w:lang w:val="zh-CN"/>
        </w:rPr>
        <w:t>张卫平</w:t>
      </w:r>
    </w:p>
    <w:p w14:paraId="4C1BAA2C">
      <w:pPr>
        <w:pStyle w:val="11"/>
        <w:bidi w:val="0"/>
        <w:rPr>
          <w:rFonts w:hint="eastAsia"/>
          <w:lang w:val="zh-CN"/>
        </w:rPr>
      </w:pPr>
      <w:r>
        <w:rPr>
          <w:rFonts w:hint="eastAsia"/>
          <w:b/>
          <w:bCs/>
          <w:lang w:val="zh-CN"/>
        </w:rPr>
        <w:t>党委副书记（党建）：</w:t>
      </w:r>
      <w:r>
        <w:rPr>
          <w:rFonts w:hint="eastAsia"/>
          <w:lang w:val="zh-CN"/>
        </w:rPr>
        <w:t>卢德斌</w:t>
      </w:r>
    </w:p>
    <w:p w14:paraId="2014310B">
      <w:pPr>
        <w:pStyle w:val="11"/>
        <w:bidi w:val="0"/>
        <w:rPr>
          <w:rFonts w:hint="eastAsia"/>
          <w:lang w:val="zh-CN"/>
        </w:rPr>
      </w:pPr>
      <w:r>
        <w:rPr>
          <w:rFonts w:hint="eastAsia"/>
          <w:b/>
          <w:bCs/>
          <w:lang w:val="zh-CN"/>
        </w:rPr>
        <w:t>党委副书记（综治）：</w:t>
      </w:r>
      <w:r>
        <w:rPr>
          <w:rFonts w:hint="eastAsia"/>
          <w:lang w:val="zh-CN"/>
        </w:rPr>
        <w:t>黄永红</w:t>
      </w:r>
    </w:p>
    <w:p w14:paraId="019896FF">
      <w:pPr>
        <w:pStyle w:val="11"/>
        <w:bidi w:val="0"/>
        <w:rPr>
          <w:rFonts w:hint="eastAsia"/>
          <w:lang w:val="zh-CN"/>
        </w:rPr>
      </w:pPr>
      <w:r>
        <w:rPr>
          <w:rFonts w:hint="eastAsia"/>
          <w:b/>
          <w:bCs/>
          <w:lang w:val="zh-CN"/>
        </w:rPr>
        <w:t>中心纪检组组长、纪委书记：</w:t>
      </w:r>
      <w:r>
        <w:rPr>
          <w:rFonts w:hint="eastAsia"/>
          <w:lang w:val="zh-CN"/>
        </w:rPr>
        <w:t>魏滨钦</w:t>
      </w:r>
    </w:p>
    <w:p w14:paraId="5911DEA9">
      <w:pPr>
        <w:pStyle w:val="11"/>
        <w:bidi w:val="0"/>
        <w:rPr>
          <w:rFonts w:hint="eastAsia"/>
          <w:lang w:val="zh-CN"/>
        </w:rPr>
      </w:pPr>
      <w:r>
        <w:rPr>
          <w:rFonts w:hint="eastAsia"/>
          <w:b/>
          <w:bCs/>
          <w:lang w:val="zh-CN"/>
        </w:rPr>
        <w:t>党委组织委员：</w:t>
      </w:r>
      <w:r>
        <w:rPr>
          <w:rFonts w:hint="eastAsia"/>
          <w:lang w:val="zh-CN"/>
        </w:rPr>
        <w:t>王友华</w:t>
      </w:r>
    </w:p>
    <w:p w14:paraId="61083674">
      <w:pPr>
        <w:pStyle w:val="11"/>
        <w:bidi w:val="0"/>
        <w:rPr>
          <w:rFonts w:hint="eastAsia"/>
          <w:lang w:val="zh-CN"/>
        </w:rPr>
      </w:pPr>
      <w:r>
        <w:rPr>
          <w:rFonts w:hint="eastAsia"/>
          <w:b/>
          <w:bCs/>
          <w:lang w:val="zh-CN"/>
        </w:rPr>
        <w:t>党委宣传委员：</w:t>
      </w:r>
      <w:r>
        <w:rPr>
          <w:rFonts w:hint="eastAsia"/>
          <w:lang w:val="zh-CN"/>
        </w:rPr>
        <w:t>陈映宇</w:t>
      </w:r>
    </w:p>
    <w:p w14:paraId="1D553354">
      <w:pPr>
        <w:pStyle w:val="11"/>
        <w:bidi w:val="0"/>
        <w:rPr>
          <w:rFonts w:hint="eastAsia"/>
          <w:lang w:val="zh-CN"/>
        </w:rPr>
      </w:pPr>
      <w:r>
        <w:rPr>
          <w:rFonts w:hint="eastAsia"/>
          <w:b/>
          <w:bCs/>
          <w:lang w:val="zh-CN"/>
        </w:rPr>
        <w:t>党委委员、武装部部长：</w:t>
      </w:r>
      <w:r>
        <w:rPr>
          <w:rFonts w:hint="eastAsia"/>
          <w:lang w:val="zh-CN"/>
        </w:rPr>
        <w:t>李平平</w:t>
      </w:r>
    </w:p>
    <w:p w14:paraId="35706DCB">
      <w:pPr>
        <w:pStyle w:val="11"/>
        <w:bidi w:val="0"/>
        <w:rPr>
          <w:rFonts w:hint="eastAsia"/>
          <w:lang w:val="zh-CN"/>
        </w:rPr>
      </w:pPr>
      <w:r>
        <w:rPr>
          <w:rFonts w:hint="eastAsia"/>
          <w:b/>
          <w:bCs/>
          <w:lang w:val="zh-CN"/>
        </w:rPr>
        <w:t>党委委员、副镇长：</w:t>
      </w:r>
      <w:r>
        <w:rPr>
          <w:rFonts w:hint="eastAsia"/>
          <w:lang w:val="zh-CN"/>
        </w:rPr>
        <w:t>陈于泉</w:t>
      </w:r>
    </w:p>
    <w:p w14:paraId="5264687D">
      <w:pPr>
        <w:pStyle w:val="11"/>
        <w:bidi w:val="0"/>
        <w:rPr>
          <w:rFonts w:hint="eastAsia"/>
          <w:lang w:val="zh-CN"/>
        </w:rPr>
      </w:pPr>
      <w:r>
        <w:rPr>
          <w:rFonts w:hint="eastAsia"/>
          <w:b/>
          <w:bCs/>
          <w:lang w:val="zh-CN"/>
        </w:rPr>
        <w:t>副镇长：</w:t>
      </w:r>
      <w:r>
        <w:rPr>
          <w:rFonts w:hint="eastAsia"/>
          <w:lang w:val="zh-CN"/>
        </w:rPr>
        <w:t>李小全（任至1月）</w:t>
      </w:r>
    </w:p>
    <w:p w14:paraId="0E6A98F1">
      <w:pPr>
        <w:pStyle w:val="11"/>
        <w:bidi w:val="0"/>
        <w:ind w:leftChars="400"/>
        <w:rPr>
          <w:rFonts w:hint="eastAsia"/>
          <w:lang w:val="zh-CN"/>
        </w:rPr>
      </w:pPr>
      <w:r>
        <w:rPr>
          <w:rFonts w:hint="eastAsia"/>
          <w:lang w:val="zh-CN"/>
        </w:rPr>
        <w:t>陈慧洋</w:t>
      </w:r>
      <w:r>
        <w:rPr>
          <w:rFonts w:hint="eastAsia"/>
          <w:lang w:val="en-US" w:eastAsia="zh-CN"/>
        </w:rPr>
        <w:t xml:space="preserve">   </w:t>
      </w:r>
      <w:r>
        <w:rPr>
          <w:rFonts w:hint="eastAsia"/>
          <w:lang w:val="zh-CN"/>
        </w:rPr>
        <w:t>李朝阳</w:t>
      </w:r>
    </w:p>
    <w:p w14:paraId="2E376F7C">
      <w:pPr>
        <w:pStyle w:val="11"/>
        <w:bidi w:val="0"/>
        <w:ind w:leftChars="400"/>
        <w:rPr>
          <w:rFonts w:hint="eastAsia"/>
          <w:lang w:val="zh-CN"/>
        </w:rPr>
      </w:pPr>
      <w:r>
        <w:rPr>
          <w:rFonts w:hint="eastAsia"/>
          <w:lang w:val="zh-CN"/>
        </w:rPr>
        <w:t>沈春华（3月任职）</w:t>
      </w:r>
    </w:p>
    <w:p w14:paraId="30C90757">
      <w:pPr>
        <w:pStyle w:val="3"/>
        <w:bidi w:val="0"/>
        <w:rPr>
          <w:rFonts w:hint="eastAsia"/>
          <w:lang w:val="zh-CN"/>
        </w:rPr>
      </w:pPr>
      <w:r>
        <w:rPr>
          <w:rFonts w:hint="eastAsia"/>
          <w:lang w:val="zh-CN"/>
        </w:rPr>
        <w:t>珠玑镇</w:t>
      </w:r>
    </w:p>
    <w:p w14:paraId="73E4E2DA">
      <w:pPr>
        <w:pStyle w:val="4"/>
        <w:bidi w:val="0"/>
        <w:rPr>
          <w:rFonts w:hint="eastAsia"/>
          <w:lang w:val="zh-CN"/>
        </w:rPr>
      </w:pPr>
      <w:r>
        <w:rPr>
          <w:rFonts w:hint="eastAsia"/>
          <w:lang w:val="zh-CN"/>
        </w:rPr>
        <w:t>【概况】</w:t>
      </w:r>
    </w:p>
    <w:p w14:paraId="544820FB">
      <w:pPr>
        <w:bidi w:val="0"/>
        <w:rPr>
          <w:rFonts w:hint="eastAsia"/>
          <w:lang w:val="zh-CN"/>
        </w:rPr>
      </w:pPr>
      <w:r>
        <w:rPr>
          <w:rFonts w:hint="eastAsia"/>
          <w:lang w:val="zh-CN"/>
        </w:rPr>
        <w:t>珠玑镇位于南雄市北部，距南雄市城区10千米，东接邓坊镇、湖口镇，南邻雄州镇，西通全安镇、帽子峰镇，北望江西省大余县。是广东省中心镇。珠玑交通便利，国道323线、韶赣高速公路经过珠玑，高速公路在珠玑、梅岭设置出口。珠玑名胜古迹众多，闻名遐迩的珠玑古巷、梅关古道坐落在珠玑境内。</w:t>
      </w:r>
    </w:p>
    <w:p w14:paraId="53EBA21F">
      <w:pPr>
        <w:bidi w:val="0"/>
        <w:rPr>
          <w:rFonts w:hint="eastAsia"/>
          <w:lang w:val="zh-CN"/>
        </w:rPr>
      </w:pPr>
      <w:r>
        <w:rPr>
          <w:rFonts w:hint="eastAsia"/>
          <w:lang w:val="zh-CN"/>
        </w:rPr>
        <w:t>明代属于灵潭都、修仁都；清代属于灵潭一都、灵潭二都、上北一都、修仁三都。民国17年（1928）属于第二区均平乡。民国27年（1938）改均平乡为珠玑乡。以当地名胜珠玑巷而得名。1949年后多次分并。1958年属红旗（湖口）人民公社。1962年成立珠玑人民公社。1984年改为区。1986年改为镇。2005年1月梅岭镇整体并入珠玑镇。</w:t>
      </w:r>
    </w:p>
    <w:p w14:paraId="28892142">
      <w:pPr>
        <w:bidi w:val="0"/>
        <w:rPr>
          <w:rFonts w:hint="eastAsia"/>
          <w:lang w:val="zh-CN"/>
        </w:rPr>
      </w:pPr>
      <w:r>
        <w:rPr>
          <w:rFonts w:hint="eastAsia"/>
          <w:lang w:val="zh-CN"/>
        </w:rPr>
        <w:t>珠玑镇先后获得全国重点镇、全国文明村镇、省历史文化名镇、省著名文化之乡、省民族民间艺术之乡、广东名镇、省文明镇、发现中国·魅力小城、全省休闲农业与乡村旅游示范镇、省先进基层党组织、省教育强镇、南雄榜样等荣誉称号；住建部授予广东省韶关市南雄梅关古驿道保护利用项目“中国人居环境奖”；成功申报省级现代粮食产业示范区。全镇辖区面积222.5平方千米，山林面积1.4万公顷，耕地面积2.47万公顷，辖长迳、新村、古田、聪辈、珠玑、洋湖、叟里元、上嵩、里仁、塘东、石塘、里东、灵潭、下坋、罗田、南山、祇芫、角湾、泰源、中站、梅岭、梅关22个村委会、1个居委会，256个村小组，1.08万户，4.27万人。2018年，全镇实现生产总值11.2亿元，比上年增长9.8%；农民人均纯收入1.59万元；政府财政总收入4318.53万元，固定资产投资3亿元。</w:t>
      </w:r>
    </w:p>
    <w:p w14:paraId="16065A39">
      <w:pPr>
        <w:bidi w:val="0"/>
        <w:rPr>
          <w:rFonts w:hint="eastAsia"/>
          <w:lang w:val="zh-CN"/>
        </w:rPr>
      </w:pPr>
      <w:r>
        <w:rPr>
          <w:rFonts w:hint="eastAsia"/>
          <w:lang w:val="zh-CN"/>
        </w:rPr>
        <w:t>珠玑镇历史文化底蕴深厚，旅游资源丰富。现有55处不可移动文物（省级文物保护单位4处），且保存较为完好。其中，珠玑古巷·梅关古道为国家4A级景区。此外，还有中站古城、里东戏台、鸳鸯围楼、大雄禅寺等众多历史文化旅游资源，拥有传统节日、传统手工艺和特色传统风俗类型的非物质文化遗产7个（省级1个）。</w:t>
      </w:r>
    </w:p>
    <w:p w14:paraId="16981754">
      <w:pPr>
        <w:pStyle w:val="4"/>
        <w:bidi w:val="0"/>
        <w:rPr>
          <w:rFonts w:hint="eastAsia"/>
          <w:lang w:val="zh-CN"/>
        </w:rPr>
      </w:pPr>
      <w:r>
        <w:rPr>
          <w:rFonts w:hint="eastAsia"/>
          <w:lang w:val="zh-CN"/>
        </w:rPr>
        <w:t>【经济建设】</w:t>
      </w:r>
    </w:p>
    <w:p w14:paraId="45669155">
      <w:pPr>
        <w:bidi w:val="0"/>
        <w:rPr>
          <w:rFonts w:hint="eastAsia"/>
          <w:lang w:val="zh-CN"/>
        </w:rPr>
      </w:pPr>
      <w:r>
        <w:rPr>
          <w:rFonts w:hint="eastAsia"/>
          <w:lang w:val="zh-CN"/>
        </w:rPr>
        <w:t>农业经济稳健增长，完成烟叶收购660吨。全面铺开土地预流转工作，2018年全镇流转土地200多公顷，发展稻香小龙虾、葡萄、三华李、中草药种植等特色农业。成功申报省级现代粮食产业示范区，丝苗米现代农业产业园项目被列入第三批省级现代农业产业园建设名单，“金友米露”入选首批全国“一县一品”品牌农产品名录。特色工业提质增效，彤置富水泥项目扎实推进，海伦罗曼钢琴、汇浦大健康产业园重点企业稳步发展。投资近1亿元的古田村垦造水田项目顺利竣工验收，成为全省首个竣工验收的垦造水田项目。统筹各类扶贫资金5158.57万元，实施光伏发电项目、基础设施修缮、贫困户发展种养殖业等产业扶贫项目，全面完成134户危房改造任务，2018年765户1878人实现脱贫。全镇74个自然村创建社会主义新农村示范村，申报进场施工的自然村71个，已进场施工的68个，其中31个基本完工。中国美丽休闲乡村灵潭村红色党建示范点项目基本完成，连潭区域、振兴桥、亮化工程等工程建设累计完成投资1500万元。</w:t>
      </w:r>
    </w:p>
    <w:p w14:paraId="3FE874C7">
      <w:pPr>
        <w:pStyle w:val="4"/>
        <w:bidi w:val="0"/>
        <w:rPr>
          <w:rFonts w:hint="eastAsia"/>
          <w:lang w:val="zh-CN"/>
        </w:rPr>
      </w:pPr>
      <w:r>
        <w:rPr>
          <w:rFonts w:hint="eastAsia"/>
          <w:lang w:val="zh-CN"/>
        </w:rPr>
        <w:t>【社会事业】</w:t>
      </w:r>
    </w:p>
    <w:p w14:paraId="6715A69C">
      <w:pPr>
        <w:bidi w:val="0"/>
        <w:rPr>
          <w:rFonts w:hint="eastAsia"/>
          <w:lang w:val="zh-CN"/>
        </w:rPr>
      </w:pPr>
      <w:r>
        <w:rPr>
          <w:rFonts w:hint="eastAsia"/>
          <w:lang w:val="zh-CN"/>
        </w:rPr>
        <w:t>协调解决丝苗米现代农业产业园、医药产业汇浦大健康产业园用地、用水、用电等问题，支持省农业龙头企业金友集团、特色文化产业海伦·罗曼钢琴厂、三佳村农业生态园等特色产业发展，以发展产业集群为着力点促进珠玑-雄州同城化建设。实施珠玑古巷改造提升工程，完成百姓堂施工建设。推进南粤古驿道保护修复与活化利用项目。成功协办南雄市第五届姓氏文化节、南雄市首届农民丰收节，珠玑文化小镇被列入省级特色小镇培育库。完成投资近1亿元的古田村垦造水田项目，种植优质稻63.33公顷。全面铺开土地流转工作，2018年，全镇流转土地近200公顷，发展休闲观光农业、稻香小龙虾、中草药种植等特色农业。总投资6000万元的全国建制镇示范试点项目成效明显，项目包括南雄至珠玑绿道、镇区街道沥青路面铺设等十大项目建设。投资3000万元的长迳至梅关民房风貌提升工程基本完成，完成珠玑公园、凤凰桥栈道项目建设，进一步拉大镇区框架，全面提高城镇综合承载能力。完成投资2000万元的中央专项彩票公益金项目，在里东、灵潭、角湾、中站、泰源等村实施山塘除险加固、水渠“三面光”、休闲农业观光道路、电灌站等基础设施建设。基本完成省级新农村示范片项目，项目总投资1亿元，在聪辈、里仁、石塘、里东、灵潭5个主体建设村完成道路、广场、小公园、绿化美化、污水管网、建筑立面整治和改造提升等项目建设，村容村貌焕然一新。其中灵潭村获评“2018年中国美丽休闲乡村”，并作为美丽乡村建设典型，在中央电视台焦点访谈播放。突出抓好党组织优化设置在先、党组织决策在先、党员发挥作用在先“三个在先”机制，把基层党组织锻造得更加坚强有力。在党员50人以上的行政村成立党总支，党总支委员职数由3名增加到5名，同时把农村支部（党小组）延伸至村民小组、专业合作社、“两新”基层组织等，把党组织向基层延伸，向面上覆盖。2018年全镇成立15个村党总支、63个党支部、106个党小组，村级党组织战斗力明显增强。在每个村建立集公共服务平台、办公场所、活动场所、服务群众场所于一体的党群服务中心。同时，镇党委明确凡是村级“三重一大”事项，必须先经村党组织讨论决策后方可按程序实施，镇党委还通过镇委党校、组织村党组织书记到江西全南等地学习等方式，提高村党组织书记决策能力和素质，进一步强化党组织在经济组织、群众自治组织等组织中的领导地位。此外，在全镇范围内推行“党员包户常态化保洁”制度，开展“党建带工建乡村振兴我先行”劳动竞赛，通过树典型、立标杆，进一步发挥党员先锋模范作用。</w:t>
      </w:r>
    </w:p>
    <w:p w14:paraId="176EE717">
      <w:pPr>
        <w:pStyle w:val="4"/>
        <w:bidi w:val="0"/>
        <w:rPr>
          <w:rFonts w:hint="eastAsia"/>
          <w:lang w:val="zh-CN"/>
        </w:rPr>
      </w:pPr>
      <w:r>
        <w:rPr>
          <w:rFonts w:hint="eastAsia"/>
          <w:lang w:val="zh-CN"/>
        </w:rPr>
        <w:t>【特色农业】</w:t>
      </w:r>
    </w:p>
    <w:p w14:paraId="4F531BC7">
      <w:pPr>
        <w:bidi w:val="0"/>
        <w:rPr>
          <w:rFonts w:hint="eastAsia"/>
          <w:lang w:val="zh-CN"/>
        </w:rPr>
      </w:pPr>
      <w:r>
        <w:rPr>
          <w:rFonts w:hint="eastAsia"/>
          <w:lang w:val="zh-CN"/>
        </w:rPr>
        <w:t>投资近1亿元完成古田村垦造水田项目，成为全省首个竣工验收的垦造水田项目。在里仁村创建6公顷中晚稻集中连片种植常规优质稻示范核心区。在里仁、长迳、灵潭等村创建一个60公顷相对集中连片采用“水稻专用配方肥+水稻病虫害绿色防控”示范片，预计平均亩产可达455公斤。在叟里元通过土地流转的方式租用21.33公顷水稻田，与广州共享农业科技有限公司合作，种植草莓、百香果，打造采栽、销售、深加工的生态农业园。里仁与南雄市珠玑木头种养合作社合作，流转本村10.67公顷土地种植浅水莲藕。石塘村流转本村土地16.67公顷，与三佳村合作养殖稻香小龙虾。塘东村流转村内荒坡地13.33公顷，与三佳生态农业园合作种植沃柑。里东村流转10公顷土地与南雄市芝翔本草中药材种植有限公司合作，种植鸡骨草。</w:t>
      </w:r>
    </w:p>
    <w:p w14:paraId="471F3E81">
      <w:pPr>
        <w:pStyle w:val="4"/>
        <w:bidi w:val="0"/>
        <w:rPr>
          <w:rFonts w:hint="eastAsia"/>
          <w:lang w:val="zh-CN"/>
        </w:rPr>
      </w:pPr>
      <w:r>
        <w:rPr>
          <w:rFonts w:hint="eastAsia"/>
          <w:lang w:val="zh-CN"/>
        </w:rPr>
        <w:t>【农村生活垃圾整治】</w:t>
      </w:r>
    </w:p>
    <w:p w14:paraId="58F6B3B9">
      <w:pPr>
        <w:bidi w:val="0"/>
        <w:rPr>
          <w:rFonts w:hint="eastAsia"/>
          <w:lang w:val="zh-CN"/>
        </w:rPr>
      </w:pPr>
      <w:r>
        <w:rPr>
          <w:rFonts w:hint="eastAsia"/>
          <w:lang w:val="zh-CN"/>
        </w:rPr>
        <w:t>出台《珠玑镇农村生活垃圾治理工作考核办法》，结合党员包户推进常态化保洁机制，全面推进村庄保洁工作。加强保洁员队伍建设，每个村至少聘请2名保洁员进行常态化保洁。强化北控企业环卫市场化运营管理监督，推进垃圾分类减量工作，完成建设20个自然村源头分类减量试点。开展农村垃圾专项整治活动，并成立专项督查组对专项整治工作进行专项督查。2018年珠玑镇成功创建广东省卫生镇，角湾村、灵潭村成功创建广东省卫生村，古田、叟里元、里东成功创建韶关市卫生村。2018年珠玑镇各村（居）合计收取卫生费44.91万元，新购置200个垃圾桶，新增垃圾收集点约60个。</w:t>
      </w:r>
    </w:p>
    <w:p w14:paraId="1C444B81">
      <w:pPr>
        <w:pStyle w:val="4"/>
        <w:bidi w:val="0"/>
        <w:rPr>
          <w:rFonts w:hint="eastAsia"/>
          <w:lang w:val="zh-CN"/>
        </w:rPr>
      </w:pPr>
      <w:r>
        <w:rPr>
          <w:rFonts w:hint="eastAsia"/>
          <w:lang w:val="zh-CN"/>
        </w:rPr>
        <w:t>【各村委会（社区）基本情况】</w:t>
      </w:r>
    </w:p>
    <w:p w14:paraId="3793D0FC">
      <w:pPr>
        <w:bidi w:val="0"/>
        <w:rPr>
          <w:rFonts w:hint="eastAsia"/>
          <w:lang w:val="zh-CN"/>
        </w:rPr>
      </w:pPr>
      <w:r>
        <w:rPr>
          <w:rFonts w:hint="eastAsia"/>
          <w:b/>
          <w:bCs/>
          <w:lang w:val="zh-CN"/>
        </w:rPr>
        <w:t>长迳村</w:t>
      </w:r>
      <w:r>
        <w:rPr>
          <w:rFonts w:hint="eastAsia"/>
          <w:b/>
          <w:bCs/>
          <w:lang w:val="en-US" w:eastAsia="zh-CN"/>
        </w:rPr>
        <w:t xml:space="preserve"> </w:t>
      </w:r>
      <w:r>
        <w:rPr>
          <w:rFonts w:hint="eastAsia"/>
          <w:lang w:val="en-US" w:eastAsia="zh-CN"/>
        </w:rPr>
        <w:t xml:space="preserve">  </w:t>
      </w:r>
      <w:r>
        <w:rPr>
          <w:rFonts w:hint="eastAsia"/>
          <w:lang w:val="zh-CN"/>
        </w:rPr>
        <w:t>全村下辖10个村小组，共610户，总人口2213人，外出务工人口610人。全村以丘陵地貌为主，耕地214.12公顷，林地约233.33公顷，基础设施较完善。5个村小组新农村建设初步完工，建好3个广场，6个公厕，5个污水处理池。完成公共路段路灯安装200盏，道路硬化350米。</w:t>
      </w:r>
    </w:p>
    <w:p w14:paraId="51EAAC5B">
      <w:pPr>
        <w:bidi w:val="0"/>
        <w:rPr>
          <w:rFonts w:hint="eastAsia"/>
          <w:lang w:val="zh-CN"/>
        </w:rPr>
      </w:pPr>
      <w:r>
        <w:rPr>
          <w:rFonts w:hint="eastAsia"/>
          <w:b/>
          <w:bCs/>
          <w:lang w:val="zh-CN"/>
        </w:rPr>
        <w:t>新村</w:t>
      </w:r>
      <w:r>
        <w:rPr>
          <w:rFonts w:hint="eastAsia"/>
          <w:b/>
          <w:bCs/>
          <w:lang w:val="en-US" w:eastAsia="zh-CN"/>
        </w:rPr>
        <w:t xml:space="preserve">   </w:t>
      </w:r>
      <w:r>
        <w:rPr>
          <w:rFonts w:hint="eastAsia"/>
          <w:lang w:val="zh-CN"/>
        </w:rPr>
        <w:t>距离镇政府3千米。新村是新时期精准扶贫精准脱贫省定相对贫困村，由东莞市南城街道办事处与市纪委共同帮扶。新村下辖10个自然村（10个村小组），总户数259户，总人口1119人。全村以丘陵地形地貌为主，土地总面积约403.93公顷，其中耕地约64.93公顷，林地320.8公顷，具有较丰富的林地自然资源。完成3个村小组新农村建设，建好3个污水处理池、一座机耕桥；建成“三面光”500米，道路硬化2千米；完成道路亮化工程，安装路灯40盏；居家养老中心投入使用，乌泥自来水改造竣工验收。</w:t>
      </w:r>
    </w:p>
    <w:p w14:paraId="30BD2309">
      <w:pPr>
        <w:bidi w:val="0"/>
        <w:rPr>
          <w:rFonts w:hint="eastAsia"/>
          <w:lang w:val="zh-CN"/>
        </w:rPr>
      </w:pPr>
      <w:r>
        <w:rPr>
          <w:rFonts w:hint="eastAsia"/>
          <w:b/>
          <w:bCs/>
          <w:lang w:val="zh-CN"/>
        </w:rPr>
        <w:t>古田村</w:t>
      </w:r>
      <w:r>
        <w:rPr>
          <w:rFonts w:hint="eastAsia"/>
          <w:b/>
          <w:bCs/>
          <w:lang w:val="en-US" w:eastAsia="zh-CN"/>
        </w:rPr>
        <w:t xml:space="preserve"> </w:t>
      </w:r>
      <w:r>
        <w:rPr>
          <w:rFonts w:hint="eastAsia"/>
          <w:lang w:val="en-US" w:eastAsia="zh-CN"/>
        </w:rPr>
        <w:t xml:space="preserve">  </w:t>
      </w:r>
      <w:r>
        <w:rPr>
          <w:rFonts w:hint="eastAsia"/>
          <w:lang w:val="zh-CN"/>
        </w:rPr>
        <w:t>距离镇政府3.5千米，省道、县道4千米。古田村下辖17个村小组，总户数636户，人口2490人。全村以丘陵地形地貌为主，土地总面积约337.73公顷，其中耕地约161.73公顷，林地约36.33公顷。新农村建设完成7个村小组；新建村委大楼1栋；有广场2个，公厕1个；道路亮化工程，安装路灯30盏；修建机耕道5.5千米；2018年被评为先进基层党支部；建成光伏发电58千瓦。</w:t>
      </w:r>
    </w:p>
    <w:p w14:paraId="7304B5E9">
      <w:pPr>
        <w:bidi w:val="0"/>
        <w:rPr>
          <w:rFonts w:hint="eastAsia"/>
          <w:lang w:val="zh-CN"/>
        </w:rPr>
      </w:pPr>
      <w:r>
        <w:rPr>
          <w:rFonts w:hint="eastAsia"/>
          <w:b/>
          <w:bCs/>
          <w:lang w:val="zh-CN"/>
        </w:rPr>
        <w:t>聪辈村聪</w:t>
      </w:r>
      <w:r>
        <w:rPr>
          <w:rFonts w:hint="eastAsia"/>
          <w:b/>
          <w:bCs/>
          <w:lang w:val="en-US" w:eastAsia="zh-CN"/>
        </w:rPr>
        <w:t xml:space="preserve">   </w:t>
      </w:r>
      <w:r>
        <w:rPr>
          <w:rFonts w:hint="eastAsia"/>
          <w:lang w:val="zh-CN"/>
        </w:rPr>
        <w:t>辈村距离珠玑镇政府2千米，下辖9个自然村，总户数347户，人口1548人。全村以丘陵地形地貌为主，耕地面积约78.33公顷，林地10.6公顷，水域约3.33公顷。新农村建设完成5个，建成小公园3个、广场1个、自行车骑行驿站1个、污水处理池3个、2个公厕；村级卫生站投入使用，柏油路铺设1.2千米；道路硬化1.5千米；完成立面改造100套。</w:t>
      </w:r>
    </w:p>
    <w:p w14:paraId="2CF17643">
      <w:pPr>
        <w:bidi w:val="0"/>
        <w:rPr>
          <w:rFonts w:hint="eastAsia"/>
          <w:lang w:val="zh-CN"/>
        </w:rPr>
      </w:pPr>
      <w:r>
        <w:rPr>
          <w:rFonts w:hint="eastAsia"/>
          <w:b/>
          <w:bCs/>
          <w:lang w:val="zh-CN"/>
        </w:rPr>
        <w:t>珠玑村</w:t>
      </w:r>
      <w:r>
        <w:rPr>
          <w:rFonts w:hint="eastAsia"/>
          <w:b/>
          <w:bCs/>
          <w:lang w:val="en-US" w:eastAsia="zh-CN"/>
        </w:rPr>
        <w:t xml:space="preserve">   </w:t>
      </w:r>
      <w:r>
        <w:rPr>
          <w:rFonts w:hint="eastAsia"/>
          <w:lang w:val="zh-CN"/>
        </w:rPr>
        <w:t>珠玑镇珠玑村紧靠珠玑镇墟。珠玑村下辖14个村小组，总户数610户，人口2438人，劳动力1289人，外出务工约420人。全村以丘陵地貌为主，土地总面积545.4公顷，其中耕地70公顷，林地约466.67公顷。全村基础设施较为完善，完成“三面光”水渠1.3千米；立面改造40套。</w:t>
      </w:r>
    </w:p>
    <w:p w14:paraId="2D7D9C01">
      <w:pPr>
        <w:bidi w:val="0"/>
        <w:rPr>
          <w:rFonts w:hint="eastAsia"/>
          <w:lang w:val="zh-CN"/>
        </w:rPr>
      </w:pPr>
      <w:r>
        <w:rPr>
          <w:rFonts w:hint="eastAsia"/>
          <w:b/>
          <w:bCs/>
          <w:lang w:val="zh-CN"/>
        </w:rPr>
        <w:t>洋湖村</w:t>
      </w:r>
      <w:r>
        <w:rPr>
          <w:rFonts w:hint="eastAsia"/>
          <w:b/>
          <w:bCs/>
          <w:lang w:val="en-US" w:eastAsia="zh-CN"/>
        </w:rPr>
        <w:t xml:space="preserve">   </w:t>
      </w:r>
      <w:r>
        <w:rPr>
          <w:rFonts w:hint="eastAsia"/>
          <w:lang w:val="zh-CN"/>
        </w:rPr>
        <w:t>洋湖村下辖10个村小组，全村总户数542户，总人口2420人。洋湖村位于珠玑镇南部，属红色革命老区，距离镇政府1千米，距离县城8千米，距离韶赣高速公路珠玑站2千米。全村以丘陵地形地貌为主，土地面积约439.87公顷，其中耕地80.73公顷，林地约279.13公顷。洋湖村文体事业蓬勃发展，是民间艺术之乡，传统民间艺术有舞春牛、青草狮。完成8个村小组新农村建设，建成污水处理池7个、公厕1个、小广场3个、小公园1个；道路硬化2千米。</w:t>
      </w:r>
    </w:p>
    <w:p w14:paraId="364E440D">
      <w:pPr>
        <w:bidi w:val="0"/>
        <w:rPr>
          <w:rFonts w:hint="eastAsia"/>
          <w:lang w:val="zh-CN"/>
        </w:rPr>
      </w:pPr>
      <w:r>
        <w:rPr>
          <w:rFonts w:hint="eastAsia"/>
          <w:b/>
          <w:bCs/>
          <w:lang w:val="zh-CN"/>
        </w:rPr>
        <w:t>叟里元村</w:t>
      </w:r>
      <w:r>
        <w:rPr>
          <w:rFonts w:hint="eastAsia"/>
          <w:b/>
          <w:bCs/>
          <w:lang w:val="en-US" w:eastAsia="zh-CN"/>
        </w:rPr>
        <w:t xml:space="preserve">   </w:t>
      </w:r>
      <w:r>
        <w:rPr>
          <w:rFonts w:hint="eastAsia"/>
          <w:lang w:val="zh-CN"/>
        </w:rPr>
        <w:t>位于珠玑镇西南部，全村以丘陵地貌为主，距离镇政府2.5千米，离县城13千米，耕地面积约146.67公顷，林地面积约666.67公顷，总户数718户，人口2986人，下辖29个村小组。是民间艺术之乡，传统民间艺术有99节巨龙等。道路路灯修复46盏，道路环境整治3千米；道路硬化100米；新建村级牌坊一座；建好蓄水水坝2座。</w:t>
      </w:r>
    </w:p>
    <w:p w14:paraId="0557B2F0">
      <w:pPr>
        <w:bidi w:val="0"/>
        <w:rPr>
          <w:rFonts w:hint="eastAsia"/>
          <w:lang w:val="zh-CN"/>
        </w:rPr>
      </w:pPr>
      <w:r>
        <w:rPr>
          <w:rFonts w:hint="eastAsia"/>
          <w:b/>
          <w:bCs/>
          <w:lang w:val="zh-CN"/>
        </w:rPr>
        <w:t>上嵩村</w:t>
      </w:r>
      <w:r>
        <w:rPr>
          <w:rFonts w:hint="eastAsia"/>
          <w:b/>
          <w:bCs/>
          <w:lang w:val="en-US" w:eastAsia="zh-CN"/>
        </w:rPr>
        <w:t xml:space="preserve">   </w:t>
      </w:r>
      <w:r>
        <w:rPr>
          <w:rFonts w:hint="eastAsia"/>
          <w:lang w:val="zh-CN"/>
        </w:rPr>
        <w:t>以丘陵地貌为主，距离镇15千米，全村辖管4个村小组，总户数142户，人口552人。耕地面积约48.67公顷，林地约1521.87公顷。建成“三面光”200米、水坝2座。</w:t>
      </w:r>
    </w:p>
    <w:p w14:paraId="6A68D184">
      <w:pPr>
        <w:bidi w:val="0"/>
        <w:rPr>
          <w:rFonts w:hint="eastAsia"/>
          <w:lang w:val="zh-CN"/>
        </w:rPr>
      </w:pPr>
      <w:r>
        <w:rPr>
          <w:rFonts w:hint="eastAsia"/>
          <w:b/>
          <w:bCs/>
          <w:lang w:val="zh-CN"/>
        </w:rPr>
        <w:t>里仁村</w:t>
      </w:r>
      <w:r>
        <w:rPr>
          <w:rFonts w:hint="eastAsia"/>
          <w:b/>
          <w:bCs/>
          <w:lang w:val="en-US" w:eastAsia="zh-CN"/>
        </w:rPr>
        <w:t xml:space="preserve">   </w:t>
      </w:r>
      <w:r>
        <w:rPr>
          <w:rFonts w:hint="eastAsia"/>
          <w:lang w:val="zh-CN"/>
        </w:rPr>
        <w:t>距离镇政府2千米，下辖10个村小组，全村总户数360户，总人口1583人。全村以丘陵地形地貌为主，土地总面积约115.47公顷，其中耕地78.13公顷，林地24公顷。道路铺设沥青1千米，道路硬化200米；立面改造15套，公路两旁绿化700米；新农村建设完成5个村小组，建成小广场5个、公厕3个、污水处理池1个。</w:t>
      </w:r>
    </w:p>
    <w:p w14:paraId="1901B1B9">
      <w:pPr>
        <w:bidi w:val="0"/>
        <w:rPr>
          <w:rFonts w:hint="eastAsia"/>
          <w:lang w:val="zh-CN"/>
        </w:rPr>
      </w:pPr>
      <w:r>
        <w:rPr>
          <w:rFonts w:hint="eastAsia"/>
          <w:b/>
          <w:bCs/>
          <w:lang w:val="zh-CN"/>
        </w:rPr>
        <w:t>塘东村</w:t>
      </w:r>
      <w:r>
        <w:rPr>
          <w:rFonts w:hint="eastAsia"/>
          <w:b/>
          <w:bCs/>
          <w:lang w:val="en-US" w:eastAsia="zh-CN"/>
        </w:rPr>
        <w:t xml:space="preserve">   </w:t>
      </w:r>
      <w:r>
        <w:rPr>
          <w:rFonts w:hint="eastAsia"/>
          <w:lang w:val="zh-CN"/>
        </w:rPr>
        <w:t>距离镇政府2.5千米，下辖12个村小组，总户数563户，总人口2353人，劳动力1150人。全村以丘陵地形地貌为主，土地总面积约123.33公顷，其中耕地约95.33公顷，林地28公顷。完成危房改造9套。</w:t>
      </w:r>
    </w:p>
    <w:p w14:paraId="288F1CA9">
      <w:pPr>
        <w:bidi w:val="0"/>
        <w:rPr>
          <w:rFonts w:hint="eastAsia"/>
          <w:lang w:val="zh-CN"/>
        </w:rPr>
      </w:pPr>
      <w:r>
        <w:rPr>
          <w:rFonts w:hint="eastAsia"/>
          <w:b/>
          <w:bCs/>
          <w:lang w:val="zh-CN"/>
        </w:rPr>
        <w:t>石塘村</w:t>
      </w:r>
      <w:r>
        <w:rPr>
          <w:rFonts w:hint="eastAsia"/>
          <w:b/>
          <w:bCs/>
          <w:lang w:val="en-US" w:eastAsia="zh-CN"/>
        </w:rPr>
        <w:t xml:space="preserve">   </w:t>
      </w:r>
      <w:r>
        <w:rPr>
          <w:rFonts w:hint="eastAsia"/>
          <w:lang w:val="zh-CN"/>
        </w:rPr>
        <w:t>距离镇政府约5千米，离南雄市区15千米，东接邓坊镇、湖口镇，南邻雄州镇，西通全安镇、帽子峰镇，北望江西省大余县，距离韶赣高速珠玑、梅岭出口仅5千米。石塘村下辖11个村小组，全村总户数487户，总人口1910人。全村以丘陵地形地貌为主，其中林地9535亩，耕地1370亩，其他200亩，具有丰厚水源及土地自然资源。建成“三面光”水渠15千米；完成自来水改造工程；建设机耕道5千米；完成里面改造62套。</w:t>
      </w:r>
    </w:p>
    <w:p w14:paraId="003BC579">
      <w:pPr>
        <w:bidi w:val="0"/>
        <w:rPr>
          <w:rFonts w:hint="eastAsia"/>
          <w:lang w:val="zh-CN"/>
        </w:rPr>
      </w:pPr>
      <w:r>
        <w:rPr>
          <w:rFonts w:hint="eastAsia"/>
          <w:b/>
          <w:bCs/>
          <w:lang w:val="zh-CN"/>
        </w:rPr>
        <w:t>里东村</w:t>
      </w:r>
      <w:r>
        <w:rPr>
          <w:rFonts w:hint="eastAsia"/>
          <w:b/>
          <w:bCs/>
          <w:lang w:val="en-US" w:eastAsia="zh-CN"/>
        </w:rPr>
        <w:t xml:space="preserve">   </w:t>
      </w:r>
      <w:r>
        <w:rPr>
          <w:rFonts w:hint="eastAsia"/>
          <w:lang w:val="zh-CN"/>
        </w:rPr>
        <w:t>位于珠玑镇中北方向，距离镇政府约6千米，距离南雄市区15千米，国道323线、韶赣铁路、韶赣高速从村穿过，并距离韶赣高速珠玑、梅岭出口仅5千米。里东村下辖17个村小组，全村总户数804户，总人口2831人。全村以丘陵地形地貌为主，其中林地3.7万亩，耕地2700亩，具有丰厚水源及土地自然资源。建成村级卫生站一个；观光道3.9千米；山塘除险加固6口；机耕道建设2千米；建成4个五小广场和刘屋山公园、李树桥公园。</w:t>
      </w:r>
    </w:p>
    <w:p w14:paraId="74A68F14">
      <w:pPr>
        <w:bidi w:val="0"/>
        <w:rPr>
          <w:rFonts w:hint="eastAsia"/>
          <w:lang w:val="zh-CN"/>
        </w:rPr>
      </w:pPr>
      <w:r>
        <w:rPr>
          <w:rFonts w:hint="eastAsia"/>
          <w:b/>
          <w:bCs/>
          <w:lang w:val="zh-CN"/>
        </w:rPr>
        <w:t>灵潭村</w:t>
      </w:r>
      <w:r>
        <w:rPr>
          <w:rFonts w:hint="eastAsia"/>
          <w:b/>
          <w:bCs/>
          <w:lang w:val="en-US" w:eastAsia="zh-CN"/>
        </w:rPr>
        <w:t xml:space="preserve">   </w:t>
      </w:r>
      <w:r>
        <w:rPr>
          <w:rFonts w:hint="eastAsia"/>
          <w:lang w:val="zh-CN"/>
        </w:rPr>
        <w:t>地处珠玑镇中北部，距离镇政府9千米，是革命老区村、省定重点贫困村和第三批省级新农村连片示范建设主体村。全村辖11个村小组，共518户2079人。全村以丘陵地貌为主，耕地面积97.33公顷，林地面积653.33公顷。“三清三拆”拆除面积5.28万平方米；新农村建设117户；完成槐花广场和道德讲堂建设，花槐广场项目包括新建广场、凉亭、停车场和绿化美化等内容；全村农田水利建设、中小河流整治、黄屋村小组13口池塘水体治理、4口病险山塘加固、灵潭（潭）景观建设及橡胶坝建设等工程，2018年完工并投入使用；新建桥梁3座，全村主干道铺设沥青2.85千米，拓宽路面、铺设路基、道路硬底化5.5千米；村入口至鸳鸯围河道旁、村入口老323国道至灵潭小学路段、村主干道至灵潭景观周边、公共服务中心至农家乐沿线完成绿化建设。</w:t>
      </w:r>
    </w:p>
    <w:p w14:paraId="1447402B">
      <w:pPr>
        <w:bidi w:val="0"/>
        <w:rPr>
          <w:rFonts w:hint="eastAsia"/>
          <w:lang w:val="zh-CN"/>
        </w:rPr>
      </w:pPr>
      <w:r>
        <w:rPr>
          <w:rFonts w:hint="eastAsia"/>
          <w:b/>
          <w:bCs/>
          <w:lang w:val="zh-CN"/>
        </w:rPr>
        <w:t>祇芫村</w:t>
      </w:r>
      <w:r>
        <w:rPr>
          <w:rFonts w:hint="eastAsia"/>
          <w:b/>
          <w:bCs/>
          <w:lang w:val="en-US" w:eastAsia="zh-CN"/>
        </w:rPr>
        <w:t xml:space="preserve">   </w:t>
      </w:r>
      <w:r>
        <w:rPr>
          <w:rFonts w:hint="eastAsia"/>
          <w:lang w:val="zh-CN"/>
        </w:rPr>
        <w:t>位于珠玑镇东北方向，距离镇政府15千米，距离323国道5.5千米，距梅邓县道2.2千米，距韶赣高速公路梅岭出口7.5千米。祇芫村下辖11个自然村，全村总户数489户，人口1884人。全村以丘陵地形地貌为主，土地总面积993.33公顷，其中耕地101.33公顷，林地880公顷，具有丰富的水自然资源。全村有“三面光”水渠30千米，机耕道2.2千米，山塘水库26座。建成村级卫生站、居家养老中心；道路硬化1.5千米；完成“三面光”建设3.5千米，烤烟房群10间。</w:t>
      </w:r>
    </w:p>
    <w:p w14:paraId="70A3A893">
      <w:pPr>
        <w:bidi w:val="0"/>
        <w:rPr>
          <w:rFonts w:hint="eastAsia"/>
          <w:lang w:val="zh-CN"/>
        </w:rPr>
      </w:pPr>
      <w:r>
        <w:rPr>
          <w:rFonts w:hint="eastAsia"/>
          <w:b/>
          <w:bCs/>
          <w:lang w:val="zh-CN"/>
        </w:rPr>
        <w:t>下坋村</w:t>
      </w:r>
      <w:r>
        <w:rPr>
          <w:rFonts w:hint="eastAsia"/>
          <w:b/>
          <w:bCs/>
          <w:lang w:val="en-US" w:eastAsia="zh-CN"/>
        </w:rPr>
        <w:t xml:space="preserve">   </w:t>
      </w:r>
      <w:r>
        <w:rPr>
          <w:rFonts w:hint="eastAsia"/>
          <w:lang w:val="zh-CN"/>
        </w:rPr>
        <w:t>位于珠玑镇东北方向，距离镇政府13千米，距离323国道5.5千米。下坋村村下辖6个村小组，全村总户数305户，总人口1246人，劳动力617人。全村以丘陵地形地貌为主，土地总面积105.2公顷，其中耕地50.93公顷，林地47.6公顷，其他6.67公顷。建成老人活动中心一间，解困房5套约300平方米；山塘加固2口。</w:t>
      </w:r>
    </w:p>
    <w:p w14:paraId="6C8A3E21">
      <w:pPr>
        <w:bidi w:val="0"/>
        <w:rPr>
          <w:rFonts w:hint="eastAsia"/>
          <w:lang w:val="zh-CN"/>
        </w:rPr>
      </w:pPr>
      <w:r>
        <w:rPr>
          <w:rFonts w:hint="eastAsia"/>
          <w:b/>
          <w:bCs/>
          <w:lang w:val="zh-CN"/>
        </w:rPr>
        <w:t>南山村</w:t>
      </w:r>
      <w:r>
        <w:rPr>
          <w:rFonts w:hint="eastAsia"/>
          <w:b/>
          <w:bCs/>
          <w:lang w:val="en-US" w:eastAsia="zh-CN"/>
        </w:rPr>
        <w:t xml:space="preserve">   </w:t>
      </w:r>
      <w:r>
        <w:rPr>
          <w:rFonts w:hint="eastAsia"/>
          <w:lang w:val="zh-CN"/>
        </w:rPr>
        <w:t>位于珠玑镇东北方向约10千米处。南山村下辖6个村小组，全村总户数232户，总人口860人。全村以丘陵地形地貌为主，辖区总面积2.88平方千米，耕地面积66.87公顷，山地面积138.07公顷。</w:t>
      </w:r>
    </w:p>
    <w:p w14:paraId="2A100AAC">
      <w:pPr>
        <w:bidi w:val="0"/>
        <w:rPr>
          <w:rFonts w:hint="eastAsia"/>
          <w:lang w:val="zh-CN"/>
        </w:rPr>
      </w:pPr>
      <w:r>
        <w:rPr>
          <w:rFonts w:hint="eastAsia"/>
          <w:b/>
          <w:bCs/>
          <w:lang w:val="zh-CN"/>
        </w:rPr>
        <w:t>罗田村</w:t>
      </w:r>
      <w:r>
        <w:rPr>
          <w:rFonts w:hint="eastAsia"/>
          <w:b/>
          <w:bCs/>
          <w:lang w:val="en-US" w:eastAsia="zh-CN"/>
        </w:rPr>
        <w:t xml:space="preserve">   </w:t>
      </w:r>
      <w:r>
        <w:rPr>
          <w:rFonts w:hint="eastAsia"/>
          <w:lang w:val="zh-CN"/>
        </w:rPr>
        <w:t>位于珠玑镇东北部，距离镇政府12千米。全村下辖10个村小组。全村325户，总人口1356人。全村以丘陵地貌为主，耕地面积66.67公顷，林地面积68.24公顷。完成“三面光”水渠建设400米；三塘加固一口；新建小公园一座；新罗田小学完成主体建设。</w:t>
      </w:r>
    </w:p>
    <w:p w14:paraId="001DAFBD">
      <w:pPr>
        <w:bidi w:val="0"/>
        <w:rPr>
          <w:rFonts w:hint="eastAsia"/>
          <w:lang w:val="zh-CN"/>
        </w:rPr>
      </w:pPr>
      <w:r>
        <w:rPr>
          <w:rFonts w:hint="eastAsia"/>
          <w:b/>
          <w:bCs/>
          <w:lang w:val="zh-CN"/>
        </w:rPr>
        <w:t>梅关村</w:t>
      </w:r>
      <w:r>
        <w:rPr>
          <w:rFonts w:hint="eastAsia"/>
          <w:b/>
          <w:bCs/>
          <w:lang w:val="en-US" w:eastAsia="zh-CN"/>
        </w:rPr>
        <w:t xml:space="preserve">   </w:t>
      </w:r>
      <w:r>
        <w:rPr>
          <w:rFonts w:hint="eastAsia"/>
          <w:lang w:val="zh-CN"/>
        </w:rPr>
        <w:t>地处珠玑镇北部，距南雄市32千米，与江西省大余县交界，国道G323线和乡道Y027线穿村而过。梅关村下辖9个自然村，总户数356户，总人口1526人。梅关村海拔600多米，属高寒地区，是典型山区，也是革命老区。全村土地面积1096.25公顷，其中耕地77.97公顷，林地1020公顷。清理水渠0.2千米。</w:t>
      </w:r>
    </w:p>
    <w:p w14:paraId="7AE5367C">
      <w:pPr>
        <w:bidi w:val="0"/>
        <w:rPr>
          <w:rFonts w:hint="eastAsia"/>
          <w:lang w:val="zh-CN"/>
        </w:rPr>
      </w:pPr>
      <w:r>
        <w:rPr>
          <w:rFonts w:hint="eastAsia"/>
          <w:b/>
          <w:bCs/>
          <w:lang w:val="zh-CN"/>
        </w:rPr>
        <w:t>梅岭村</w:t>
      </w:r>
      <w:r>
        <w:rPr>
          <w:rFonts w:hint="eastAsia"/>
          <w:b/>
          <w:bCs/>
          <w:lang w:val="en-US" w:eastAsia="zh-CN"/>
        </w:rPr>
        <w:t xml:space="preserve">   </w:t>
      </w:r>
      <w:r>
        <w:rPr>
          <w:rFonts w:hint="eastAsia"/>
          <w:lang w:val="zh-CN"/>
        </w:rPr>
        <w:t>革命老区，拥有梅岭、钟鼓岩等旅游资源，全村以丘陵地貌为主，山多地少。有耕地面积86.67公顷，人均0.04公顷，其中旱地33.33公顷，水田53.33公顷；林地面积800公顷。梅岭村下辖14个村小组。总人口1782人，外出务工人口900人。道路硬化1.5千米；机耕道建设0.5千米；“三面光”建设1.5千米。</w:t>
      </w:r>
    </w:p>
    <w:p w14:paraId="0C9884C4">
      <w:pPr>
        <w:bidi w:val="0"/>
        <w:rPr>
          <w:rFonts w:hint="eastAsia"/>
          <w:lang w:val="zh-CN"/>
        </w:rPr>
      </w:pPr>
      <w:r>
        <w:rPr>
          <w:rFonts w:hint="eastAsia"/>
          <w:b/>
          <w:bCs/>
          <w:lang w:val="zh-CN"/>
        </w:rPr>
        <w:t>泰源村</w:t>
      </w:r>
      <w:r>
        <w:rPr>
          <w:rFonts w:hint="eastAsia"/>
          <w:b/>
          <w:bCs/>
          <w:lang w:val="en-US" w:eastAsia="zh-CN"/>
        </w:rPr>
        <w:t xml:space="preserve">   </w:t>
      </w:r>
      <w:r>
        <w:rPr>
          <w:rFonts w:hint="eastAsia"/>
          <w:lang w:val="zh-CN"/>
        </w:rPr>
        <w:t>位于珠玑镇北面，距离镇政府15千米，临近韶赣高速梅岭出入口处，323国道经过本村。泰源村下辖15个村小组，全村总户数425户，总人口1694人。全村土地总面积733.33公顷，其中耕地61.73公顷，林地657.33公顷，其他14.67公顷。泰源村位于梅岭片的中心腹地，千年古街驿道经过本村，上接梅关古道，下接珠玑古巷，历史底蕴深厚，村里曾建有张九龄夫人庙。完成全村自来水升级改造；道路硬化2.2千米；建成文体广场一个，居家养老中心交付使用。</w:t>
      </w:r>
    </w:p>
    <w:p w14:paraId="2EE6803A">
      <w:pPr>
        <w:bidi w:val="0"/>
        <w:rPr>
          <w:rFonts w:hint="eastAsia"/>
          <w:lang w:val="zh-CN"/>
        </w:rPr>
      </w:pPr>
      <w:r>
        <w:rPr>
          <w:rFonts w:hint="eastAsia"/>
          <w:b/>
          <w:bCs/>
          <w:lang w:val="zh-CN"/>
        </w:rPr>
        <w:t>中站村</w:t>
      </w:r>
      <w:r>
        <w:rPr>
          <w:rFonts w:hint="eastAsia"/>
          <w:b/>
          <w:bCs/>
          <w:lang w:val="en-US" w:eastAsia="zh-CN"/>
        </w:rPr>
        <w:t xml:space="preserve">   </w:t>
      </w:r>
      <w:r>
        <w:rPr>
          <w:rFonts w:hint="eastAsia"/>
          <w:lang w:val="zh-CN"/>
        </w:rPr>
        <w:t>是红色革命老区村，地处珠玑镇中北部，距镇政府12千米，是国道323线、韶赣高速公路和韶赣铁路三路汇会集处。全村辖9个村小组，270户，总人口1145人。全村以丘陵地貌为主，耕地面积48.4公顷，林地面积520.67公顷。建成小公园1座、小广场一座、停车场一座；完成建设“三面光”水渠3千米。</w:t>
      </w:r>
    </w:p>
    <w:p w14:paraId="439DA450">
      <w:pPr>
        <w:bidi w:val="0"/>
        <w:rPr>
          <w:rFonts w:hint="eastAsia"/>
          <w:lang w:val="zh-CN"/>
        </w:rPr>
      </w:pPr>
      <w:r>
        <w:rPr>
          <w:rFonts w:hint="eastAsia"/>
          <w:b/>
          <w:bCs/>
          <w:lang w:val="zh-CN"/>
        </w:rPr>
        <w:t>角湾村</w:t>
      </w:r>
      <w:r>
        <w:rPr>
          <w:rFonts w:hint="eastAsia"/>
          <w:b/>
          <w:bCs/>
          <w:lang w:val="en-US" w:eastAsia="zh-CN"/>
        </w:rPr>
        <w:t xml:space="preserve">   </w:t>
      </w:r>
      <w:r>
        <w:rPr>
          <w:rFonts w:hint="eastAsia"/>
          <w:lang w:val="zh-CN"/>
        </w:rPr>
        <w:t>位于珠玑镇北部，属革命老区，距离镇政府10千米，距离县城20千米，323国道、韶赣高速公路、韶赣铁路从该村贯穿通过，距离韶赣高速公路梅岭站2千米。全村下辖9个村小组，373户1537人。全村以丘陵地貌为主，耕地面积74.53公顷，林地面积1.53万亩。建成光伏发电20千瓦时；角湾电站改造完成；道路硬化5千米；完成建设旅游观光道10千米，坝头1座，“三面光”水渠1千米。</w:t>
      </w:r>
    </w:p>
    <w:p w14:paraId="39568BAA">
      <w:pPr>
        <w:bidi w:val="0"/>
        <w:rPr>
          <w:rFonts w:hint="eastAsia"/>
          <w:lang w:val="zh-CN"/>
        </w:rPr>
      </w:pPr>
      <w:r>
        <w:rPr>
          <w:rFonts w:hint="eastAsia"/>
          <w:b/>
          <w:bCs/>
          <w:lang w:val="zh-CN"/>
        </w:rPr>
        <w:t>珠玑镇文化小镇入选省级特色小镇</w:t>
      </w:r>
      <w:r>
        <w:rPr>
          <w:rFonts w:hint="eastAsia"/>
          <w:b/>
          <w:bCs/>
          <w:lang w:val="en-US" w:eastAsia="zh-CN"/>
        </w:rPr>
        <w:t xml:space="preserve">   </w:t>
      </w:r>
      <w:r>
        <w:rPr>
          <w:rFonts w:hint="eastAsia"/>
          <w:lang w:val="zh-CN"/>
        </w:rPr>
        <w:t>11月18日，广东省发展改革委公布省级特色小镇培育库入库名单（第二批），珠玑文化小镇以深厚的人文底蕴、优越的旅游条件、良好的发展基础、先进的发展理念、清晰的目标定位、鲜明的特色产业等优势，被列入省级特色小镇培育库名单。珠玑文化小镇地处粤北地区历史文化名城和风景名胜旅游区域，是南雄市中部地区的商贸中心、农产品集散地。其中珠玑古巷是全国三大寻根地之一，被誉为“广东第一巷”；梅关古道自古是岭南第一关，为全国四大赏梅地之一。近年来，珠玑镇先后荣获“广东省历史文化名镇”“广东著名文化之乡”“全国重点镇”“全国文明村镇”“全国建制镇示范试点”等称号。根据广东省《关于加快特色小（城）镇建设的指导意见》，入库省级特色小镇培育库名单后，珠玑文化小镇将获得省级产业扶持、财政支持、土地保障、金融支持、人才支撑等政策红利，将有利于提升南雄的文化自信，推动与珠三角一体化发展，推动乡村振兴。</w:t>
      </w:r>
    </w:p>
    <w:p w14:paraId="26585999">
      <w:pPr>
        <w:bidi w:val="0"/>
        <w:rPr>
          <w:rFonts w:hint="eastAsia"/>
          <w:lang w:val="zh-CN"/>
        </w:rPr>
      </w:pPr>
      <w:r>
        <w:rPr>
          <w:rFonts w:hint="eastAsia"/>
          <w:b/>
          <w:bCs/>
          <w:lang w:val="zh-CN"/>
        </w:rPr>
        <w:t>《今日关注》聚焦灵潭村</w:t>
      </w:r>
      <w:r>
        <w:rPr>
          <w:rFonts w:hint="eastAsia"/>
          <w:b/>
          <w:bCs/>
          <w:lang w:val="en-US" w:eastAsia="zh-CN"/>
        </w:rPr>
        <w:t xml:space="preserve">  </w:t>
      </w:r>
      <w:r>
        <w:rPr>
          <w:rFonts w:hint="eastAsia"/>
          <w:lang w:val="en-US" w:eastAsia="zh-CN"/>
        </w:rPr>
        <w:t xml:space="preserve"> </w:t>
      </w:r>
      <w:r>
        <w:rPr>
          <w:rFonts w:hint="eastAsia"/>
          <w:lang w:val="zh-CN"/>
        </w:rPr>
        <w:t>3月13日，广东电视台新闻中心《今日关注》栏目组来到灵潭村，聚焦小村庄大产业，探访乡村振兴故事。栏目组拍摄的切入点是灵潭腐竹厂。灵潭村素有“腐竹之乡”美誉，2016年挂点帮扶单位为了帮助灵潭腐竹焕发新生机，引进资金在村里建起腐竹厂，2017年10月投产。灵潭腐竹从小作坊生产变成现代化工厂，村民在工厂上班，腐竹厂60%收入归村集体和贫困户所有，增加他们的收入。同时灵潭村在帮扶单位支持下发展光伏发电、农家乐、新型农业生产基地、机耕服务队等产业。通过产业扶贫，为灵潭村乡村振兴注入强劲动力，提高了村民的收入。2017年全村人均可支配收入10668元，较2016年增长20%，本村44户贫困户的收入更是翻了一番，全部脱贫出列。灵潭村通过产业带动，实现乡村振兴，让村民富裕，生活幸福。</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3646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2C9AEF3">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4265" cy="4046220"/>
                  <wp:effectExtent l="0" t="0" r="6985" b="11430"/>
                  <wp:docPr id="132" name="图片 132" descr="南雄年鉴2019_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南雄年鉴2019_0107"/>
                          <pic:cNvPicPr>
                            <a:picLocks noChangeAspect="1"/>
                          </pic:cNvPicPr>
                        </pic:nvPicPr>
                        <pic:blipFill>
                          <a:blip r:embed="rId119"/>
                          <a:stretch>
                            <a:fillRect/>
                          </a:stretch>
                        </pic:blipFill>
                        <pic:spPr>
                          <a:xfrm>
                            <a:off x="0" y="0"/>
                            <a:ext cx="6184265" cy="4046220"/>
                          </a:xfrm>
                          <a:prstGeom prst="rect">
                            <a:avLst/>
                          </a:prstGeom>
                        </pic:spPr>
                      </pic:pic>
                    </a:graphicData>
                  </a:graphic>
                </wp:inline>
              </w:drawing>
            </w:r>
          </w:p>
        </w:tc>
      </w:tr>
      <w:tr w14:paraId="78E1F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3517E26">
            <w:pPr>
              <w:bidi w:val="0"/>
              <w:rPr>
                <w:rFonts w:hint="eastAsia"/>
                <w:vertAlign w:val="baseline"/>
                <w:lang w:val="zh-CN"/>
              </w:rPr>
            </w:pPr>
            <w:r>
              <w:rPr>
                <w:rFonts w:hint="eastAsia" w:ascii="FZKTK--GBK1-0" w:hAnsi="FZKTK--GBK1-0" w:eastAsia="FZKTK--GBK1-0"/>
                <w:sz w:val="20"/>
              </w:rPr>
              <w:t>图为工人在整平刚生产出的腐竹</w:t>
            </w:r>
          </w:p>
        </w:tc>
      </w:tr>
    </w:tbl>
    <w:p w14:paraId="3EE5BF29">
      <w:pPr>
        <w:bidi w:val="0"/>
        <w:jc w:val="right"/>
        <w:rPr>
          <w:rFonts w:hint="eastAsia"/>
          <w:b/>
          <w:bCs/>
          <w:lang w:val="zh-CN"/>
        </w:rPr>
      </w:pPr>
      <w:r>
        <w:rPr>
          <w:rFonts w:hint="eastAsia"/>
          <w:b/>
          <w:bCs/>
          <w:lang w:val="zh-CN"/>
        </w:rPr>
        <w:t>（张作源）</w:t>
      </w:r>
    </w:p>
    <w:p w14:paraId="197057BD">
      <w:pPr>
        <w:pStyle w:val="11"/>
        <w:bidi w:val="0"/>
        <w:rPr>
          <w:rFonts w:hint="eastAsia"/>
          <w:b/>
          <w:bCs/>
          <w:lang w:val="zh-CN"/>
        </w:rPr>
      </w:pPr>
      <w:r>
        <w:rPr>
          <w:rFonts w:hint="eastAsia"/>
          <w:b/>
          <w:bCs/>
          <w:lang w:val="zh-CN"/>
        </w:rPr>
        <w:t>附：2018年珠玑镇领导班子成员名单</w:t>
      </w:r>
    </w:p>
    <w:p w14:paraId="26780DDA">
      <w:pPr>
        <w:pStyle w:val="11"/>
        <w:bidi w:val="0"/>
        <w:rPr>
          <w:rFonts w:hint="eastAsia"/>
          <w:lang w:val="zh-CN"/>
        </w:rPr>
      </w:pPr>
      <w:r>
        <w:rPr>
          <w:rFonts w:hint="eastAsia"/>
          <w:b/>
          <w:bCs/>
          <w:lang w:val="zh-CN"/>
        </w:rPr>
        <w:t>党委书记：</w:t>
      </w:r>
      <w:r>
        <w:rPr>
          <w:rFonts w:hint="eastAsia"/>
          <w:lang w:val="zh-CN"/>
        </w:rPr>
        <w:t>陈志光（任至9月）</w:t>
      </w:r>
    </w:p>
    <w:p w14:paraId="139D520A">
      <w:pPr>
        <w:pStyle w:val="11"/>
        <w:bidi w:val="0"/>
        <w:ind w:leftChars="500"/>
        <w:rPr>
          <w:rFonts w:hint="eastAsia"/>
          <w:lang w:val="zh-CN"/>
        </w:rPr>
      </w:pPr>
      <w:r>
        <w:rPr>
          <w:rFonts w:hint="eastAsia"/>
          <w:lang w:val="zh-CN"/>
        </w:rPr>
        <w:t>朱世平（9月任职）</w:t>
      </w:r>
    </w:p>
    <w:p w14:paraId="628255DB">
      <w:pPr>
        <w:pStyle w:val="11"/>
        <w:bidi w:val="0"/>
        <w:rPr>
          <w:rFonts w:hint="eastAsia"/>
          <w:b/>
          <w:bCs/>
          <w:lang w:val="zh-CN"/>
        </w:rPr>
      </w:pPr>
      <w:r>
        <w:rPr>
          <w:rFonts w:hint="eastAsia"/>
          <w:b/>
          <w:bCs/>
          <w:lang w:val="zh-CN"/>
        </w:rPr>
        <w:t>党委副书记、镇长：</w:t>
      </w:r>
    </w:p>
    <w:p w14:paraId="42A70613">
      <w:pPr>
        <w:pStyle w:val="11"/>
        <w:bidi w:val="0"/>
        <w:ind w:leftChars="500"/>
        <w:rPr>
          <w:rFonts w:hint="eastAsia"/>
          <w:lang w:val="zh-CN"/>
        </w:rPr>
      </w:pPr>
      <w:r>
        <w:rPr>
          <w:rFonts w:hint="eastAsia"/>
          <w:lang w:val="zh-CN"/>
        </w:rPr>
        <w:t>黄德忠（任至9月）</w:t>
      </w:r>
    </w:p>
    <w:p w14:paraId="12FE684C">
      <w:pPr>
        <w:pStyle w:val="11"/>
        <w:bidi w:val="0"/>
        <w:ind w:leftChars="500"/>
        <w:rPr>
          <w:rFonts w:hint="eastAsia"/>
          <w:lang w:val="zh-CN"/>
        </w:rPr>
      </w:pPr>
      <w:r>
        <w:rPr>
          <w:rFonts w:hint="eastAsia"/>
          <w:lang w:val="zh-CN"/>
        </w:rPr>
        <w:t>曾凌云（10月任职）</w:t>
      </w:r>
    </w:p>
    <w:p w14:paraId="45863DC0">
      <w:pPr>
        <w:pStyle w:val="11"/>
        <w:bidi w:val="0"/>
        <w:rPr>
          <w:rFonts w:hint="eastAsia"/>
          <w:lang w:val="zh-CN"/>
        </w:rPr>
      </w:pPr>
      <w:r>
        <w:rPr>
          <w:rFonts w:hint="eastAsia"/>
          <w:b/>
          <w:bCs/>
          <w:lang w:val="zh-CN"/>
        </w:rPr>
        <w:t>人大主席：</w:t>
      </w:r>
      <w:r>
        <w:rPr>
          <w:rFonts w:hint="eastAsia"/>
          <w:lang w:val="zh-CN"/>
        </w:rPr>
        <w:t>张东林</w:t>
      </w:r>
    </w:p>
    <w:p w14:paraId="369068A5">
      <w:pPr>
        <w:pStyle w:val="11"/>
        <w:bidi w:val="0"/>
        <w:rPr>
          <w:rFonts w:hint="eastAsia"/>
          <w:lang w:val="zh-CN"/>
        </w:rPr>
      </w:pPr>
      <w:r>
        <w:rPr>
          <w:rFonts w:hint="eastAsia"/>
          <w:b/>
          <w:bCs/>
          <w:lang w:val="zh-CN"/>
        </w:rPr>
        <w:t>党委副书记（党建）：</w:t>
      </w:r>
      <w:r>
        <w:rPr>
          <w:rFonts w:hint="eastAsia"/>
          <w:lang w:val="zh-CN"/>
        </w:rPr>
        <w:t>刘</w:t>
      </w:r>
      <w:r>
        <w:rPr>
          <w:rFonts w:hint="eastAsia"/>
          <w:lang w:val="en-US" w:eastAsia="zh-CN"/>
        </w:rPr>
        <w:t xml:space="preserve">  </w:t>
      </w:r>
      <w:r>
        <w:rPr>
          <w:rFonts w:hint="eastAsia"/>
          <w:lang w:val="zh-CN"/>
        </w:rPr>
        <w:t>洪</w:t>
      </w:r>
    </w:p>
    <w:p w14:paraId="2D5B9C98">
      <w:pPr>
        <w:pStyle w:val="11"/>
        <w:bidi w:val="0"/>
        <w:rPr>
          <w:rFonts w:hint="eastAsia"/>
          <w:b/>
          <w:bCs/>
          <w:lang w:val="zh-CN"/>
        </w:rPr>
      </w:pPr>
      <w:r>
        <w:rPr>
          <w:rFonts w:hint="eastAsia"/>
          <w:b/>
          <w:bCs/>
          <w:lang w:val="zh-CN"/>
        </w:rPr>
        <w:t>党委副书记（综治）：</w:t>
      </w:r>
    </w:p>
    <w:p w14:paraId="3EEB38BD">
      <w:pPr>
        <w:pStyle w:val="11"/>
        <w:bidi w:val="0"/>
        <w:ind w:leftChars="500"/>
        <w:rPr>
          <w:rFonts w:hint="eastAsia"/>
          <w:lang w:val="zh-CN"/>
        </w:rPr>
      </w:pPr>
      <w:r>
        <w:rPr>
          <w:rFonts w:hint="eastAsia"/>
          <w:lang w:val="zh-CN"/>
        </w:rPr>
        <w:t>曾凌云（任至10月）</w:t>
      </w:r>
    </w:p>
    <w:p w14:paraId="5D0D808B">
      <w:pPr>
        <w:pStyle w:val="11"/>
        <w:bidi w:val="0"/>
        <w:rPr>
          <w:rFonts w:hint="eastAsia"/>
          <w:b/>
          <w:bCs/>
          <w:lang w:val="zh-CN"/>
        </w:rPr>
      </w:pPr>
      <w:r>
        <w:rPr>
          <w:rFonts w:hint="eastAsia"/>
          <w:b/>
          <w:bCs/>
          <w:lang w:val="zh-CN"/>
        </w:rPr>
        <w:t>党委委员、纪委书记：</w:t>
      </w:r>
    </w:p>
    <w:p w14:paraId="6A8C3F5C">
      <w:pPr>
        <w:pStyle w:val="11"/>
        <w:bidi w:val="0"/>
        <w:ind w:leftChars="500"/>
        <w:rPr>
          <w:rFonts w:hint="eastAsia"/>
          <w:lang w:val="zh-CN"/>
        </w:rPr>
      </w:pPr>
      <w:r>
        <w:rPr>
          <w:rFonts w:hint="eastAsia"/>
          <w:lang w:val="zh-CN"/>
        </w:rPr>
        <w:t>李江华（1月任职）</w:t>
      </w:r>
    </w:p>
    <w:p w14:paraId="15E60C2F">
      <w:pPr>
        <w:pStyle w:val="11"/>
        <w:bidi w:val="0"/>
        <w:rPr>
          <w:rFonts w:hint="eastAsia"/>
          <w:lang w:val="zh-CN"/>
        </w:rPr>
      </w:pPr>
      <w:r>
        <w:rPr>
          <w:rFonts w:hint="eastAsia"/>
          <w:b/>
          <w:bCs/>
          <w:lang w:val="zh-CN"/>
        </w:rPr>
        <w:t>党委组织委员：</w:t>
      </w:r>
      <w:r>
        <w:rPr>
          <w:rFonts w:hint="eastAsia"/>
          <w:lang w:val="zh-CN"/>
        </w:rPr>
        <w:t>陈伦平</w:t>
      </w:r>
    </w:p>
    <w:p w14:paraId="0DB66F2C">
      <w:pPr>
        <w:pStyle w:val="11"/>
        <w:bidi w:val="0"/>
        <w:rPr>
          <w:rFonts w:hint="eastAsia"/>
          <w:lang w:val="zh-CN"/>
        </w:rPr>
      </w:pPr>
      <w:r>
        <w:rPr>
          <w:rFonts w:hint="eastAsia"/>
          <w:b/>
          <w:bCs/>
          <w:lang w:val="zh-CN"/>
        </w:rPr>
        <w:t>党委宣传委员：</w:t>
      </w:r>
      <w:r>
        <w:rPr>
          <w:rFonts w:hint="eastAsia"/>
          <w:lang w:val="zh-CN"/>
        </w:rPr>
        <w:t>杨庆敏</w:t>
      </w:r>
    </w:p>
    <w:p w14:paraId="3D2132EA">
      <w:pPr>
        <w:pStyle w:val="11"/>
        <w:bidi w:val="0"/>
        <w:rPr>
          <w:rFonts w:hint="eastAsia"/>
          <w:lang w:val="zh-CN"/>
        </w:rPr>
      </w:pPr>
      <w:r>
        <w:rPr>
          <w:rFonts w:hint="eastAsia"/>
          <w:b/>
          <w:bCs/>
          <w:lang w:val="zh-CN"/>
        </w:rPr>
        <w:t>党委委员、武装部部长：</w:t>
      </w:r>
      <w:r>
        <w:rPr>
          <w:rFonts w:hint="eastAsia"/>
          <w:lang w:val="zh-CN"/>
        </w:rPr>
        <w:t>钟全华</w:t>
      </w:r>
    </w:p>
    <w:p w14:paraId="1AE49688">
      <w:pPr>
        <w:pStyle w:val="11"/>
        <w:bidi w:val="0"/>
        <w:rPr>
          <w:rFonts w:hint="eastAsia"/>
          <w:lang w:val="zh-CN"/>
        </w:rPr>
      </w:pPr>
      <w:r>
        <w:rPr>
          <w:rFonts w:hint="eastAsia"/>
          <w:b/>
          <w:bCs/>
          <w:lang w:val="zh-CN"/>
        </w:rPr>
        <w:t>党委委员、副镇长：</w:t>
      </w:r>
      <w:r>
        <w:rPr>
          <w:rFonts w:hint="eastAsia"/>
          <w:lang w:val="zh-CN"/>
        </w:rPr>
        <w:t>吴在海</w:t>
      </w:r>
    </w:p>
    <w:p w14:paraId="1FC56DBB">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镇</w:t>
      </w:r>
      <w:r>
        <w:rPr>
          <w:rFonts w:hint="eastAsia"/>
          <w:b/>
          <w:bCs/>
          <w:lang w:val="en-US" w:eastAsia="zh-CN"/>
        </w:rPr>
        <w:t xml:space="preserve"> </w:t>
      </w:r>
      <w:r>
        <w:rPr>
          <w:rFonts w:hint="eastAsia"/>
          <w:b/>
          <w:bCs/>
          <w:lang w:val="zh-CN"/>
        </w:rPr>
        <w:t>长：</w:t>
      </w:r>
      <w:r>
        <w:rPr>
          <w:rFonts w:hint="eastAsia"/>
          <w:lang w:val="zh-CN"/>
        </w:rPr>
        <w:t>钟伦红</w:t>
      </w:r>
      <w:r>
        <w:rPr>
          <w:rFonts w:hint="eastAsia"/>
          <w:lang w:val="en-US" w:eastAsia="zh-CN"/>
        </w:rPr>
        <w:t xml:space="preserve">   </w:t>
      </w:r>
      <w:r>
        <w:rPr>
          <w:rFonts w:hint="eastAsia"/>
          <w:lang w:val="zh-CN"/>
        </w:rPr>
        <w:t>刘其斌</w:t>
      </w:r>
    </w:p>
    <w:p w14:paraId="14540E74">
      <w:pPr>
        <w:pStyle w:val="11"/>
        <w:bidi w:val="0"/>
        <w:ind w:leftChars="500"/>
        <w:rPr>
          <w:rFonts w:hint="eastAsia"/>
          <w:lang w:val="zh-CN"/>
        </w:rPr>
      </w:pPr>
      <w:r>
        <w:rPr>
          <w:rFonts w:hint="eastAsia"/>
          <w:lang w:val="zh-CN"/>
        </w:rPr>
        <w:t>邓</w:t>
      </w:r>
      <w:r>
        <w:rPr>
          <w:rFonts w:hint="eastAsia"/>
          <w:lang w:val="en-US" w:eastAsia="zh-CN"/>
        </w:rPr>
        <w:t xml:space="preserve">  </w:t>
      </w:r>
      <w:r>
        <w:rPr>
          <w:rFonts w:hint="eastAsia"/>
          <w:lang w:val="zh-CN"/>
        </w:rPr>
        <w:t>芳（3月任职）</w:t>
      </w:r>
    </w:p>
    <w:p w14:paraId="7598D14C">
      <w:pPr>
        <w:pStyle w:val="11"/>
        <w:bidi w:val="0"/>
        <w:ind w:leftChars="500"/>
        <w:rPr>
          <w:rFonts w:hint="eastAsia"/>
          <w:lang w:val="zh-CN"/>
        </w:rPr>
      </w:pPr>
      <w:r>
        <w:rPr>
          <w:rFonts w:hint="eastAsia"/>
          <w:lang w:val="zh-CN"/>
        </w:rPr>
        <w:t>李江华（任至3月）</w:t>
      </w:r>
    </w:p>
    <w:p w14:paraId="3FED9C46">
      <w:pPr>
        <w:pStyle w:val="3"/>
        <w:bidi w:val="0"/>
        <w:rPr>
          <w:rFonts w:hint="eastAsia"/>
          <w:lang w:val="zh-CN"/>
        </w:rPr>
      </w:pPr>
      <w:r>
        <w:rPr>
          <w:rFonts w:hint="eastAsia"/>
          <w:lang w:val="zh-CN"/>
        </w:rPr>
        <w:t>水口镇</w:t>
      </w:r>
    </w:p>
    <w:p w14:paraId="6C82AA72">
      <w:pPr>
        <w:pStyle w:val="4"/>
        <w:bidi w:val="0"/>
        <w:rPr>
          <w:rFonts w:hint="eastAsia"/>
          <w:lang w:val="zh-CN"/>
        </w:rPr>
      </w:pPr>
      <w:r>
        <w:rPr>
          <w:rFonts w:hint="eastAsia"/>
          <w:lang w:val="zh-CN"/>
        </w:rPr>
        <w:t>【概况】</w:t>
      </w:r>
    </w:p>
    <w:p w14:paraId="159EDF2E">
      <w:pPr>
        <w:bidi w:val="0"/>
        <w:rPr>
          <w:rFonts w:hint="eastAsia"/>
          <w:lang w:val="zh-CN"/>
        </w:rPr>
      </w:pPr>
      <w:r>
        <w:rPr>
          <w:rFonts w:hint="eastAsia"/>
          <w:lang w:val="zh-CN"/>
        </w:rPr>
        <w:t>水口镇位于南雄市东南部，属革命老区镇，是1932年发生的中央苏区保卫战——水口战役所在地。镇政府驻地水口墟，距南雄市区21千米，与本市江头、南亩、黄坑、湖口等镇及雄州街道相邻，西南面与江西省全南县接壤。辖区面积114平方千米。辖13个村委会和1个居委会；下设184个村民小组和1个居民小组。2018年总户数7597户，2.51万人，其中农业人口2万人，城镇人口5054人，城镇化率20.1%。总人口中，男性1.3万人，占51.71%；女性1.21万人，占48.29%。60岁以上4083人，占16.28%。总人口中，以汉族为主，达2.47万人，占98.6%；有畲族、壮族、瑶族、苗族、土家族、垌族、布依族、水族等8个少数民族，共347人，占1.4%。除畲族外，其他7个少数民族以外来婚进女性为主。2018年人口出生率为13.85‰，人均收入2.5万元。</w:t>
      </w:r>
    </w:p>
    <w:p w14:paraId="7CAFA27A">
      <w:pPr>
        <w:pStyle w:val="4"/>
        <w:bidi w:val="0"/>
        <w:rPr>
          <w:rFonts w:hint="eastAsia"/>
          <w:lang w:val="zh-CN"/>
        </w:rPr>
      </w:pPr>
      <w:r>
        <w:rPr>
          <w:rFonts w:hint="eastAsia"/>
          <w:lang w:val="zh-CN"/>
        </w:rPr>
        <w:t>【重点工作】</w:t>
      </w:r>
    </w:p>
    <w:p w14:paraId="12050E9C">
      <w:pPr>
        <w:bidi w:val="0"/>
        <w:rPr>
          <w:rFonts w:hint="eastAsia"/>
          <w:lang w:val="zh-CN"/>
        </w:rPr>
      </w:pPr>
      <w:r>
        <w:rPr>
          <w:rFonts w:hint="eastAsia"/>
          <w:b/>
          <w:bCs/>
          <w:lang w:val="zh-CN"/>
        </w:rPr>
        <w:t>水口战役纪念馆项目</w:t>
      </w:r>
      <w:r>
        <w:rPr>
          <w:rFonts w:hint="eastAsia"/>
          <w:b/>
          <w:bCs/>
          <w:lang w:val="en-US" w:eastAsia="zh-CN"/>
        </w:rPr>
        <w:t xml:space="preserve">   </w:t>
      </w:r>
      <w:r>
        <w:rPr>
          <w:rFonts w:hint="eastAsia"/>
          <w:lang w:val="zh-CN"/>
        </w:rPr>
        <w:t>水口战役纪念馆总建筑面积1546平方米，总投资650多万元。2018年，完成投资340万元，完成绿色建筑、园林景观、施工图纸等设计及图审、报批报建、招标、基底负一层建设。</w:t>
      </w:r>
    </w:p>
    <w:p w14:paraId="0EFD4A6E">
      <w:pPr>
        <w:bidi w:val="0"/>
        <w:rPr>
          <w:rFonts w:hint="eastAsia"/>
          <w:lang w:val="zh-CN"/>
        </w:rPr>
      </w:pPr>
      <w:r>
        <w:rPr>
          <w:rFonts w:hint="eastAsia"/>
          <w:b/>
          <w:bCs/>
          <w:lang w:val="zh-CN"/>
        </w:rPr>
        <w:t>党建示范工程水口“红色村”项目</w:t>
      </w:r>
      <w:r>
        <w:rPr>
          <w:rFonts w:hint="eastAsia"/>
          <w:b/>
          <w:bCs/>
          <w:lang w:val="en-US" w:eastAsia="zh-CN"/>
        </w:rPr>
        <w:t xml:space="preserve">   </w:t>
      </w:r>
      <w:r>
        <w:rPr>
          <w:rFonts w:hint="eastAsia"/>
          <w:lang w:val="zh-CN"/>
        </w:rPr>
        <w:t>水口村党总支大楼、水口战役公园宣传回廊、7千米220盏路灯等，预计总投资534万元。2018年完成大楼主体建设、7千米红色主题的便民路灯和水口战役公园宣传回廊开工建设。</w:t>
      </w:r>
    </w:p>
    <w:p w14:paraId="3A9994D6">
      <w:pPr>
        <w:bidi w:val="0"/>
        <w:rPr>
          <w:rFonts w:hint="eastAsia"/>
          <w:lang w:val="zh-CN"/>
        </w:rPr>
      </w:pPr>
      <w:r>
        <w:rPr>
          <w:rFonts w:hint="eastAsia"/>
          <w:b/>
          <w:bCs/>
          <w:lang w:val="zh-CN"/>
        </w:rPr>
        <w:t>农村土地确权工作</w:t>
      </w:r>
      <w:r>
        <w:rPr>
          <w:rFonts w:hint="eastAsia"/>
          <w:b/>
          <w:bCs/>
          <w:lang w:val="en-US" w:eastAsia="zh-CN"/>
        </w:rPr>
        <w:t xml:space="preserve">   </w:t>
      </w:r>
      <w:r>
        <w:rPr>
          <w:rFonts w:hint="eastAsia"/>
          <w:lang w:val="zh-CN"/>
        </w:rPr>
        <w:t>全镇土地承包农户数5335户，合同签订5626份，合同签订率达105.5%，颁证5593份，颁证率达104.8%。</w:t>
      </w:r>
    </w:p>
    <w:p w14:paraId="566493A3">
      <w:pPr>
        <w:bidi w:val="0"/>
        <w:rPr>
          <w:rFonts w:hint="eastAsia"/>
          <w:lang w:val="zh-CN"/>
        </w:rPr>
      </w:pPr>
      <w:r>
        <w:rPr>
          <w:rFonts w:hint="eastAsia"/>
          <w:b/>
          <w:bCs/>
          <w:lang w:val="zh-CN"/>
        </w:rPr>
        <w:t>中草药、淮山香芋种植项目</w:t>
      </w:r>
      <w:r>
        <w:rPr>
          <w:rFonts w:hint="eastAsia"/>
          <w:b/>
          <w:bCs/>
          <w:lang w:val="en-US" w:eastAsia="zh-CN"/>
        </w:rPr>
        <w:t xml:space="preserve">   </w:t>
      </w:r>
      <w:r>
        <w:rPr>
          <w:rFonts w:hint="eastAsia"/>
          <w:lang w:val="zh-CN"/>
        </w:rPr>
        <w:t>在篛过村投入资金4.1万元流转土地14.67公顷，采取“公司+合作社+基地+贫困户”的模式，与广西梧州制药有限公司合作发展种植中草药项目。2018年，完成第一期种植两面针中草药9.33公顷。投资70万元流转土地19.33公顷种植香芋，产量达到6000斤/亩，总收入达1.5万元/亩。</w:t>
      </w:r>
    </w:p>
    <w:p w14:paraId="5B0DF9DB">
      <w:pPr>
        <w:pStyle w:val="4"/>
        <w:bidi w:val="0"/>
        <w:rPr>
          <w:rFonts w:hint="eastAsia"/>
          <w:lang w:val="zh-CN"/>
        </w:rPr>
      </w:pPr>
      <w:r>
        <w:rPr>
          <w:rFonts w:hint="eastAsia"/>
          <w:lang w:val="zh-CN"/>
        </w:rPr>
        <w:t>【获得荣誉】</w:t>
      </w:r>
    </w:p>
    <w:p w14:paraId="4C32AB8E">
      <w:pPr>
        <w:bidi w:val="0"/>
        <w:rPr>
          <w:rFonts w:hint="eastAsia"/>
          <w:lang w:val="zh-CN"/>
        </w:rPr>
      </w:pPr>
      <w:r>
        <w:rPr>
          <w:rFonts w:hint="eastAsia"/>
          <w:lang w:val="zh-CN"/>
        </w:rPr>
        <w:t>荣获“2018年武装工作先进单位”“韶关市组织生活创新案例奖”、韶关首届“中共农民丰收节”暨首届生态农业博览会（南雄分会场）乡村趣味运动会优秀组织奖、抢种抢收接力第四名、抱瓜果接力第三名、“老区建设工作先进单位”、广东省成人教育协会“先进集体”“韶关市五星红旗团委”、工会女职工工作“先进集体”等荣誉称号。</w:t>
      </w:r>
    </w:p>
    <w:p w14:paraId="10C18D70">
      <w:pPr>
        <w:pStyle w:val="4"/>
        <w:bidi w:val="0"/>
        <w:rPr>
          <w:rFonts w:hint="eastAsia"/>
          <w:lang w:val="zh-CN"/>
        </w:rPr>
      </w:pPr>
      <w:r>
        <w:rPr>
          <w:rFonts w:hint="eastAsia"/>
          <w:lang w:val="zh-CN"/>
        </w:rPr>
        <w:t>【自然生态】</w:t>
      </w:r>
    </w:p>
    <w:p w14:paraId="220C82B9">
      <w:pPr>
        <w:bidi w:val="0"/>
        <w:rPr>
          <w:rFonts w:hint="eastAsia"/>
          <w:lang w:val="zh-CN"/>
        </w:rPr>
      </w:pPr>
      <w:r>
        <w:rPr>
          <w:rFonts w:hint="eastAsia"/>
          <w:lang w:val="zh-CN"/>
        </w:rPr>
        <w:t>水口镇地势东南高西北低。除泷头村属山区外，其余12个村属丘陵地带。地质属红色砂砾岩。属亚热带季风湿润气候，四季分明。常年平均气温20℃，年平均降雨量1345毫米左右，年平均日照1830小时，无霜期288天，浈江河穿镇而过。境内有1宗中型水库，8宗小型水库，万方以上山塘63宗，陂头、电排众多，灌溉水源充足，水利设施完善。辖区林地总面积7333.33公顷，其中生态公益林面积4333.33公顷，商品林面积3000公顷，森林覆盖率64.3%。</w:t>
      </w:r>
    </w:p>
    <w:p w14:paraId="625A0F94">
      <w:pPr>
        <w:pStyle w:val="4"/>
        <w:bidi w:val="0"/>
        <w:rPr>
          <w:rFonts w:hint="eastAsia"/>
          <w:lang w:val="zh-CN"/>
        </w:rPr>
      </w:pPr>
      <w:r>
        <w:rPr>
          <w:rFonts w:hint="eastAsia"/>
          <w:lang w:val="zh-CN"/>
        </w:rPr>
        <w:t>【传统农业】</w:t>
      </w:r>
    </w:p>
    <w:p w14:paraId="249372B4">
      <w:pPr>
        <w:bidi w:val="0"/>
        <w:rPr>
          <w:rFonts w:hint="eastAsia"/>
          <w:lang w:val="zh-CN"/>
        </w:rPr>
      </w:pPr>
      <w:r>
        <w:rPr>
          <w:rFonts w:hint="eastAsia"/>
          <w:lang w:val="zh-CN"/>
        </w:rPr>
        <w:t>2018年，烟叶种植302.27公顷，收购总量达545.6吨，收购总资金达1349.11万元，完成全年黄烟任务80.22%；水稻种植1937.33公顷，产量达1.24万吨；花生种植446.33公顷，花生产量约1707.22吨。水产业主要为鲩鱼、鲢鱼、雄鱼养殖，2018年年末，水产养殖总产量383.3吨。生猪饲养量6.1万头，出栏量5.5万头。三鸟出栏量3.5万羽。林果业主要有丛生竹、毛竹、松树、杉树、乔灌杂树和桃、柑、桔、李、梅等果树种植。</w:t>
      </w:r>
    </w:p>
    <w:p w14:paraId="4058C29B">
      <w:pPr>
        <w:pStyle w:val="4"/>
        <w:bidi w:val="0"/>
        <w:rPr>
          <w:rFonts w:hint="eastAsia"/>
          <w:lang w:val="zh-CN"/>
        </w:rPr>
      </w:pPr>
      <w:r>
        <w:rPr>
          <w:rFonts w:hint="eastAsia"/>
          <w:lang w:val="zh-CN"/>
        </w:rPr>
        <w:t>【社会事业】</w:t>
      </w:r>
    </w:p>
    <w:p w14:paraId="1B252CF4">
      <w:pPr>
        <w:bidi w:val="0"/>
        <w:rPr>
          <w:rFonts w:hint="eastAsia"/>
          <w:lang w:val="zh-CN"/>
        </w:rPr>
      </w:pPr>
      <w:r>
        <w:rPr>
          <w:rFonts w:hint="eastAsia"/>
          <w:lang w:val="zh-CN"/>
        </w:rPr>
        <w:t>2018年，为五保户、低保户、扶贫户、困难群众、低收入群众等计96户，发放医疗救助款41.05万元；为大病困难群众和低收入家庭办理临时救助5户；发放夏荒救灾大米1.4万市斤，发放五保户御寒棉被87床，慰问困难群众321人次。城乡医保缴费2.03万人，完成城乡居民基本养老保险参保总任务数，其中完成城乡居民基本养老保险16—59周岁缴费6002人，完成社保扩面金额16.38万元。</w:t>
      </w:r>
    </w:p>
    <w:p w14:paraId="2A0DB6FC">
      <w:pPr>
        <w:pStyle w:val="4"/>
        <w:bidi w:val="0"/>
        <w:rPr>
          <w:rFonts w:hint="eastAsia"/>
          <w:lang w:val="zh-CN"/>
        </w:rPr>
      </w:pPr>
      <w:r>
        <w:rPr>
          <w:rFonts w:hint="eastAsia"/>
          <w:lang w:val="zh-CN"/>
        </w:rPr>
        <w:t>【民生项目】</w:t>
      </w:r>
    </w:p>
    <w:p w14:paraId="5C96EA38">
      <w:pPr>
        <w:bidi w:val="0"/>
        <w:rPr>
          <w:rFonts w:hint="eastAsia"/>
          <w:lang w:val="zh-CN"/>
        </w:rPr>
      </w:pPr>
      <w:r>
        <w:rPr>
          <w:rFonts w:hint="eastAsia"/>
          <w:lang w:val="zh-CN"/>
        </w:rPr>
        <w:t>2018年，投入资金150万元，改造升级水口镇农贸市场，完成建设投入使用。完成农村道路硬底化工程指标23.6千米，完成沙头村道路拓宽改造和7个省定贫困村修建环村休闲村道。争取项目资金，完成篛过、群星、下湖村等3个党群服务中心改造升级，建设6个便民活动中心。宝江自来水厂成功立项为PPP项目。58个省定贫困自然村通过验收，50个自然村开工建设，24个自然村完成新农村全面建设工作，第一阶段奖补资金127万元，其中第一批非贫困村105万元，第二批非贫困村22万元，已全部拨付到各自然村。</w:t>
      </w:r>
    </w:p>
    <w:p w14:paraId="0FD5DC2B">
      <w:pPr>
        <w:pStyle w:val="4"/>
        <w:bidi w:val="0"/>
        <w:rPr>
          <w:rFonts w:hint="eastAsia"/>
          <w:lang w:val="zh-CN"/>
        </w:rPr>
      </w:pPr>
      <w:r>
        <w:rPr>
          <w:rFonts w:hint="eastAsia"/>
          <w:lang w:val="zh-CN"/>
        </w:rPr>
        <w:t>【文化教育】</w:t>
      </w:r>
    </w:p>
    <w:p w14:paraId="4515B542">
      <w:pPr>
        <w:bidi w:val="0"/>
        <w:rPr>
          <w:rFonts w:hint="eastAsia"/>
          <w:lang w:val="zh-CN"/>
        </w:rPr>
      </w:pPr>
      <w:r>
        <w:rPr>
          <w:rFonts w:hint="eastAsia"/>
          <w:lang w:val="zh-CN"/>
        </w:rPr>
        <w:t>2018年水口镇教育事业健康发展，有九年义务制学校1所，完全小学1所，小学分教点2所，幼儿园4所，成人文化技术学校1所。有中小学生1274人，专任教师100人，初中毕业生考试全科合格率达90％以上。建设13个村级综合性文化服务中心，1个镇级新时代文明实践中心。成功举办水口镇第一届全民运动会。</w:t>
      </w:r>
    </w:p>
    <w:p w14:paraId="17EF1B68">
      <w:pPr>
        <w:pStyle w:val="4"/>
        <w:bidi w:val="0"/>
        <w:rPr>
          <w:rFonts w:hint="eastAsia"/>
          <w:lang w:val="zh-CN"/>
        </w:rPr>
      </w:pPr>
      <w:r>
        <w:rPr>
          <w:rFonts w:hint="eastAsia"/>
          <w:lang w:val="zh-CN"/>
        </w:rPr>
        <w:t>【精准扶贫】</w:t>
      </w:r>
    </w:p>
    <w:p w14:paraId="76443004">
      <w:pPr>
        <w:bidi w:val="0"/>
        <w:rPr>
          <w:rFonts w:hint="eastAsia"/>
          <w:lang w:val="zh-CN"/>
        </w:rPr>
      </w:pPr>
      <w:r>
        <w:rPr>
          <w:rFonts w:hint="eastAsia"/>
          <w:lang w:val="zh-CN"/>
        </w:rPr>
        <w:t>水口镇有7个省定贫困村，6个面上非贫困村，有相对贫困户362户917人。2018年，实现贫困人口341户865人脱贫，占总贫困人口的94.3%，65户的危房改造指标全部完成并通过验收。为60户贫困户和低收入家庭实施医疗救助，为469位老人发放高龄老人生活津贴，为650人办理残疾证，其中440人享受残疾补贴和生活津贴。</w:t>
      </w:r>
    </w:p>
    <w:p w14:paraId="78D01971">
      <w:pPr>
        <w:pStyle w:val="4"/>
        <w:bidi w:val="0"/>
        <w:rPr>
          <w:rFonts w:hint="eastAsia"/>
          <w:lang w:val="zh-CN"/>
        </w:rPr>
      </w:pPr>
      <w:r>
        <w:rPr>
          <w:rFonts w:hint="eastAsia"/>
          <w:lang w:val="zh-CN"/>
        </w:rPr>
        <w:t>【卫生健康】</w:t>
      </w:r>
    </w:p>
    <w:p w14:paraId="6A57F242">
      <w:pPr>
        <w:bidi w:val="0"/>
        <w:rPr>
          <w:rFonts w:hint="eastAsia"/>
          <w:lang w:val="zh-CN"/>
        </w:rPr>
      </w:pPr>
      <w:r>
        <w:rPr>
          <w:rFonts w:hint="eastAsia"/>
          <w:lang w:val="zh-CN"/>
        </w:rPr>
        <w:t>2018年，全面实施二孩政策，促进人口均衡发展。生育服务一孩证办理107人，二孩证办理137人，再生育办理15人，全年生育352人，符合政策生育率90.63%，出生率13.85‰，发放计划生育家庭奖励扶助资金5.42万元。医疗救助贫困群众417人次，提供自费部分医疗救助5.99万元。完成7个卫生站规范化建设。农村全域自然村保洁市场化运作全面启动。</w:t>
      </w:r>
    </w:p>
    <w:p w14:paraId="36A45D4C">
      <w:pPr>
        <w:pStyle w:val="4"/>
        <w:bidi w:val="0"/>
        <w:rPr>
          <w:rFonts w:hint="eastAsia"/>
          <w:lang w:val="zh-CN"/>
        </w:rPr>
      </w:pPr>
      <w:r>
        <w:rPr>
          <w:rFonts w:hint="eastAsia"/>
          <w:lang w:val="zh-CN"/>
        </w:rPr>
        <w:t>【生态建设】</w:t>
      </w:r>
    </w:p>
    <w:p w14:paraId="5C08C2B4">
      <w:pPr>
        <w:bidi w:val="0"/>
        <w:rPr>
          <w:rFonts w:hint="eastAsia"/>
          <w:lang w:val="zh-CN"/>
        </w:rPr>
      </w:pPr>
      <w:r>
        <w:rPr>
          <w:rFonts w:hint="eastAsia"/>
          <w:lang w:val="zh-CN"/>
        </w:rPr>
        <w:t>2018年，推进山权林权流转，全年完成有林地造林面积77.33公顷，种植树苗3000余株，未成林抚育面积1240公顷，辖区林地总面积达7333.33公顷，森林覆盖率达64.3%，生态公益林补偿资金发放率达94.1%。依法划定禁养区、限养区范围，实现全域零新增污染养殖场，新建生活污水管网9千米。推行“河长制”，完成中央第五环保督察组交办的环保案件整改。</w:t>
      </w:r>
    </w:p>
    <w:p w14:paraId="671E7BCE">
      <w:pPr>
        <w:pStyle w:val="4"/>
        <w:bidi w:val="0"/>
        <w:rPr>
          <w:rFonts w:hint="eastAsia"/>
          <w:lang w:val="zh-CN"/>
        </w:rPr>
      </w:pPr>
      <w:r>
        <w:rPr>
          <w:rFonts w:hint="eastAsia"/>
          <w:lang w:val="zh-CN"/>
        </w:rPr>
        <w:t>【基层治理】</w:t>
      </w:r>
    </w:p>
    <w:p w14:paraId="7EDFB792">
      <w:pPr>
        <w:bidi w:val="0"/>
        <w:rPr>
          <w:rFonts w:hint="eastAsia"/>
          <w:lang w:val="zh-CN"/>
        </w:rPr>
      </w:pPr>
      <w:r>
        <w:rPr>
          <w:rFonts w:hint="eastAsia"/>
          <w:lang w:val="zh-CN"/>
        </w:rPr>
        <w:t>全面开展扫黑除恶专项斗争工作，报送扫黑除恶线索7条；联合市公安局、水务局开展打击整治盗挖河砂专项行动，依法打击取缔7处盗采河砂点，转运非法盗挖河砂7500立方米。投入资金29.53万元，完成篛过、下湖、群星、泷头等4个省定贫困村“雪亮工程”建设。排查矛盾纠纷150起，调处成功149起，调解率99.3%；受理信访案件16起，全部办结，办结率达100%。全镇排除安全隐患16处，农村道路安全隐患排查15处，一般隐患整治率100%，无重大安全事故发生。</w:t>
      </w:r>
    </w:p>
    <w:p w14:paraId="4DF8CE01">
      <w:pPr>
        <w:pStyle w:val="4"/>
        <w:bidi w:val="0"/>
        <w:rPr>
          <w:rFonts w:hint="eastAsia"/>
          <w:lang w:val="zh-CN"/>
        </w:rPr>
      </w:pPr>
      <w:r>
        <w:rPr>
          <w:rFonts w:hint="eastAsia"/>
          <w:lang w:val="zh-CN"/>
        </w:rPr>
        <w:t>【各村委会（社区）基本情况】</w:t>
      </w:r>
    </w:p>
    <w:p w14:paraId="7FB0C2A0">
      <w:pPr>
        <w:bidi w:val="0"/>
        <w:rPr>
          <w:rFonts w:hint="eastAsia"/>
          <w:lang w:val="zh-CN"/>
        </w:rPr>
      </w:pPr>
      <w:r>
        <w:rPr>
          <w:rFonts w:hint="eastAsia"/>
          <w:b/>
          <w:bCs/>
          <w:lang w:val="zh-CN"/>
        </w:rPr>
        <w:t>云西村</w:t>
      </w:r>
      <w:r>
        <w:rPr>
          <w:rFonts w:hint="eastAsia"/>
          <w:b/>
          <w:bCs/>
          <w:lang w:val="en-US" w:eastAsia="zh-CN"/>
        </w:rPr>
        <w:t xml:space="preserve">   </w:t>
      </w:r>
      <w:r>
        <w:rPr>
          <w:rFonts w:hint="eastAsia"/>
          <w:lang w:val="zh-CN"/>
        </w:rPr>
        <w:t>位于水口镇东北部。全村耕地1683.37亩，林地8348亩，辖17个村民小组，1056人，村“两委”干部4人，计生专干1人，党员39人。全村主要产业以农业为主，主要经济作物有黄烟、水稻、花生等。2018年村集体收入5万元，人均收入1.1万元。</w:t>
      </w:r>
    </w:p>
    <w:p w14:paraId="71371E76">
      <w:pPr>
        <w:bidi w:val="0"/>
        <w:rPr>
          <w:rFonts w:hint="eastAsia"/>
          <w:lang w:val="zh-CN"/>
        </w:rPr>
      </w:pPr>
      <w:r>
        <w:rPr>
          <w:rFonts w:hint="eastAsia"/>
          <w:b/>
          <w:bCs/>
          <w:lang w:val="zh-CN"/>
        </w:rPr>
        <w:t>篛过村</w:t>
      </w:r>
      <w:r>
        <w:rPr>
          <w:rFonts w:hint="eastAsia"/>
          <w:b/>
          <w:bCs/>
          <w:lang w:val="en-US" w:eastAsia="zh-CN"/>
        </w:rPr>
        <w:t xml:space="preserve">   </w:t>
      </w:r>
      <w:r>
        <w:rPr>
          <w:rFonts w:hint="eastAsia"/>
          <w:lang w:val="zh-CN"/>
        </w:rPr>
        <w:t>位于水口镇东北部，是革命老区村，被广东省文联认定为“第四批广东省古村落（客家地区）”。全村耕地459.67公顷，林地276.67公顷，辖18个村民小组，共2234人，有村“两委”干部5人，计生专干1人，党员51人。全村主要产业以农业为主，主要种植有黄烟、水稻、花生等。2018年村集体收入5.6万元，人均收入1.23万元。</w:t>
      </w:r>
    </w:p>
    <w:p w14:paraId="1977ED9B">
      <w:pPr>
        <w:bidi w:val="0"/>
        <w:rPr>
          <w:rFonts w:hint="eastAsia"/>
          <w:lang w:val="zh-CN"/>
        </w:rPr>
      </w:pPr>
      <w:r>
        <w:rPr>
          <w:rFonts w:hint="eastAsia"/>
          <w:b/>
          <w:bCs/>
          <w:lang w:val="zh-CN"/>
        </w:rPr>
        <w:t>水口村</w:t>
      </w:r>
      <w:r>
        <w:rPr>
          <w:rFonts w:hint="eastAsia"/>
          <w:b/>
          <w:bCs/>
          <w:lang w:val="en-US" w:eastAsia="zh-CN"/>
        </w:rPr>
        <w:t xml:space="preserve">   </w:t>
      </w:r>
      <w:r>
        <w:rPr>
          <w:rFonts w:hint="eastAsia"/>
          <w:lang w:val="zh-CN"/>
        </w:rPr>
        <w:t>位于水口镇中心，是革命老区村。全村总面积约5平方千米，耕地352.67公顷，林地1029.13公顷，辖30个村民小组，共3729人，有村“两委”干部6人，计生专干1人，党员87人。全村主要产业以农业为主，主要种植有黄烟、水稻、花生等。2018年村集体收入4.5万元，人均收入1.2万元。</w:t>
      </w:r>
    </w:p>
    <w:p w14:paraId="29E2962C">
      <w:pPr>
        <w:bidi w:val="0"/>
        <w:rPr>
          <w:rFonts w:hint="eastAsia"/>
          <w:lang w:val="zh-CN"/>
        </w:rPr>
      </w:pPr>
      <w:r>
        <w:rPr>
          <w:rFonts w:hint="eastAsia"/>
          <w:b/>
          <w:bCs/>
          <w:lang w:val="zh-CN"/>
        </w:rPr>
        <w:t>大部村</w:t>
      </w:r>
      <w:r>
        <w:rPr>
          <w:rFonts w:hint="eastAsia"/>
          <w:b/>
          <w:bCs/>
          <w:lang w:val="en-US" w:eastAsia="zh-CN"/>
        </w:rPr>
        <w:t xml:space="preserve">   </w:t>
      </w:r>
      <w:r>
        <w:rPr>
          <w:rFonts w:hint="eastAsia"/>
          <w:lang w:val="zh-CN"/>
        </w:rPr>
        <w:t>位于水口镇北部，是革命老区村。全村耕地223.33公顷，林地176.67公顷，辖16个村民小组，2481人，有村“两委”干部6人，计生专干1人，党员80人。全村主要产业以农业为主，主要种植有黄烟、水稻、花生等。2018年村集体收入5.5万元，人均收入1.12万元。</w:t>
      </w:r>
    </w:p>
    <w:p w14:paraId="25ACA110">
      <w:pPr>
        <w:bidi w:val="0"/>
        <w:rPr>
          <w:rFonts w:hint="eastAsia"/>
          <w:lang w:val="zh-CN"/>
        </w:rPr>
      </w:pPr>
      <w:r>
        <w:rPr>
          <w:rFonts w:hint="eastAsia"/>
          <w:b/>
          <w:bCs/>
          <w:lang w:val="zh-CN"/>
        </w:rPr>
        <w:t>河村村</w:t>
      </w:r>
      <w:r>
        <w:rPr>
          <w:rFonts w:hint="eastAsia"/>
          <w:b/>
          <w:bCs/>
          <w:lang w:val="en-US" w:eastAsia="zh-CN"/>
        </w:rPr>
        <w:t xml:space="preserve">   </w:t>
      </w:r>
      <w:r>
        <w:rPr>
          <w:rFonts w:hint="eastAsia"/>
          <w:lang w:val="zh-CN"/>
        </w:rPr>
        <w:t>位于水口镇西部。全村总面积3平方千米，耕地254.86公顷，林地75.93公顷，辖13个村民小组，共2162人，有村“两委”干部6人，计生专干1人，党员53人。全村主要产业以农业为主，主要种植有黄烟、水稻、花生等。2018年村集体收入2.4万元，人均收入1.21万元。</w:t>
      </w:r>
    </w:p>
    <w:p w14:paraId="4D15E856">
      <w:pPr>
        <w:bidi w:val="0"/>
        <w:rPr>
          <w:rFonts w:hint="eastAsia"/>
          <w:lang w:val="zh-CN"/>
        </w:rPr>
      </w:pPr>
      <w:r>
        <w:rPr>
          <w:rFonts w:hint="eastAsia"/>
          <w:b/>
          <w:bCs/>
          <w:lang w:val="zh-CN"/>
        </w:rPr>
        <w:t>大坪村</w:t>
      </w:r>
      <w:r>
        <w:rPr>
          <w:rFonts w:hint="eastAsia"/>
          <w:b/>
          <w:bCs/>
          <w:lang w:val="en-US" w:eastAsia="zh-CN"/>
        </w:rPr>
        <w:t xml:space="preserve">   </w:t>
      </w:r>
      <w:r>
        <w:rPr>
          <w:rFonts w:hint="eastAsia"/>
          <w:lang w:val="zh-CN"/>
        </w:rPr>
        <w:t>位于水口镇中部。全村耕地179.07公顷，林地88.07公顷，辖7个村民小组，共1365人，有村“两委”干部5人，计生专干1人，党员54人。全村主要产业以农业为主，主要种植有黄烟、水稻、花生等。2018年村集体收入6.5万元，人均收入1.13万元。</w:t>
      </w:r>
    </w:p>
    <w:p w14:paraId="13729F9D">
      <w:pPr>
        <w:bidi w:val="0"/>
        <w:rPr>
          <w:rFonts w:hint="eastAsia"/>
          <w:lang w:val="zh-CN"/>
        </w:rPr>
      </w:pPr>
      <w:r>
        <w:rPr>
          <w:rFonts w:hint="eastAsia"/>
          <w:b/>
          <w:bCs/>
          <w:lang w:val="zh-CN"/>
        </w:rPr>
        <w:t>沙头村</w:t>
      </w:r>
      <w:r>
        <w:rPr>
          <w:rFonts w:hint="eastAsia"/>
          <w:b/>
          <w:bCs/>
          <w:lang w:val="en-US" w:eastAsia="zh-CN"/>
        </w:rPr>
        <w:t xml:space="preserve">   </w:t>
      </w:r>
      <w:r>
        <w:rPr>
          <w:rFonts w:hint="eastAsia"/>
          <w:lang w:val="zh-CN"/>
        </w:rPr>
        <w:t>位于水口镇西南部，是革命老区村。全村耕地274.87公顷，林地70.4公顷，辖15个村民小组，2266人，有村“两委”干部6人，计生专干1人，党员68人。全村主要产业以农业为主，主要种植有黄烟、水稻、花生等。2018年村集体收入6.5万元，人均收入1.22万元。</w:t>
      </w:r>
    </w:p>
    <w:p w14:paraId="726F9BDA">
      <w:pPr>
        <w:bidi w:val="0"/>
        <w:rPr>
          <w:rFonts w:hint="eastAsia"/>
          <w:lang w:val="zh-CN"/>
        </w:rPr>
      </w:pPr>
      <w:r>
        <w:rPr>
          <w:rFonts w:hint="eastAsia"/>
          <w:b/>
          <w:bCs/>
          <w:lang w:val="zh-CN"/>
        </w:rPr>
        <w:t>下湖村</w:t>
      </w:r>
      <w:r>
        <w:rPr>
          <w:rFonts w:hint="eastAsia"/>
          <w:b/>
          <w:bCs/>
          <w:lang w:val="en-US" w:eastAsia="zh-CN"/>
        </w:rPr>
        <w:t xml:space="preserve">   </w:t>
      </w:r>
      <w:r>
        <w:rPr>
          <w:rFonts w:hint="eastAsia"/>
          <w:lang w:val="zh-CN"/>
        </w:rPr>
        <w:t>位于水口镇西南部，是革命老区村。全村耕地104.08公顷，林地54.85公顷，辖7个村民小组，共1117人，有村“两委”干部5人，计生专干1人，党员38人。全村主要产业以农业为主，主要种植有黄烟、水稻、花生等。2018年村集体收入6.05万元，人均收入1.16万元。</w:t>
      </w:r>
    </w:p>
    <w:p w14:paraId="2D073643">
      <w:pPr>
        <w:bidi w:val="0"/>
        <w:rPr>
          <w:rFonts w:hint="eastAsia"/>
          <w:lang w:val="zh-CN"/>
        </w:rPr>
      </w:pPr>
      <w:r>
        <w:rPr>
          <w:rFonts w:hint="eastAsia"/>
          <w:b/>
          <w:bCs/>
          <w:lang w:val="zh-CN"/>
        </w:rPr>
        <w:t>赤岭村</w:t>
      </w:r>
      <w:r>
        <w:rPr>
          <w:rFonts w:hint="eastAsia"/>
          <w:b/>
          <w:bCs/>
          <w:lang w:val="en-US" w:eastAsia="zh-CN"/>
        </w:rPr>
        <w:t xml:space="preserve">   </w:t>
      </w:r>
      <w:r>
        <w:rPr>
          <w:rFonts w:hint="eastAsia"/>
          <w:lang w:val="zh-CN"/>
        </w:rPr>
        <w:t>位于水口镇南部，是革命老区村。全村耕地95公顷，林地73.87公顷，辖12个村民小组，共1554人，有村“两委”干部4人，计生专干1人，党员41人。全村主要产业以农业为主，主要种植有黄烟、水稻、花生等。2018年人均收入1.12万元。</w:t>
      </w:r>
    </w:p>
    <w:p w14:paraId="275F9A9F">
      <w:pPr>
        <w:bidi w:val="0"/>
        <w:rPr>
          <w:rFonts w:hint="eastAsia"/>
          <w:lang w:val="zh-CN"/>
        </w:rPr>
      </w:pPr>
      <w:r>
        <w:rPr>
          <w:rFonts w:hint="eastAsia"/>
          <w:b/>
          <w:bCs/>
          <w:lang w:val="zh-CN"/>
        </w:rPr>
        <w:t>群星村</w:t>
      </w:r>
      <w:r>
        <w:rPr>
          <w:rFonts w:hint="eastAsia"/>
          <w:b/>
          <w:bCs/>
          <w:lang w:val="en-US" w:eastAsia="zh-CN"/>
        </w:rPr>
        <w:t xml:space="preserve">   </w:t>
      </w:r>
      <w:r>
        <w:rPr>
          <w:rFonts w:hint="eastAsia"/>
          <w:lang w:val="zh-CN"/>
        </w:rPr>
        <w:t>位于水口镇南部。全村耕地118.13公顷，林地210.27公顷，辖6个村民小组，共979人，有村“两委”干部4人，计生专干1人，党员34人。全村主要产业以农业为主，主要种植有黄烟、水稻、花生等。2018年人均收入1.15万元。</w:t>
      </w:r>
    </w:p>
    <w:p w14:paraId="6EED4109">
      <w:pPr>
        <w:bidi w:val="0"/>
        <w:rPr>
          <w:rFonts w:hint="eastAsia"/>
          <w:lang w:val="zh-CN"/>
        </w:rPr>
      </w:pPr>
      <w:r>
        <w:rPr>
          <w:rFonts w:hint="eastAsia"/>
          <w:b/>
          <w:bCs/>
          <w:lang w:val="zh-CN"/>
        </w:rPr>
        <w:t>石庄村</w:t>
      </w:r>
      <w:r>
        <w:rPr>
          <w:rFonts w:hint="eastAsia"/>
          <w:b/>
          <w:bCs/>
          <w:lang w:val="en-US" w:eastAsia="zh-CN"/>
        </w:rPr>
        <w:t xml:space="preserve">   </w:t>
      </w:r>
      <w:r>
        <w:rPr>
          <w:rFonts w:hint="eastAsia"/>
          <w:lang w:val="zh-CN"/>
        </w:rPr>
        <w:t>位于水口镇东南部，是革命老区村。全村耕地126.67公顷，林地937.27公顷，辖20个村民小组，共1844人，有村“两委”干部4人，计生专干1人，党员41人。全村主要产业以农业为主，主要种植有黄烟、水稻、花生等。2018年村集体收入5.3万元，人均收入1.11万元。</w:t>
      </w:r>
    </w:p>
    <w:p w14:paraId="012E24E2">
      <w:pPr>
        <w:bidi w:val="0"/>
        <w:rPr>
          <w:rFonts w:hint="eastAsia"/>
          <w:lang w:val="zh-CN"/>
        </w:rPr>
      </w:pPr>
      <w:r>
        <w:rPr>
          <w:rFonts w:hint="eastAsia"/>
          <w:b/>
          <w:bCs/>
          <w:lang w:val="zh-CN"/>
        </w:rPr>
        <w:t>下楼村</w:t>
      </w:r>
      <w:r>
        <w:rPr>
          <w:rFonts w:hint="eastAsia"/>
          <w:b/>
          <w:bCs/>
          <w:lang w:val="en-US" w:eastAsia="zh-CN"/>
        </w:rPr>
        <w:t xml:space="preserve">   </w:t>
      </w:r>
      <w:r>
        <w:rPr>
          <w:rFonts w:hint="eastAsia"/>
          <w:lang w:val="zh-CN"/>
        </w:rPr>
        <w:t>位于水口镇东部。全村耕地120公顷，林地624公顷，辖15个村民小组，共1435人，有村“两委”干部4人，计生专干1人，党员54人。全村主要产业以农业为主，主要种植有黄烟、水稻、花生等。2018年村集体收入6.4万元，人均收入1.17万元。</w:t>
      </w:r>
    </w:p>
    <w:p w14:paraId="14189ADA">
      <w:pPr>
        <w:bidi w:val="0"/>
        <w:rPr>
          <w:rFonts w:hint="eastAsia"/>
          <w:lang w:val="zh-CN"/>
        </w:rPr>
      </w:pPr>
      <w:r>
        <w:rPr>
          <w:rFonts w:hint="eastAsia"/>
          <w:b/>
          <w:bCs/>
          <w:lang w:val="zh-CN"/>
        </w:rPr>
        <w:t>泷头村</w:t>
      </w:r>
      <w:r>
        <w:rPr>
          <w:rFonts w:hint="eastAsia"/>
          <w:b/>
          <w:bCs/>
          <w:lang w:val="en-US" w:eastAsia="zh-CN"/>
        </w:rPr>
        <w:t xml:space="preserve">   </w:t>
      </w:r>
      <w:r>
        <w:rPr>
          <w:rFonts w:hint="eastAsia"/>
          <w:lang w:val="zh-CN"/>
        </w:rPr>
        <w:t>位于水口镇东南部，是革命老区村。全村耕地85.2公顷，林地1569.8公顷，辖8个村民小组，1538人，有村“两委”干部5人，计生专干1人，党员54人。全村主要产业以农、林业为主，农业主要种植有水稻、花生、西瓜等，林业主要有丛生竹、毛竹、松树、杉树、乔灌杂树等。2018年村集体收入2.9万元，人均收入1.23万元。</w:t>
      </w:r>
    </w:p>
    <w:p w14:paraId="5A19A5AD">
      <w:pPr>
        <w:bidi w:val="0"/>
        <w:rPr>
          <w:rFonts w:hint="eastAsia"/>
          <w:lang w:val="zh-CN"/>
        </w:rPr>
      </w:pPr>
      <w:r>
        <w:rPr>
          <w:rFonts w:hint="eastAsia"/>
          <w:b/>
          <w:bCs/>
          <w:lang w:val="zh-CN"/>
        </w:rPr>
        <w:t>水口社区</w:t>
      </w:r>
      <w:r>
        <w:rPr>
          <w:rFonts w:hint="eastAsia"/>
          <w:b/>
          <w:bCs/>
          <w:lang w:val="en-US" w:eastAsia="zh-CN"/>
        </w:rPr>
        <w:t xml:space="preserve">   </w:t>
      </w:r>
      <w:r>
        <w:rPr>
          <w:rFonts w:hint="eastAsia"/>
          <w:lang w:val="zh-CN"/>
        </w:rPr>
        <w:t>位于水口镇中部，全社区1325人，现有社区“两委”干部2人，党员39人。</w:t>
      </w:r>
    </w:p>
    <w:p w14:paraId="778B32CF">
      <w:pPr>
        <w:bidi w:val="0"/>
        <w:rPr>
          <w:rFonts w:hint="eastAsia"/>
          <w:lang w:val="zh-CN"/>
        </w:rPr>
      </w:pPr>
      <w:r>
        <w:rPr>
          <w:rFonts w:hint="eastAsia"/>
          <w:b/>
          <w:bCs/>
          <w:lang w:val="zh-CN"/>
        </w:rPr>
        <w:t>“爱我家园，绿色兑换”公益项目启动</w:t>
      </w:r>
      <w:r>
        <w:rPr>
          <w:rFonts w:hint="eastAsia"/>
          <w:b/>
          <w:bCs/>
          <w:lang w:val="en-US" w:eastAsia="zh-CN"/>
        </w:rPr>
        <w:t xml:space="preserve">   </w:t>
      </w:r>
      <w:r>
        <w:rPr>
          <w:rFonts w:hint="eastAsia"/>
          <w:lang w:val="zh-CN"/>
        </w:rPr>
        <w:t>1月19日，沙头村举行“爱我家园，绿色兑换”公益项目揭牌启用仪式。这次“绿色兑换”公益项目主要是号召村民收集塑料瓶、易拉罐等废弃物品，储备到一定数量后，拿到沙园兑换点换取牙膏、洗衣粉等日常用品。通过实实在在的激励机制，引导村民养成爱护环境的习惯。这个活动也是结合南雄市新农村建设、“三清三拆”工作要求，引导村民牢固树立爱护环境、保持卫生的环保生活理念，把家乡建设成为乡风文明、村容整洁、生态宜居的美丽乡村。</w:t>
      </w:r>
      <w:r>
        <w:rPr>
          <w:rFonts w:hint="eastAsia"/>
          <w:b/>
          <w:bCs/>
          <w:lang w:val="zh-CN"/>
        </w:rPr>
        <w:t>（彭</w:t>
      </w:r>
      <w:r>
        <w:rPr>
          <w:rFonts w:hint="eastAsia"/>
          <w:b/>
          <w:bCs/>
          <w:lang w:val="en-US" w:eastAsia="zh-CN"/>
        </w:rPr>
        <w:t xml:space="preserve">  </w:t>
      </w:r>
      <w:r>
        <w:rPr>
          <w:rFonts w:hint="eastAsia"/>
          <w:b/>
          <w:bCs/>
          <w:lang w:val="zh-CN"/>
        </w:rPr>
        <w:t>云）</w:t>
      </w:r>
    </w:p>
    <w:p w14:paraId="24E79C4D">
      <w:pPr>
        <w:pStyle w:val="11"/>
        <w:bidi w:val="0"/>
        <w:rPr>
          <w:rFonts w:hint="eastAsia"/>
          <w:b/>
          <w:bCs/>
          <w:lang w:val="zh-CN"/>
        </w:rPr>
      </w:pPr>
      <w:r>
        <w:rPr>
          <w:rFonts w:hint="eastAsia"/>
          <w:b/>
          <w:bCs/>
          <w:lang w:val="zh-CN"/>
        </w:rPr>
        <w:t>附：2018年水口镇领导班子成员名单</w:t>
      </w:r>
    </w:p>
    <w:p w14:paraId="343AC134">
      <w:pPr>
        <w:pStyle w:val="11"/>
        <w:bidi w:val="0"/>
        <w:rPr>
          <w:rFonts w:hint="eastAsia"/>
          <w:lang w:val="zh-CN"/>
        </w:rPr>
      </w:pPr>
      <w:r>
        <w:rPr>
          <w:rFonts w:hint="eastAsia"/>
          <w:b/>
          <w:bCs/>
          <w:lang w:val="zh-CN"/>
        </w:rPr>
        <w:t>党委书记：</w:t>
      </w:r>
      <w:r>
        <w:rPr>
          <w:rFonts w:hint="eastAsia"/>
          <w:lang w:val="zh-CN"/>
        </w:rPr>
        <w:t>陈如华</w:t>
      </w:r>
    </w:p>
    <w:p w14:paraId="1CA6955C">
      <w:pPr>
        <w:pStyle w:val="11"/>
        <w:bidi w:val="0"/>
        <w:rPr>
          <w:rFonts w:hint="eastAsia"/>
          <w:lang w:val="zh-CN"/>
        </w:rPr>
      </w:pPr>
      <w:r>
        <w:rPr>
          <w:rFonts w:hint="eastAsia"/>
          <w:b/>
          <w:bCs/>
          <w:lang w:val="zh-CN"/>
        </w:rPr>
        <w:t>党委副书记、镇长：</w:t>
      </w:r>
      <w:r>
        <w:rPr>
          <w:rFonts w:hint="eastAsia"/>
          <w:lang w:val="zh-CN"/>
        </w:rPr>
        <w:t>叶邱婷</w:t>
      </w:r>
    </w:p>
    <w:p w14:paraId="476F73B9">
      <w:pPr>
        <w:pStyle w:val="11"/>
        <w:bidi w:val="0"/>
        <w:rPr>
          <w:rFonts w:hint="eastAsia"/>
          <w:lang w:val="zh-CN"/>
        </w:rPr>
      </w:pPr>
      <w:r>
        <w:rPr>
          <w:rFonts w:hint="eastAsia"/>
          <w:b/>
          <w:bCs/>
          <w:lang w:val="zh-CN"/>
        </w:rPr>
        <w:t>人大主席：</w:t>
      </w:r>
      <w:r>
        <w:rPr>
          <w:rFonts w:hint="eastAsia"/>
          <w:lang w:val="zh-CN"/>
        </w:rPr>
        <w:t>吴英琪</w:t>
      </w:r>
    </w:p>
    <w:p w14:paraId="285B4254">
      <w:pPr>
        <w:pStyle w:val="11"/>
        <w:bidi w:val="0"/>
        <w:rPr>
          <w:rFonts w:hint="eastAsia"/>
          <w:lang w:val="zh-CN"/>
        </w:rPr>
      </w:pPr>
      <w:r>
        <w:rPr>
          <w:rFonts w:hint="eastAsia"/>
          <w:b/>
          <w:bCs/>
          <w:lang w:val="zh-CN"/>
        </w:rPr>
        <w:t>党委副书记（党建）：</w:t>
      </w:r>
      <w:r>
        <w:rPr>
          <w:rFonts w:hint="eastAsia"/>
          <w:lang w:val="zh-CN"/>
        </w:rPr>
        <w:t>曾志明</w:t>
      </w:r>
    </w:p>
    <w:p w14:paraId="1E4C2C80">
      <w:pPr>
        <w:pStyle w:val="11"/>
        <w:bidi w:val="0"/>
        <w:rPr>
          <w:rFonts w:hint="eastAsia"/>
          <w:lang w:val="zh-CN"/>
        </w:rPr>
      </w:pPr>
      <w:r>
        <w:rPr>
          <w:rFonts w:hint="eastAsia"/>
          <w:b/>
          <w:bCs/>
          <w:lang w:val="zh-CN"/>
        </w:rPr>
        <w:t>党委副书记（综治）：</w:t>
      </w:r>
      <w:r>
        <w:rPr>
          <w:rFonts w:hint="eastAsia"/>
          <w:lang w:val="zh-CN"/>
        </w:rPr>
        <w:t>杨</w:t>
      </w:r>
      <w:r>
        <w:rPr>
          <w:rFonts w:hint="eastAsia"/>
          <w:lang w:val="en-US" w:eastAsia="zh-CN"/>
        </w:rPr>
        <w:t xml:space="preserve">  </w:t>
      </w:r>
      <w:r>
        <w:rPr>
          <w:rFonts w:hint="eastAsia"/>
          <w:lang w:val="zh-CN"/>
        </w:rPr>
        <w:t>忠</w:t>
      </w:r>
    </w:p>
    <w:p w14:paraId="480CD4AC">
      <w:pPr>
        <w:pStyle w:val="11"/>
        <w:bidi w:val="0"/>
        <w:rPr>
          <w:rFonts w:hint="eastAsia"/>
          <w:lang w:val="zh-CN"/>
        </w:rPr>
      </w:pPr>
      <w:r>
        <w:rPr>
          <w:rFonts w:hint="eastAsia"/>
          <w:b/>
          <w:bCs/>
          <w:lang w:val="zh-CN"/>
        </w:rPr>
        <w:t>党委委员、纪委书记：</w:t>
      </w:r>
      <w:r>
        <w:rPr>
          <w:rFonts w:hint="eastAsia"/>
          <w:lang w:val="zh-CN"/>
        </w:rPr>
        <w:t>谭章洪</w:t>
      </w:r>
    </w:p>
    <w:p w14:paraId="4F196EB2">
      <w:pPr>
        <w:pStyle w:val="11"/>
        <w:bidi w:val="0"/>
        <w:rPr>
          <w:rFonts w:hint="eastAsia"/>
          <w:lang w:val="zh-CN"/>
        </w:rPr>
      </w:pPr>
      <w:r>
        <w:rPr>
          <w:rFonts w:hint="eastAsia"/>
          <w:b/>
          <w:bCs/>
          <w:lang w:val="zh-CN"/>
        </w:rPr>
        <w:t>党委组织委员：</w:t>
      </w:r>
      <w:r>
        <w:rPr>
          <w:rFonts w:hint="eastAsia"/>
          <w:lang w:val="zh-CN"/>
        </w:rPr>
        <w:t>李志雄</w:t>
      </w:r>
    </w:p>
    <w:p w14:paraId="23298FFB">
      <w:pPr>
        <w:pStyle w:val="11"/>
        <w:bidi w:val="0"/>
        <w:rPr>
          <w:rFonts w:hint="eastAsia"/>
          <w:lang w:val="zh-CN"/>
        </w:rPr>
      </w:pPr>
      <w:r>
        <w:rPr>
          <w:rFonts w:hint="eastAsia"/>
          <w:b/>
          <w:bCs/>
          <w:lang w:val="zh-CN"/>
        </w:rPr>
        <w:t>党委宣传委员：</w:t>
      </w:r>
      <w:r>
        <w:rPr>
          <w:rFonts w:hint="eastAsia"/>
          <w:lang w:val="zh-CN"/>
        </w:rPr>
        <w:t>邓国荣</w:t>
      </w:r>
    </w:p>
    <w:p w14:paraId="21836B6C">
      <w:pPr>
        <w:pStyle w:val="11"/>
        <w:bidi w:val="0"/>
        <w:rPr>
          <w:rFonts w:hint="eastAsia"/>
          <w:lang w:val="zh-CN"/>
        </w:rPr>
      </w:pPr>
      <w:r>
        <w:rPr>
          <w:rFonts w:hint="eastAsia"/>
          <w:b/>
          <w:bCs/>
          <w:lang w:val="zh-CN"/>
        </w:rPr>
        <w:t>党委委员、武装部部长：</w:t>
      </w:r>
      <w:r>
        <w:rPr>
          <w:rFonts w:hint="eastAsia"/>
          <w:lang w:val="zh-CN"/>
        </w:rPr>
        <w:t>邓荣林</w:t>
      </w:r>
    </w:p>
    <w:p w14:paraId="1A43895F">
      <w:pPr>
        <w:pStyle w:val="11"/>
        <w:bidi w:val="0"/>
        <w:rPr>
          <w:rFonts w:hint="eastAsia"/>
          <w:lang w:val="zh-CN"/>
        </w:rPr>
      </w:pPr>
      <w:r>
        <w:rPr>
          <w:rFonts w:hint="eastAsia"/>
          <w:b/>
          <w:bCs/>
          <w:lang w:val="zh-CN"/>
        </w:rPr>
        <w:t>副镇长</w:t>
      </w:r>
      <w:r>
        <w:rPr>
          <w:rFonts w:hint="eastAsia"/>
          <w:lang w:val="zh-CN"/>
        </w:rPr>
        <w:t>：沈鸿明</w:t>
      </w:r>
      <w:r>
        <w:rPr>
          <w:rFonts w:hint="eastAsia"/>
          <w:lang w:val="en-US" w:eastAsia="zh-CN"/>
        </w:rPr>
        <w:t xml:space="preserve">   </w:t>
      </w:r>
      <w:r>
        <w:rPr>
          <w:rFonts w:hint="eastAsia"/>
          <w:lang w:val="zh-CN"/>
        </w:rPr>
        <w:t>廖茂楠</w:t>
      </w:r>
    </w:p>
    <w:p w14:paraId="5E89F283">
      <w:pPr>
        <w:pStyle w:val="11"/>
        <w:bidi w:val="0"/>
        <w:ind w:leftChars="400"/>
        <w:rPr>
          <w:rFonts w:hint="eastAsia"/>
          <w:lang w:val="zh-CN"/>
        </w:rPr>
      </w:pPr>
      <w:r>
        <w:rPr>
          <w:rFonts w:hint="eastAsia"/>
          <w:lang w:val="zh-CN"/>
        </w:rPr>
        <w:t>苏燕红（3月任职）</w:t>
      </w:r>
    </w:p>
    <w:p w14:paraId="56EBA353">
      <w:pPr>
        <w:pStyle w:val="3"/>
        <w:bidi w:val="0"/>
        <w:rPr>
          <w:rFonts w:hint="eastAsia"/>
          <w:lang w:val="zh-CN"/>
        </w:rPr>
      </w:pPr>
      <w:r>
        <w:rPr>
          <w:rFonts w:hint="eastAsia"/>
          <w:lang w:val="zh-CN"/>
        </w:rPr>
        <w:t>邓坊镇</w:t>
      </w:r>
    </w:p>
    <w:p w14:paraId="7D820D9F">
      <w:pPr>
        <w:pStyle w:val="4"/>
        <w:bidi w:val="0"/>
        <w:rPr>
          <w:rFonts w:hint="eastAsia"/>
          <w:lang w:val="zh-CN"/>
        </w:rPr>
      </w:pPr>
      <w:r>
        <w:rPr>
          <w:rFonts w:hint="eastAsia"/>
          <w:lang w:val="zh-CN"/>
        </w:rPr>
        <w:t>【概况】</w:t>
      </w:r>
    </w:p>
    <w:p w14:paraId="1AAE3423">
      <w:pPr>
        <w:bidi w:val="0"/>
        <w:rPr>
          <w:rFonts w:hint="eastAsia"/>
          <w:lang w:val="zh-CN"/>
        </w:rPr>
      </w:pPr>
      <w:r>
        <w:rPr>
          <w:rFonts w:hint="eastAsia"/>
          <w:lang w:val="zh-CN"/>
        </w:rPr>
        <w:t>邓坊镇是革命老区，政府所在地是邓坊墟，距城区雄州26千米，辖邓坊、马战、赤马、赤石、里源、洋西、茶头背、兰田、上湖9个村委会和邓坊社区1个居委会，105个村小组，总户数5117户，人口1.68万人。有县道许村至接龙桥线、长市至长龙线，各村通公路到自然村，距国道G323、韶赣高速公路、铁路8千米。地形地貌以半山区为主，平原、丘陵、河流、坡地相互交错，最高海拔850米。经济作物以黄烟、水稻、玉米、花生、水果为主，有万亩三华李基地，是“甜玉米之乡”，高寒蔬菜、优质米基地。矿产资源丰富，有钨、铁、铀、稀土、花岗岩等矿藏。特产有香菇、木耳、竹笋、腊鸭、腊肉等；有黄猄、野猪、野牛等野生动物。</w:t>
      </w:r>
    </w:p>
    <w:p w14:paraId="5BBB50DA">
      <w:pPr>
        <w:bidi w:val="0"/>
        <w:rPr>
          <w:rFonts w:hint="eastAsia"/>
          <w:lang w:val="zh-CN"/>
        </w:rPr>
      </w:pPr>
      <w:r>
        <w:rPr>
          <w:rFonts w:hint="eastAsia"/>
          <w:lang w:val="zh-CN"/>
        </w:rPr>
        <w:t>2018年，邓坊镇种烟266.67公顷，全年收购烟叶530吨，完成任务数的95%。种植优质稻793.33公顷，平均亩产750市斤，收购价205元/担。新种沃柑20公顷，新种三华李13.33公顷。2018年三华李收购价2.3元/市斤。生猪存栏1万头，年出栏8000头。生猪毛重价格6.5元/市斤。</w:t>
      </w:r>
    </w:p>
    <w:p w14:paraId="170548F1">
      <w:pPr>
        <w:pStyle w:val="4"/>
        <w:bidi w:val="0"/>
        <w:rPr>
          <w:rFonts w:hint="eastAsia"/>
          <w:lang w:val="zh-CN"/>
        </w:rPr>
      </w:pPr>
      <w:r>
        <w:rPr>
          <w:rFonts w:hint="eastAsia"/>
          <w:lang w:val="zh-CN"/>
        </w:rPr>
        <w:t>【亮点工程】</w:t>
      </w:r>
    </w:p>
    <w:p w14:paraId="14CD7056">
      <w:pPr>
        <w:bidi w:val="0"/>
        <w:rPr>
          <w:rFonts w:hint="eastAsia"/>
          <w:lang w:val="zh-CN"/>
        </w:rPr>
      </w:pPr>
      <w:r>
        <w:rPr>
          <w:rFonts w:hint="eastAsia"/>
          <w:lang w:val="zh-CN"/>
        </w:rPr>
        <w:t>邓坊、洋西、赤石、赤马4个省定贫困村开展美丽乡村建设；里源村成立“生态园三变股份合作社”，2018年分红12.1万元。</w:t>
      </w:r>
    </w:p>
    <w:p w14:paraId="0164E1F8">
      <w:pPr>
        <w:pStyle w:val="4"/>
        <w:bidi w:val="0"/>
        <w:rPr>
          <w:rFonts w:hint="eastAsia"/>
          <w:lang w:val="zh-CN"/>
        </w:rPr>
      </w:pPr>
      <w:r>
        <w:rPr>
          <w:rFonts w:hint="eastAsia"/>
          <w:lang w:val="zh-CN"/>
        </w:rPr>
        <w:t>【农业工作】</w:t>
      </w:r>
    </w:p>
    <w:p w14:paraId="0096BE5C">
      <w:pPr>
        <w:bidi w:val="0"/>
        <w:rPr>
          <w:rFonts w:hint="eastAsia"/>
          <w:lang w:val="zh-CN"/>
        </w:rPr>
      </w:pPr>
      <w:r>
        <w:rPr>
          <w:rFonts w:hint="eastAsia"/>
          <w:b/>
          <w:bCs/>
          <w:lang w:val="zh-CN"/>
        </w:rPr>
        <w:t>三保工作</w:t>
      </w:r>
      <w:r>
        <w:rPr>
          <w:rFonts w:hint="eastAsia"/>
          <w:b/>
          <w:bCs/>
          <w:lang w:val="en-US" w:eastAsia="zh-CN"/>
        </w:rPr>
        <w:t xml:space="preserve">   </w:t>
      </w:r>
      <w:r>
        <w:rPr>
          <w:rFonts w:hint="eastAsia"/>
          <w:lang w:val="zh-CN"/>
        </w:rPr>
        <w:t>2018年新农合新增参保人数3889人，职工投保完成41人，完成比例100.75%。</w:t>
      </w:r>
    </w:p>
    <w:p w14:paraId="4D7839A4">
      <w:pPr>
        <w:bidi w:val="0"/>
        <w:rPr>
          <w:rFonts w:hint="eastAsia"/>
          <w:lang w:val="zh-CN"/>
        </w:rPr>
      </w:pPr>
      <w:r>
        <w:rPr>
          <w:rFonts w:hint="eastAsia"/>
          <w:b/>
          <w:bCs/>
          <w:lang w:val="zh-CN"/>
        </w:rPr>
        <w:t>计生工作</w:t>
      </w:r>
      <w:r>
        <w:rPr>
          <w:rFonts w:hint="eastAsia"/>
          <w:b/>
          <w:bCs/>
          <w:lang w:val="en-US" w:eastAsia="zh-CN"/>
        </w:rPr>
        <w:t xml:space="preserve">   </w:t>
      </w:r>
      <w:r>
        <w:rPr>
          <w:rFonts w:hint="eastAsia"/>
          <w:lang w:val="zh-CN"/>
        </w:rPr>
        <w:t>全镇出生214人，其中男孩118人，女孩96人，人口出生率12.7‰，人口自然增长率7.06‰。</w:t>
      </w:r>
    </w:p>
    <w:p w14:paraId="35D86B3D">
      <w:pPr>
        <w:bidi w:val="0"/>
        <w:rPr>
          <w:rFonts w:hint="eastAsia"/>
          <w:lang w:val="zh-CN"/>
        </w:rPr>
      </w:pPr>
      <w:r>
        <w:rPr>
          <w:rFonts w:hint="eastAsia"/>
          <w:b/>
          <w:bCs/>
          <w:lang w:val="zh-CN"/>
        </w:rPr>
        <w:t>林业工作</w:t>
      </w:r>
      <w:r>
        <w:rPr>
          <w:rFonts w:hint="eastAsia"/>
          <w:b/>
          <w:bCs/>
          <w:lang w:val="en-US" w:eastAsia="zh-CN"/>
        </w:rPr>
        <w:t xml:space="preserve">   </w:t>
      </w:r>
      <w:r>
        <w:rPr>
          <w:rFonts w:hint="eastAsia"/>
          <w:lang w:val="zh-CN"/>
        </w:rPr>
        <w:t>义务种树基地2处7.43公顷，有苗木1.12万株，抚育管护8.05万株。悬挂宣传横幅28幅，张贴标语2000张，发放传单2.5万份，新增挂牌古树6株。</w:t>
      </w:r>
    </w:p>
    <w:p w14:paraId="541CB031">
      <w:pPr>
        <w:bidi w:val="0"/>
        <w:rPr>
          <w:rFonts w:hint="eastAsia"/>
          <w:lang w:val="zh-CN"/>
        </w:rPr>
      </w:pPr>
      <w:r>
        <w:rPr>
          <w:rFonts w:hint="eastAsia"/>
          <w:b/>
          <w:bCs/>
          <w:lang w:val="zh-CN"/>
        </w:rPr>
        <w:t>土地确权</w:t>
      </w:r>
      <w:r>
        <w:rPr>
          <w:rFonts w:hint="eastAsia"/>
          <w:b/>
          <w:bCs/>
          <w:lang w:val="en-US" w:eastAsia="zh-CN"/>
        </w:rPr>
        <w:t xml:space="preserve">   </w:t>
      </w:r>
      <w:r>
        <w:rPr>
          <w:rFonts w:hint="eastAsia"/>
          <w:lang w:val="zh-CN"/>
        </w:rPr>
        <w:t>完成土地确权发证3795本，完成任务数的97.6%；畜牧工作关闭整顿两家不符合环保的养猪场，养殖户与政府、餐饮业主与政府、企事业单位食堂与政府签订责任书和承诺书。</w:t>
      </w:r>
    </w:p>
    <w:p w14:paraId="214EBAB5">
      <w:pPr>
        <w:pStyle w:val="4"/>
        <w:bidi w:val="0"/>
        <w:rPr>
          <w:rFonts w:hint="eastAsia"/>
          <w:lang w:val="zh-CN"/>
        </w:rPr>
      </w:pPr>
      <w:r>
        <w:rPr>
          <w:rFonts w:hint="eastAsia"/>
          <w:lang w:val="zh-CN"/>
        </w:rPr>
        <w:t>【扫黑除恶】</w:t>
      </w:r>
    </w:p>
    <w:p w14:paraId="3B239B70">
      <w:pPr>
        <w:bidi w:val="0"/>
        <w:rPr>
          <w:rFonts w:hint="eastAsia"/>
          <w:lang w:val="zh-CN"/>
        </w:rPr>
      </w:pPr>
      <w:r>
        <w:rPr>
          <w:rFonts w:hint="eastAsia"/>
          <w:lang w:val="zh-CN"/>
        </w:rPr>
        <w:t>悬挂扫黑除恶横幅60幅，张贴标语70条，发放宣传资料1万份，召开家长会250场，摸排扫黑除恶线索7条。</w:t>
      </w:r>
    </w:p>
    <w:p w14:paraId="3F884C86">
      <w:pPr>
        <w:pStyle w:val="4"/>
        <w:bidi w:val="0"/>
        <w:rPr>
          <w:rFonts w:hint="eastAsia"/>
          <w:lang w:val="zh-CN"/>
        </w:rPr>
      </w:pPr>
      <w:r>
        <w:rPr>
          <w:rFonts w:hint="eastAsia"/>
          <w:lang w:val="zh-CN"/>
        </w:rPr>
        <w:t>【“两违”整治】</w:t>
      </w:r>
    </w:p>
    <w:p w14:paraId="5B29321B">
      <w:pPr>
        <w:bidi w:val="0"/>
        <w:rPr>
          <w:rFonts w:hint="eastAsia"/>
          <w:lang w:val="zh-CN"/>
        </w:rPr>
      </w:pPr>
      <w:r>
        <w:rPr>
          <w:rFonts w:hint="eastAsia"/>
          <w:lang w:val="zh-CN"/>
        </w:rPr>
        <w:t>处理问题图斑261个，面积69.27公顷，排查隐患点2个，落实被监测人员27个，设立警示牌2块，开展执法巡查85次，下发责令停止违法行为通知书6份，口头出面制止12次。</w:t>
      </w:r>
    </w:p>
    <w:p w14:paraId="3C1B32D6">
      <w:pPr>
        <w:pStyle w:val="4"/>
        <w:bidi w:val="0"/>
        <w:rPr>
          <w:rFonts w:hint="eastAsia"/>
          <w:lang w:val="zh-CN"/>
        </w:rPr>
      </w:pPr>
      <w:r>
        <w:rPr>
          <w:rFonts w:hint="eastAsia"/>
          <w:lang w:val="zh-CN"/>
        </w:rPr>
        <w:t>【新农村建设】</w:t>
      </w:r>
    </w:p>
    <w:p w14:paraId="0091E7C9">
      <w:pPr>
        <w:bidi w:val="0"/>
        <w:rPr>
          <w:rFonts w:hint="eastAsia"/>
          <w:lang w:val="zh-CN"/>
        </w:rPr>
      </w:pPr>
      <w:r>
        <w:rPr>
          <w:rFonts w:hint="eastAsia"/>
          <w:lang w:val="zh-CN"/>
        </w:rPr>
        <w:t>51个自然村开展三清三拆，完成三清三拆三整治的自然村29个，验收合格的自然村19个，进场施工的自然村17个，全面完工的自然村4个。10个村委会成立保洁队伍，有保洁员37人。全镇清理村巷道1391条3.72万米；清理房前屋后杂草1674处1394.3吨；清理水塘、沟渠397条，淤泥废弃物1659.8吨；拆除危旧房、猪牛栏、茅厕等5334间；拆除非法违规商业广告、招牌45处1100平方米。</w:t>
      </w:r>
    </w:p>
    <w:p w14:paraId="388AB23B">
      <w:pPr>
        <w:pStyle w:val="4"/>
        <w:bidi w:val="0"/>
        <w:rPr>
          <w:rFonts w:hint="eastAsia"/>
          <w:lang w:val="zh-CN"/>
        </w:rPr>
      </w:pPr>
      <w:r>
        <w:rPr>
          <w:rFonts w:hint="eastAsia"/>
          <w:lang w:val="zh-CN"/>
        </w:rPr>
        <w:t>【基层治理】</w:t>
      </w:r>
    </w:p>
    <w:p w14:paraId="6B6D6108">
      <w:pPr>
        <w:bidi w:val="0"/>
        <w:rPr>
          <w:rFonts w:hint="eastAsia"/>
          <w:lang w:val="zh-CN"/>
        </w:rPr>
      </w:pPr>
      <w:r>
        <w:rPr>
          <w:rFonts w:hint="eastAsia"/>
          <w:lang w:val="zh-CN"/>
        </w:rPr>
        <w:t>2018年3月，南雄市巡查组开始巡查邓坊。举办廉洁培训15次200人，设立举报电话一部，开展明察暗访10次，印发工作问题通报4期，谈话提醒8人；收到来信来访15宗，了结11宗，4宗在核查中；自办案件2宗，党纪处分2人。</w:t>
      </w:r>
    </w:p>
    <w:p w14:paraId="1790267D">
      <w:pPr>
        <w:pStyle w:val="4"/>
        <w:bidi w:val="0"/>
        <w:rPr>
          <w:rFonts w:hint="eastAsia"/>
          <w:lang w:val="zh-CN"/>
        </w:rPr>
      </w:pPr>
      <w:r>
        <w:rPr>
          <w:rFonts w:hint="eastAsia"/>
          <w:lang w:val="zh-CN"/>
        </w:rPr>
        <w:t>【旅游产业】</w:t>
      </w:r>
    </w:p>
    <w:p w14:paraId="7A125BDC">
      <w:pPr>
        <w:bidi w:val="0"/>
        <w:rPr>
          <w:rFonts w:hint="eastAsia"/>
          <w:lang w:val="zh-CN"/>
        </w:rPr>
      </w:pPr>
      <w:r>
        <w:rPr>
          <w:rFonts w:hint="eastAsia"/>
          <w:lang w:val="zh-CN"/>
        </w:rPr>
        <w:t>2018年，泉水谷漂流投资100万元建设玫瑰园，投资10万元建设茶头背湖山观景台。全年接待游客6.5万人次。</w:t>
      </w:r>
    </w:p>
    <w:p w14:paraId="2645FCCD">
      <w:pPr>
        <w:pStyle w:val="4"/>
        <w:bidi w:val="0"/>
        <w:rPr>
          <w:rFonts w:hint="eastAsia"/>
          <w:lang w:val="zh-CN"/>
        </w:rPr>
      </w:pPr>
      <w:r>
        <w:rPr>
          <w:rFonts w:hint="eastAsia"/>
          <w:lang w:val="zh-CN"/>
        </w:rPr>
        <w:t>【信访维稳】</w:t>
      </w:r>
    </w:p>
    <w:p w14:paraId="1D4938AE">
      <w:pPr>
        <w:bidi w:val="0"/>
        <w:rPr>
          <w:rFonts w:hint="eastAsia"/>
          <w:lang w:val="zh-CN"/>
        </w:rPr>
      </w:pPr>
      <w:r>
        <w:rPr>
          <w:rFonts w:hint="eastAsia"/>
          <w:lang w:val="zh-CN"/>
        </w:rPr>
        <w:t>综治中心受理各类信访件35件，办结35件，排查矛盾纠纷28件，调处成功26件，调处成功率93%，其中法律顾问参与调处6宗，援助困难群众2宗。举办法律知识讲座3场，培训学法人员420人次。开展“平安南雄宣传”10次，发放宣传资料2000份。</w:t>
      </w:r>
    </w:p>
    <w:p w14:paraId="238C5665">
      <w:pPr>
        <w:pStyle w:val="4"/>
        <w:bidi w:val="0"/>
        <w:rPr>
          <w:rFonts w:hint="eastAsia"/>
          <w:lang w:val="zh-CN"/>
        </w:rPr>
      </w:pPr>
      <w:r>
        <w:rPr>
          <w:rFonts w:hint="eastAsia"/>
          <w:lang w:val="zh-CN"/>
        </w:rPr>
        <w:t>【卫生防疫】</w:t>
      </w:r>
    </w:p>
    <w:p w14:paraId="63E271CF">
      <w:pPr>
        <w:bidi w:val="0"/>
        <w:rPr>
          <w:rFonts w:hint="eastAsia"/>
          <w:lang w:val="zh-CN"/>
        </w:rPr>
      </w:pPr>
      <w:r>
        <w:rPr>
          <w:rFonts w:hint="eastAsia"/>
          <w:lang w:val="zh-CN"/>
        </w:rPr>
        <w:t>开展爱国卫生活动12场，参与活动人数1000人次，受教育人数6000人次，治理脏乱差道路1.5万米，清洁绿地、绿化带5000米，清除垃圾12吨，清除蚊蝇滋生地45处，清除卫生死角45处，投放灭蚊药物20千克。</w:t>
      </w:r>
    </w:p>
    <w:p w14:paraId="5EFA3164">
      <w:pPr>
        <w:pStyle w:val="4"/>
        <w:bidi w:val="0"/>
        <w:rPr>
          <w:rFonts w:hint="eastAsia"/>
          <w:lang w:val="zh-CN"/>
        </w:rPr>
      </w:pPr>
      <w:r>
        <w:rPr>
          <w:rFonts w:hint="eastAsia"/>
          <w:lang w:val="zh-CN"/>
        </w:rPr>
        <w:t>【精准扶贫】</w:t>
      </w:r>
    </w:p>
    <w:p w14:paraId="6E682432">
      <w:pPr>
        <w:bidi w:val="0"/>
        <w:rPr>
          <w:rFonts w:hint="eastAsia"/>
          <w:lang w:val="zh-CN"/>
        </w:rPr>
      </w:pPr>
      <w:r>
        <w:rPr>
          <w:rFonts w:hint="eastAsia"/>
          <w:lang w:val="zh-CN"/>
        </w:rPr>
        <w:t>2018年，邓坊镇新时期精准扶贫相对贫困户262户747人。到位扶贫资金1874.95万元，使用1783.37万元，剩余91.58万元主要用于泉水谷别墅、田园综合体、沃柑种植、生态园产业投资、村道硬化、文体广场建设、以奖代补等。脱贫55户157人，主要通过产业、教育、就业等实现脱贫。</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2DA2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8D9C422">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8710" cy="4040505"/>
                  <wp:effectExtent l="0" t="0" r="2540" b="17145"/>
                  <wp:docPr id="133" name="图片 133" descr="南雄年鉴2019_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南雄年鉴2019_0108"/>
                          <pic:cNvPicPr>
                            <a:picLocks noChangeAspect="1"/>
                          </pic:cNvPicPr>
                        </pic:nvPicPr>
                        <pic:blipFill>
                          <a:blip r:embed="rId120"/>
                          <a:stretch>
                            <a:fillRect/>
                          </a:stretch>
                        </pic:blipFill>
                        <pic:spPr>
                          <a:xfrm>
                            <a:off x="0" y="0"/>
                            <a:ext cx="6188710" cy="4040505"/>
                          </a:xfrm>
                          <a:prstGeom prst="rect">
                            <a:avLst/>
                          </a:prstGeom>
                        </pic:spPr>
                      </pic:pic>
                    </a:graphicData>
                  </a:graphic>
                </wp:inline>
              </w:drawing>
            </w:r>
          </w:p>
        </w:tc>
      </w:tr>
      <w:tr w14:paraId="69EE2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C061EA1">
            <w:pPr>
              <w:bidi w:val="0"/>
              <w:rPr>
                <w:rFonts w:hint="eastAsia"/>
                <w:vertAlign w:val="baseline"/>
                <w:lang w:val="zh-CN"/>
              </w:rPr>
            </w:pPr>
            <w:r>
              <w:rPr>
                <w:rFonts w:hint="eastAsia" w:ascii="FZKTK--GBK1-0" w:hAnsi="FZKTK--GBK1-0" w:eastAsia="FZKTK--GBK1-0"/>
                <w:color w:val="000000"/>
                <w:sz w:val="20"/>
              </w:rPr>
              <w:t>南雄市副市长焦晓松（右三）慰问清明护林防火一线工作人员</w:t>
            </w:r>
          </w:p>
        </w:tc>
      </w:tr>
    </w:tbl>
    <w:p w14:paraId="5BBD4FC3">
      <w:pPr>
        <w:pStyle w:val="4"/>
        <w:bidi w:val="0"/>
        <w:rPr>
          <w:rFonts w:hint="eastAsia"/>
          <w:lang w:val="zh-CN"/>
        </w:rPr>
      </w:pPr>
      <w:r>
        <w:rPr>
          <w:rFonts w:hint="eastAsia"/>
          <w:lang w:val="zh-CN"/>
        </w:rPr>
        <w:t>【各村委会（社区）基本情况】</w:t>
      </w:r>
    </w:p>
    <w:p w14:paraId="5439740F">
      <w:pPr>
        <w:bidi w:val="0"/>
        <w:rPr>
          <w:rFonts w:hint="eastAsia"/>
          <w:lang w:val="zh-CN"/>
        </w:rPr>
      </w:pPr>
      <w:r>
        <w:rPr>
          <w:rFonts w:hint="eastAsia"/>
          <w:b/>
          <w:bCs/>
          <w:lang w:val="zh-CN"/>
        </w:rPr>
        <w:t>茶头背村</w:t>
      </w:r>
      <w:r>
        <w:rPr>
          <w:rFonts w:hint="eastAsia"/>
          <w:b/>
          <w:bCs/>
          <w:lang w:val="en-US" w:eastAsia="zh-CN"/>
        </w:rPr>
        <w:t xml:space="preserve">   </w:t>
      </w:r>
      <w:r>
        <w:rPr>
          <w:rFonts w:hint="eastAsia"/>
          <w:lang w:val="zh-CN"/>
        </w:rPr>
        <w:t>位于邓坊镇东北部，距政府所在地8.4千米，10个村民小组，总户数256户823人，其中外出务工252人；最高山湖山，海拔845米；村耕地总面积131.7公顷，林地面积290.3公顷。主要种植水稻、西瓜、生姜等高寒蔬菜。2018年在湖山顶新建观景台。</w:t>
      </w:r>
    </w:p>
    <w:p w14:paraId="11F1DF36">
      <w:pPr>
        <w:bidi w:val="0"/>
        <w:rPr>
          <w:rFonts w:hint="eastAsia"/>
          <w:lang w:val="zh-CN"/>
        </w:rPr>
      </w:pPr>
      <w:r>
        <w:rPr>
          <w:rFonts w:hint="eastAsia"/>
          <w:b/>
          <w:bCs/>
          <w:lang w:val="zh-CN"/>
        </w:rPr>
        <w:t>兰田村</w:t>
      </w:r>
      <w:r>
        <w:rPr>
          <w:rFonts w:hint="eastAsia"/>
          <w:b/>
          <w:bCs/>
          <w:lang w:val="en-US" w:eastAsia="zh-CN"/>
        </w:rPr>
        <w:t xml:space="preserve">   </w:t>
      </w:r>
      <w:r>
        <w:rPr>
          <w:rFonts w:hint="eastAsia"/>
          <w:lang w:val="zh-CN"/>
        </w:rPr>
        <w:t>位于邓坊镇北部山区，距政府所在地11.5千米。有12个村民小组，总户数486户1708人，其中外出务工304人。村耕地总面积255.8公顷，其中水田823.3公顷。主要种植水稻、西瓜、三华李等，特产有香菇、竹笋。山上有野牛、野猪、黄猄。</w:t>
      </w:r>
    </w:p>
    <w:p w14:paraId="7072E257">
      <w:pPr>
        <w:bidi w:val="0"/>
        <w:rPr>
          <w:rFonts w:hint="eastAsia"/>
          <w:lang w:val="zh-CN"/>
        </w:rPr>
      </w:pPr>
      <w:r>
        <w:rPr>
          <w:rFonts w:hint="eastAsia"/>
          <w:b/>
          <w:bCs/>
          <w:lang w:val="zh-CN"/>
        </w:rPr>
        <w:t>上湖村</w:t>
      </w:r>
      <w:r>
        <w:rPr>
          <w:rFonts w:hint="eastAsia"/>
          <w:b/>
          <w:bCs/>
          <w:lang w:val="en-US" w:eastAsia="zh-CN"/>
        </w:rPr>
        <w:t xml:space="preserve">   </w:t>
      </w:r>
      <w:r>
        <w:rPr>
          <w:rFonts w:hint="eastAsia"/>
          <w:lang w:val="zh-CN"/>
        </w:rPr>
        <w:t>位于邓坊镇东北部，距镇政府所在地11.7千米，有10个村民小组，319户1013人，其中外出务工262人。耕地总面积153.3公顷，716.1公顷。主要种植水稻、西瓜、高山李，主要特产有茶油、高山果。朱屋、黄屋、西坑“三清三拆”工作完成。</w:t>
      </w:r>
    </w:p>
    <w:p w14:paraId="2D2D978D">
      <w:pPr>
        <w:bidi w:val="0"/>
        <w:rPr>
          <w:rFonts w:hint="eastAsia"/>
          <w:lang w:val="zh-CN"/>
        </w:rPr>
      </w:pPr>
      <w:r>
        <w:rPr>
          <w:rFonts w:hint="eastAsia"/>
          <w:b/>
          <w:bCs/>
          <w:lang w:val="zh-CN"/>
        </w:rPr>
        <w:t>洋西村</w:t>
      </w:r>
      <w:r>
        <w:rPr>
          <w:rFonts w:hint="eastAsia"/>
          <w:b/>
          <w:bCs/>
          <w:lang w:val="en-US" w:eastAsia="zh-CN"/>
        </w:rPr>
        <w:t xml:space="preserve">   </w:t>
      </w:r>
      <w:r>
        <w:rPr>
          <w:rFonts w:hint="eastAsia"/>
          <w:lang w:val="zh-CN"/>
        </w:rPr>
        <w:t>位于邓坊镇东南部，距政府所在地3.7千米，辖18个村民小组，总户数658户2625人，其中外出务工404人。为典型半山区村，村总面积1163.2公顷，其中耕地面积168.5公顷，林地面积724.4公顷，以种植黄烟、水稻为主。美丽农村建设完成70%。</w:t>
      </w:r>
    </w:p>
    <w:p w14:paraId="6E983ECE">
      <w:pPr>
        <w:bidi w:val="0"/>
        <w:rPr>
          <w:rFonts w:hint="eastAsia"/>
          <w:lang w:val="zh-CN"/>
        </w:rPr>
      </w:pPr>
      <w:r>
        <w:rPr>
          <w:rFonts w:hint="eastAsia"/>
          <w:b/>
          <w:bCs/>
          <w:lang w:val="zh-CN"/>
        </w:rPr>
        <w:t>邓坊村</w:t>
      </w:r>
      <w:r>
        <w:rPr>
          <w:rFonts w:hint="eastAsia"/>
          <w:b/>
          <w:bCs/>
          <w:lang w:val="en-US" w:eastAsia="zh-CN"/>
        </w:rPr>
        <w:t xml:space="preserve">   </w:t>
      </w:r>
      <w:r>
        <w:rPr>
          <w:rFonts w:hint="eastAsia"/>
          <w:lang w:val="zh-CN"/>
        </w:rPr>
        <w:t>位于邓坊镇中心，是镇政府所在地，离镇政府0.55千米，辖14个村民小组，总户数756户2612人，其中外出务工389人。为半山区村。村总面积1051.3公顷，其中耕地面积191.3公顷，林地面积556.2公顷，以种植黄烟、甜玉米、水稻为主导产业。美丽农村建设完成60%。</w:t>
      </w:r>
    </w:p>
    <w:p w14:paraId="29568FF1">
      <w:pPr>
        <w:bidi w:val="0"/>
        <w:rPr>
          <w:rFonts w:hint="eastAsia"/>
          <w:lang w:val="zh-CN"/>
        </w:rPr>
      </w:pPr>
      <w:r>
        <w:rPr>
          <w:rFonts w:hint="eastAsia"/>
          <w:b/>
          <w:bCs/>
          <w:lang w:val="zh-CN"/>
        </w:rPr>
        <w:t>赤石村</w:t>
      </w:r>
      <w:r>
        <w:rPr>
          <w:rFonts w:hint="eastAsia"/>
          <w:b/>
          <w:bCs/>
          <w:lang w:val="en-US" w:eastAsia="zh-CN"/>
        </w:rPr>
        <w:t xml:space="preserve">   </w:t>
      </w:r>
      <w:r>
        <w:rPr>
          <w:rFonts w:hint="eastAsia"/>
          <w:lang w:val="zh-CN"/>
        </w:rPr>
        <w:t>位于南雄市东南部，离镇政府1.6千米，与黄坑镇交界，村共有12个村小组，总户数589户2130人，其中外出务工333人。全村土地面积749.4公顷，其中耕地170.8公顷，林地31.7公顷。主要是以种植水稻和黄烟为主导产业。美丽农村建设完成85%。</w:t>
      </w:r>
    </w:p>
    <w:p w14:paraId="14C276DD">
      <w:pPr>
        <w:bidi w:val="0"/>
        <w:rPr>
          <w:rFonts w:hint="eastAsia"/>
          <w:lang w:val="zh-CN"/>
        </w:rPr>
      </w:pPr>
      <w:r>
        <w:rPr>
          <w:rFonts w:hint="eastAsia"/>
          <w:b/>
          <w:bCs/>
          <w:lang w:val="zh-CN"/>
        </w:rPr>
        <w:t>赤马村</w:t>
      </w:r>
      <w:r>
        <w:rPr>
          <w:rFonts w:hint="eastAsia"/>
          <w:b/>
          <w:bCs/>
          <w:lang w:val="en-US" w:eastAsia="zh-CN"/>
        </w:rPr>
        <w:t xml:space="preserve">   </w:t>
      </w:r>
      <w:r>
        <w:rPr>
          <w:rFonts w:hint="eastAsia"/>
          <w:lang w:val="zh-CN"/>
        </w:rPr>
        <w:t>位于邓坊镇西部，距离镇政府所在地4.3千米，辖8个村民小组，总户数546户1904人，其中外出务工282人。全村总面积662.2公顷，其中耕地面积141.3公顷，林地面积222.7公顷，全村以种植黄烟、水稻为主导产业。投资80万元建设公共服务中心。</w:t>
      </w:r>
    </w:p>
    <w:p w14:paraId="29970002">
      <w:pPr>
        <w:bidi w:val="0"/>
        <w:rPr>
          <w:rFonts w:hint="eastAsia"/>
          <w:lang w:val="zh-CN"/>
        </w:rPr>
      </w:pPr>
      <w:r>
        <w:rPr>
          <w:rFonts w:hint="eastAsia"/>
          <w:b/>
          <w:bCs/>
          <w:lang w:val="zh-CN"/>
        </w:rPr>
        <w:t>马战村</w:t>
      </w:r>
      <w:r>
        <w:rPr>
          <w:rFonts w:hint="eastAsia"/>
          <w:b/>
          <w:bCs/>
          <w:lang w:val="en-US" w:eastAsia="zh-CN"/>
        </w:rPr>
        <w:t xml:space="preserve">   </w:t>
      </w:r>
      <w:r>
        <w:rPr>
          <w:rFonts w:hint="eastAsia"/>
          <w:lang w:val="zh-CN"/>
        </w:rPr>
        <w:t>位于镇西北部，距离镇政府所在地2.4千米，辖7个村民小组，总户数290户1186人，其中外出务工186人。为半山区村，全村总面积259.3公顷，其中耕地面积85.2公顷，林地面积63.6公顷，以种植黄烟、玉米、水稻为主导产业。</w:t>
      </w:r>
    </w:p>
    <w:p w14:paraId="4F34C4ED">
      <w:pPr>
        <w:bidi w:val="0"/>
        <w:rPr>
          <w:rFonts w:hint="eastAsia"/>
          <w:lang w:val="zh-CN"/>
        </w:rPr>
      </w:pPr>
      <w:r>
        <w:rPr>
          <w:rFonts w:hint="eastAsia"/>
          <w:b/>
          <w:bCs/>
          <w:lang w:val="zh-CN"/>
        </w:rPr>
        <w:t>里源村</w:t>
      </w:r>
      <w:r>
        <w:rPr>
          <w:rFonts w:hint="eastAsia"/>
          <w:b/>
          <w:bCs/>
          <w:lang w:val="en-US" w:eastAsia="zh-CN"/>
        </w:rPr>
        <w:t xml:space="preserve">   </w:t>
      </w:r>
      <w:r>
        <w:rPr>
          <w:rFonts w:hint="eastAsia"/>
          <w:lang w:val="zh-CN"/>
        </w:rPr>
        <w:t>地处邓坊镇东北部，距离镇政府所在地3.7千米。有14个村民小组，总户数587户1973人，其中外出务工183人。全村土地面积1385.8公顷，其中旱地34.8公顷，水田138.6公顷，林地1313.3公顷，其它32.3公顷。主要产业：优质水稻、黄烟、甜玉米。农业综合开发投资100万，建设水利设施。</w:t>
      </w:r>
    </w:p>
    <w:p w14:paraId="6A563762">
      <w:pPr>
        <w:bidi w:val="0"/>
        <w:jc w:val="right"/>
        <w:rPr>
          <w:rFonts w:hint="eastAsia"/>
          <w:b/>
          <w:bCs/>
          <w:lang w:val="zh-CN"/>
        </w:rPr>
      </w:pPr>
      <w:r>
        <w:rPr>
          <w:rFonts w:hint="eastAsia"/>
          <w:b/>
          <w:bCs/>
          <w:lang w:val="zh-CN"/>
        </w:rPr>
        <w:t>（朱祖福）</w:t>
      </w:r>
    </w:p>
    <w:p w14:paraId="60E62560">
      <w:pPr>
        <w:pStyle w:val="11"/>
        <w:bidi w:val="0"/>
        <w:rPr>
          <w:rFonts w:hint="eastAsia"/>
          <w:b/>
          <w:bCs/>
          <w:lang w:val="zh-CN"/>
        </w:rPr>
      </w:pPr>
      <w:r>
        <w:rPr>
          <w:rFonts w:hint="eastAsia"/>
          <w:b/>
          <w:bCs/>
          <w:lang w:val="zh-CN"/>
        </w:rPr>
        <w:t>附：2018年邓坊镇领导班子成员名单</w:t>
      </w:r>
    </w:p>
    <w:p w14:paraId="0A70DE31">
      <w:pPr>
        <w:pStyle w:val="11"/>
        <w:bidi w:val="0"/>
        <w:rPr>
          <w:rFonts w:hint="eastAsia"/>
          <w:lang w:val="zh-CN"/>
        </w:rPr>
      </w:pPr>
      <w:r>
        <w:rPr>
          <w:rFonts w:hint="eastAsia"/>
          <w:b/>
          <w:bCs/>
          <w:lang w:val="zh-CN"/>
        </w:rPr>
        <w:t>党委书记：</w:t>
      </w:r>
      <w:r>
        <w:rPr>
          <w:rFonts w:hint="eastAsia"/>
          <w:lang w:val="zh-CN"/>
        </w:rPr>
        <w:t>郭才标</w:t>
      </w:r>
    </w:p>
    <w:p w14:paraId="4270DBE1">
      <w:pPr>
        <w:pStyle w:val="11"/>
        <w:bidi w:val="0"/>
        <w:rPr>
          <w:rFonts w:hint="eastAsia"/>
          <w:lang w:val="zh-CN"/>
        </w:rPr>
      </w:pPr>
      <w:r>
        <w:rPr>
          <w:rFonts w:hint="eastAsia"/>
          <w:b/>
          <w:bCs/>
          <w:lang w:val="zh-CN"/>
        </w:rPr>
        <w:t>党委副书记、镇长：</w:t>
      </w:r>
      <w:r>
        <w:rPr>
          <w:rFonts w:hint="eastAsia"/>
          <w:lang w:val="zh-CN"/>
        </w:rPr>
        <w:t>蓝北华</w:t>
      </w:r>
    </w:p>
    <w:p w14:paraId="61781B68">
      <w:pPr>
        <w:pStyle w:val="11"/>
        <w:bidi w:val="0"/>
        <w:rPr>
          <w:rFonts w:hint="eastAsia"/>
          <w:lang w:val="zh-CN"/>
        </w:rPr>
      </w:pPr>
      <w:r>
        <w:rPr>
          <w:rFonts w:hint="eastAsia"/>
          <w:b/>
          <w:bCs/>
          <w:lang w:val="zh-CN"/>
        </w:rPr>
        <w:t>人大主席：</w:t>
      </w:r>
      <w:r>
        <w:rPr>
          <w:rFonts w:hint="eastAsia"/>
          <w:lang w:val="zh-CN"/>
        </w:rPr>
        <w:t>孙宏澜</w:t>
      </w:r>
    </w:p>
    <w:p w14:paraId="33BB4480">
      <w:pPr>
        <w:pStyle w:val="11"/>
        <w:bidi w:val="0"/>
        <w:rPr>
          <w:rFonts w:hint="eastAsia"/>
          <w:lang w:val="zh-CN"/>
        </w:rPr>
      </w:pPr>
      <w:r>
        <w:rPr>
          <w:rFonts w:hint="eastAsia"/>
          <w:b/>
          <w:bCs/>
          <w:lang w:val="zh-CN"/>
        </w:rPr>
        <w:t>党委副书记（党建）：</w:t>
      </w:r>
      <w:r>
        <w:rPr>
          <w:rFonts w:hint="eastAsia"/>
          <w:lang w:val="zh-CN"/>
        </w:rPr>
        <w:t>廖光耀</w:t>
      </w:r>
    </w:p>
    <w:p w14:paraId="6A40C087">
      <w:pPr>
        <w:pStyle w:val="11"/>
        <w:bidi w:val="0"/>
        <w:rPr>
          <w:rFonts w:hint="eastAsia"/>
          <w:lang w:val="zh-CN"/>
        </w:rPr>
      </w:pPr>
      <w:r>
        <w:rPr>
          <w:rFonts w:hint="eastAsia"/>
          <w:b/>
          <w:bCs/>
          <w:lang w:val="zh-CN"/>
        </w:rPr>
        <w:t>党委副书记（综治）：</w:t>
      </w:r>
      <w:r>
        <w:rPr>
          <w:rFonts w:hint="eastAsia"/>
          <w:lang w:val="zh-CN"/>
        </w:rPr>
        <w:t>陈于军</w:t>
      </w:r>
    </w:p>
    <w:p w14:paraId="52E9A765">
      <w:pPr>
        <w:pStyle w:val="11"/>
        <w:bidi w:val="0"/>
        <w:rPr>
          <w:rFonts w:hint="eastAsia"/>
          <w:lang w:val="zh-CN"/>
        </w:rPr>
      </w:pPr>
      <w:r>
        <w:rPr>
          <w:rFonts w:hint="eastAsia"/>
          <w:b/>
          <w:bCs/>
          <w:lang w:val="zh-CN"/>
        </w:rPr>
        <w:t>党委委员、纪委书记：</w:t>
      </w:r>
      <w:r>
        <w:rPr>
          <w:rFonts w:hint="eastAsia"/>
          <w:lang w:val="zh-CN"/>
        </w:rPr>
        <w:t>胡世璋</w:t>
      </w:r>
    </w:p>
    <w:p w14:paraId="7D24F080">
      <w:pPr>
        <w:pStyle w:val="11"/>
        <w:bidi w:val="0"/>
        <w:rPr>
          <w:rFonts w:hint="eastAsia"/>
          <w:lang w:val="zh-CN"/>
        </w:rPr>
      </w:pPr>
      <w:r>
        <w:rPr>
          <w:rFonts w:hint="eastAsia"/>
          <w:b/>
          <w:bCs/>
          <w:lang w:val="zh-CN"/>
        </w:rPr>
        <w:t>党委组织委员：</w:t>
      </w:r>
      <w:r>
        <w:rPr>
          <w:rFonts w:hint="eastAsia"/>
          <w:lang w:val="zh-CN"/>
        </w:rPr>
        <w:t>罗春兰</w:t>
      </w:r>
    </w:p>
    <w:p w14:paraId="33DE7747">
      <w:pPr>
        <w:pStyle w:val="11"/>
        <w:bidi w:val="0"/>
        <w:rPr>
          <w:rFonts w:hint="eastAsia"/>
          <w:lang w:val="zh-CN"/>
        </w:rPr>
      </w:pPr>
      <w:r>
        <w:rPr>
          <w:rFonts w:hint="eastAsia"/>
          <w:b/>
          <w:bCs/>
          <w:lang w:val="zh-CN"/>
        </w:rPr>
        <w:t>党委宣传委员：</w:t>
      </w:r>
      <w:r>
        <w:rPr>
          <w:rFonts w:hint="eastAsia"/>
          <w:lang w:val="zh-CN"/>
        </w:rPr>
        <w:t>刘烈军</w:t>
      </w:r>
    </w:p>
    <w:p w14:paraId="4DA9B84D">
      <w:pPr>
        <w:pStyle w:val="11"/>
        <w:bidi w:val="0"/>
        <w:rPr>
          <w:rFonts w:hint="eastAsia"/>
          <w:lang w:val="zh-CN"/>
        </w:rPr>
      </w:pPr>
      <w:r>
        <w:rPr>
          <w:rFonts w:hint="eastAsia"/>
          <w:b/>
          <w:bCs/>
          <w:lang w:val="zh-CN"/>
        </w:rPr>
        <w:t>党委委员、武装部部长：</w:t>
      </w:r>
      <w:r>
        <w:rPr>
          <w:rFonts w:hint="eastAsia"/>
          <w:lang w:val="zh-CN"/>
        </w:rPr>
        <w:t>叶小华</w:t>
      </w:r>
    </w:p>
    <w:p w14:paraId="2D06801D">
      <w:pPr>
        <w:pStyle w:val="11"/>
        <w:bidi w:val="0"/>
        <w:rPr>
          <w:rFonts w:hint="eastAsia"/>
          <w:lang w:val="zh-CN"/>
        </w:rPr>
      </w:pPr>
      <w:r>
        <w:rPr>
          <w:rFonts w:hint="eastAsia"/>
          <w:b/>
          <w:bCs/>
          <w:lang w:val="zh-CN"/>
        </w:rPr>
        <w:t>党委委员、副镇长：</w:t>
      </w:r>
      <w:r>
        <w:rPr>
          <w:rFonts w:hint="eastAsia"/>
          <w:lang w:val="zh-CN"/>
        </w:rPr>
        <w:t>张朝林</w:t>
      </w:r>
    </w:p>
    <w:p w14:paraId="3EC71565">
      <w:pPr>
        <w:pStyle w:val="11"/>
        <w:bidi w:val="0"/>
        <w:rPr>
          <w:rFonts w:hint="eastAsia"/>
          <w:lang w:val="zh-CN"/>
        </w:rPr>
      </w:pPr>
      <w:r>
        <w:rPr>
          <w:rFonts w:hint="eastAsia"/>
          <w:b/>
          <w:bCs/>
          <w:lang w:val="zh-CN"/>
        </w:rPr>
        <w:t>副镇长：</w:t>
      </w:r>
      <w:r>
        <w:rPr>
          <w:rFonts w:hint="eastAsia"/>
          <w:lang w:val="zh-CN"/>
        </w:rPr>
        <w:t>胡</w:t>
      </w:r>
      <w:r>
        <w:rPr>
          <w:rFonts w:hint="eastAsia"/>
          <w:lang w:val="en-US" w:eastAsia="zh-CN"/>
        </w:rPr>
        <w:t xml:space="preserve">  </w:t>
      </w:r>
      <w:r>
        <w:rPr>
          <w:rFonts w:hint="eastAsia"/>
          <w:lang w:val="zh-CN"/>
        </w:rPr>
        <w:t>健</w:t>
      </w:r>
    </w:p>
    <w:p w14:paraId="3B649CD6">
      <w:pPr>
        <w:pStyle w:val="11"/>
        <w:bidi w:val="0"/>
        <w:ind w:leftChars="400"/>
        <w:rPr>
          <w:rFonts w:hint="eastAsia"/>
          <w:lang w:val="zh-CN"/>
        </w:rPr>
      </w:pPr>
      <w:r>
        <w:rPr>
          <w:rFonts w:hint="eastAsia"/>
          <w:lang w:val="zh-CN"/>
        </w:rPr>
        <w:t>龚石英（3月任职）</w:t>
      </w:r>
    </w:p>
    <w:p w14:paraId="139CF018">
      <w:pPr>
        <w:pStyle w:val="3"/>
        <w:bidi w:val="0"/>
        <w:rPr>
          <w:rFonts w:hint="eastAsia"/>
          <w:lang w:val="zh-CN"/>
        </w:rPr>
      </w:pPr>
      <w:r>
        <w:rPr>
          <w:rFonts w:hint="eastAsia"/>
          <w:lang w:val="zh-CN"/>
        </w:rPr>
        <w:t>帽子峰镇</w:t>
      </w:r>
    </w:p>
    <w:p w14:paraId="513856A7">
      <w:pPr>
        <w:pStyle w:val="4"/>
        <w:bidi w:val="0"/>
        <w:rPr>
          <w:rFonts w:hint="eastAsia"/>
          <w:lang w:val="zh-CN"/>
        </w:rPr>
      </w:pPr>
      <w:r>
        <w:rPr>
          <w:rFonts w:hint="eastAsia"/>
          <w:lang w:val="zh-CN"/>
        </w:rPr>
        <w:t>【概况】</w:t>
      </w:r>
    </w:p>
    <w:p w14:paraId="53835FEA">
      <w:pPr>
        <w:bidi w:val="0"/>
        <w:rPr>
          <w:rFonts w:hint="eastAsia"/>
          <w:lang w:val="zh-CN"/>
        </w:rPr>
      </w:pPr>
      <w:r>
        <w:rPr>
          <w:rFonts w:hint="eastAsia"/>
          <w:lang w:val="zh-CN"/>
        </w:rPr>
        <w:t>帽子峰镇地处南雄市西北部，东临珠玑，南接全安，西靠澜河，北与江西省大余县交界。距市区24千米，人民政府驻帽子峰镇富竹墟，位于北纬25°13′，东经114°13′。帽子峰镇边境最高山峰形状似帽子，故称此山为帽子峰，海拔高度1058米，镇亦以此为名。</w:t>
      </w:r>
    </w:p>
    <w:p w14:paraId="5C8E85E8">
      <w:pPr>
        <w:bidi w:val="0"/>
        <w:rPr>
          <w:rFonts w:hint="eastAsia"/>
          <w:lang w:val="zh-CN"/>
        </w:rPr>
      </w:pPr>
      <w:r>
        <w:rPr>
          <w:rFonts w:hint="eastAsia"/>
          <w:lang w:val="zh-CN"/>
        </w:rPr>
        <w:t>民国17年（1928）属第八区人和正乡、人和分乡、人和衷乡。1940年改属第一区永和乡。1949年后属全安（卫星）人民公社、城郊人民公社。1960年从城郊人民公社分出，设帽子峰林业人民公社，后改帽子峰人民公社。1984年改称区。1986年冬撤区建镇。辖5个村委会和1个社区居委会，56个村民小组。辖区总面积97.21平方千米，其中山林面积8193.33公顷，耕地面积880公顷。总人口9701人，总户数为2825户，其中农业人口8705人，常住人口6443人。</w:t>
      </w:r>
    </w:p>
    <w:p w14:paraId="313CF234">
      <w:pPr>
        <w:pStyle w:val="4"/>
        <w:bidi w:val="0"/>
        <w:rPr>
          <w:rFonts w:hint="eastAsia"/>
          <w:lang w:val="zh-CN"/>
        </w:rPr>
      </w:pPr>
      <w:r>
        <w:rPr>
          <w:rFonts w:hint="eastAsia"/>
          <w:lang w:val="zh-CN"/>
        </w:rPr>
        <w:t>【自然条件】</w:t>
      </w:r>
    </w:p>
    <w:p w14:paraId="0B9588A1">
      <w:pPr>
        <w:bidi w:val="0"/>
        <w:rPr>
          <w:rFonts w:hint="eastAsia"/>
          <w:lang w:val="zh-CN"/>
        </w:rPr>
      </w:pPr>
      <w:r>
        <w:rPr>
          <w:rFonts w:hint="eastAsia"/>
          <w:lang w:val="zh-CN"/>
        </w:rPr>
        <w:t>地处大庾岭西段山区，属亚热带季风湿润气候区。地质属燕山期花岗岩体及寒武纪、震旦纪变质岩体。云母花岗岩、二长花岗岩遍布全境。土壤类型是花岗岩风化发育而成的黄壤和红壤。森林覆盖率76%，树种以松、杉、毛竹为主。境内主要河流年均流量9.26立方米/秒，水能蕴藏量0.54万千瓦。矿产有花岗石、稀土、黄金等。冬短夏长，四季分明，年平均气温19.6度。适宜种植水稻、黄烟、蔬菜、花生、中药材、银杏及各种食用、药用菌类等。</w:t>
      </w:r>
    </w:p>
    <w:p w14:paraId="556F6583">
      <w:pPr>
        <w:pStyle w:val="4"/>
        <w:bidi w:val="0"/>
        <w:rPr>
          <w:rFonts w:hint="eastAsia"/>
          <w:lang w:val="zh-CN"/>
        </w:rPr>
      </w:pPr>
      <w:r>
        <w:rPr>
          <w:rFonts w:hint="eastAsia"/>
          <w:lang w:val="zh-CN"/>
        </w:rPr>
        <w:t>【旅游资源】</w:t>
      </w:r>
    </w:p>
    <w:p w14:paraId="61F716A6">
      <w:pPr>
        <w:bidi w:val="0"/>
        <w:rPr>
          <w:rFonts w:hint="eastAsia"/>
          <w:lang w:val="zh-CN"/>
        </w:rPr>
      </w:pPr>
      <w:r>
        <w:rPr>
          <w:rFonts w:hint="eastAsia"/>
          <w:lang w:val="zh-CN"/>
        </w:rPr>
        <w:t>水资源丰富，水文情况稳定，凌江河有6座梯级电站拦起6处各具特色的高峡平湖，山水秀丽；帽子峰海拔1058米，耸立于崇山峻岭之中，登峰远眺，或观日出，或览雾海，不亚于庐山、丹霞。帽子峰林场风景宜人，无奇险之胜景，但有清静幽雅之环境。远离村镇，层峦叠嶂，空气清新，“翠滴青山不染尘”。林场资源除用材林外，树木繁多，已知的用材林树种有133种，药用植物168种。林场四季草木繁多，很多地方保留原始森林风貌，野果也满山遍野。林场四季鸟语花香，20世纪50年代这里曾有华南虎的足迹，现在树林间，也常闻鸟语，偶见松鼠、麋子出没。发现的兰花品种有5种，桂花散生山坑，有的树龄百年以上，农历八月花开，清香远播。</w:t>
      </w:r>
    </w:p>
    <w:p w14:paraId="7FED378F">
      <w:pPr>
        <w:pStyle w:val="4"/>
        <w:bidi w:val="0"/>
        <w:rPr>
          <w:rFonts w:hint="eastAsia"/>
          <w:lang w:val="zh-CN"/>
        </w:rPr>
      </w:pPr>
      <w:r>
        <w:rPr>
          <w:rFonts w:hint="eastAsia"/>
          <w:lang w:val="zh-CN"/>
        </w:rPr>
        <w:t>【经济建设】</w:t>
      </w:r>
    </w:p>
    <w:p w14:paraId="2609AACA">
      <w:pPr>
        <w:bidi w:val="0"/>
        <w:rPr>
          <w:rFonts w:hint="eastAsia"/>
          <w:lang w:val="zh-CN"/>
        </w:rPr>
      </w:pPr>
      <w:r>
        <w:rPr>
          <w:rFonts w:hint="eastAsia"/>
          <w:lang w:val="zh-CN"/>
        </w:rPr>
        <w:t>耕地面积883.3公顷，人均0.08公顷。粮食作物以水稻、薯类和玉米为主，2018年生产粮食8091吨，其中水稻5985吨，薯类1277吨，玉米512吨。主要经济作物有黄烟、花生、朝天椒，2018年种植仙草33.57公顷，种植“铁冬青”33.33公顷，中药材产业基地形成66.67公顷规模，5个村连片种植66.67公顷油菜花；收购黄烟38.85吨，100%完成收购任务。畜牧业以养殖鸡、鸭为主，家禽出栏16.7万只、存栏3.8万只。累计完成固定资产投资7453万元。</w:t>
      </w:r>
    </w:p>
    <w:p w14:paraId="6611198F">
      <w:pPr>
        <w:pStyle w:val="4"/>
        <w:bidi w:val="0"/>
        <w:rPr>
          <w:rFonts w:hint="eastAsia"/>
          <w:lang w:val="zh-CN"/>
        </w:rPr>
      </w:pPr>
      <w:r>
        <w:rPr>
          <w:rFonts w:hint="eastAsia"/>
          <w:lang w:val="zh-CN"/>
        </w:rPr>
        <w:t>【民生保障】</w:t>
      </w:r>
    </w:p>
    <w:p w14:paraId="21B971DE">
      <w:pPr>
        <w:bidi w:val="0"/>
        <w:rPr>
          <w:rFonts w:hint="eastAsia"/>
          <w:lang w:val="zh-CN"/>
        </w:rPr>
      </w:pPr>
      <w:r>
        <w:rPr>
          <w:rFonts w:hint="eastAsia"/>
          <w:lang w:val="zh-CN"/>
        </w:rPr>
        <w:t>2018年城乡居民医疗保险参保人数7522人，参保率92.63%。新型农村社会养老保险缴费2350人，缴费率100%；确保应保尽保，核定低保人员165人，全镇累计发放低保、五保、医疗救助、重点优抚对象补助、残疾人护理补贴、生活补贴等补助资金175万元。</w:t>
      </w:r>
    </w:p>
    <w:p w14:paraId="7DE2DB51">
      <w:pPr>
        <w:pStyle w:val="4"/>
        <w:bidi w:val="0"/>
        <w:rPr>
          <w:rFonts w:hint="eastAsia"/>
          <w:lang w:val="zh-CN"/>
        </w:rPr>
      </w:pPr>
      <w:r>
        <w:rPr>
          <w:rFonts w:hint="eastAsia"/>
          <w:lang w:val="zh-CN"/>
        </w:rPr>
        <w:t>【精准扶贫】</w:t>
      </w:r>
    </w:p>
    <w:p w14:paraId="51C8B515">
      <w:pPr>
        <w:bidi w:val="0"/>
        <w:rPr>
          <w:rFonts w:hint="eastAsia"/>
          <w:lang w:val="zh-CN"/>
        </w:rPr>
      </w:pPr>
      <w:r>
        <w:rPr>
          <w:rFonts w:hint="eastAsia"/>
          <w:lang w:val="zh-CN"/>
        </w:rPr>
        <w:t>2018年27户87人实现脱贫，全部实现“八有”，其中政策性兜底脱贫2户6人，有劳动能力脱贫25户81人（其中产业脱贫8户27人，就业脱贫17户54人）。落实社会保障政策，符合条件的全部或部分丧失劳动能力的贫困户100%纳入农村低保或特困人员救助对象。落实贫困户子女教育政策，九年义务教育入学率为100%，贫困户受教育子女86人，教育帮扶政策落实率为97.7％。落实危房改造政策，2018年24户危房改造户全面完成验收。落实医疗保险和医疗救助政策，建档立卡贫困户全部纳入医疗保障，帮助贫困户申请医疗救助。洞头、富竹两个贫困村投入资金90万元发展种植中药材铁冬青66.67公顷。统筹面上村资金30万元，以上龙鑫欣园合作社为依托，发展种植33.57公顷仙草，其中有18户有劳动力的贫困户参与种植仙草4公顷，全部收割售完，8月份两个扶贫产业的第一笔分红款发放到位。扶持发展“一村一品”油菜产业。2018年种植油菜66.67公顷。为17户贫困户发放油茶苗2520株。落实以奖代补政策，2018年发放奖补资金36.4万元，有劳动能力贫困户种养积极性普遍提高。落实小额贷款政策。2018年帮助10户贫困户申请贷款29万元。</w:t>
      </w:r>
    </w:p>
    <w:p w14:paraId="1547E651">
      <w:pPr>
        <w:pStyle w:val="4"/>
        <w:bidi w:val="0"/>
        <w:rPr>
          <w:rFonts w:hint="eastAsia"/>
          <w:lang w:val="zh-CN"/>
        </w:rPr>
      </w:pPr>
      <w:r>
        <w:rPr>
          <w:rFonts w:hint="eastAsia"/>
          <w:lang w:val="zh-CN"/>
        </w:rPr>
        <w:t>【新农村建设】</w:t>
      </w:r>
    </w:p>
    <w:p w14:paraId="39F6A4A6">
      <w:pPr>
        <w:bidi w:val="0"/>
        <w:rPr>
          <w:rFonts w:hint="eastAsia"/>
          <w:lang w:val="zh-CN"/>
        </w:rPr>
      </w:pPr>
      <w:r>
        <w:rPr>
          <w:rFonts w:hint="eastAsia"/>
          <w:lang w:val="zh-CN"/>
        </w:rPr>
        <w:t>富竹、洞头两个省定贫困村24个20户以上村小组全面完成“三清三拆三整治”工作，并且24个村小组的新农村建设工作已基本完工。坪山、上龙、梨树三个面上村基本完成“三清三拆三整治”工作，为下一步进场施工建设做好准备。</w:t>
      </w:r>
    </w:p>
    <w:p w14:paraId="67F33526">
      <w:pPr>
        <w:pStyle w:val="4"/>
        <w:bidi w:val="0"/>
        <w:rPr>
          <w:rFonts w:hint="eastAsia"/>
          <w:lang w:val="zh-CN"/>
        </w:rPr>
      </w:pPr>
      <w:r>
        <w:rPr>
          <w:rFonts w:hint="eastAsia"/>
          <w:lang w:val="zh-CN"/>
        </w:rPr>
        <w:t>【城乡建设】</w:t>
      </w:r>
    </w:p>
    <w:p w14:paraId="67E030C8">
      <w:pPr>
        <w:bidi w:val="0"/>
        <w:rPr>
          <w:rFonts w:hint="eastAsia"/>
          <w:lang w:val="zh-CN"/>
        </w:rPr>
      </w:pPr>
      <w:r>
        <w:rPr>
          <w:rFonts w:hint="eastAsia"/>
          <w:lang w:val="zh-CN"/>
        </w:rPr>
        <w:t>2018年，全面推进农村电网由南方电网公司接管工作，解决帽子峰镇多年来供电能力不足问题。完善农村饮用水工程建设。积极争取指标对各村道进行水泥硬底化建设。在富竹至中俚洞公路安装200盏路灯。配合水务局完成凌江河、横水河7座桥梁的建设。坪山美丽乡村建设已验收完工。污水处理厂建设正在积极推进。建成富竹、梨树村韶关市级文化活动服务中心和坪山、上龙、梨树公建民营卫生站。森林小镇建设。大力推进镇区的绿化建设、森林公园建设，完成造林绿化40多公顷。做好墟镇绿化。不断完善墟镇街道两旁绿化带建设和富竹森林公园基础设施建设，在全镇范围开展义务植树，栽种树苗4000余棵。加强乡村绿化美化。在富竹村委会富竹新街河堤两岸种植绿化植被2500平方米，在洞头河背村、坪山前村种植杜英、香樟、桂花、黄金香柳等树种2000多株。</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0E28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F2E15E1">
            <w:pPr>
              <w:bidi w:val="0"/>
              <w:ind w:left="0" w:leftChars="0" w:firstLine="0" w:firstLineChars="0"/>
              <w:rPr>
                <w:rFonts w:hint="eastAsia"/>
                <w:vertAlign w:val="baseline"/>
                <w:lang w:val="zh-CN"/>
              </w:rPr>
            </w:pPr>
            <w:r>
              <w:rPr>
                <w:rFonts w:hint="eastAsia"/>
                <w:vertAlign w:val="baseline"/>
                <w:lang w:val="zh-CN"/>
              </w:rPr>
              <w:drawing>
                <wp:inline distT="0" distB="0" distL="114300" distR="114300">
                  <wp:extent cx="6186805" cy="4034790"/>
                  <wp:effectExtent l="0" t="0" r="4445" b="3810"/>
                  <wp:docPr id="134" name="图片 134" descr="南雄年鉴2019_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南雄年鉴2019_0109"/>
                          <pic:cNvPicPr>
                            <a:picLocks noChangeAspect="1"/>
                          </pic:cNvPicPr>
                        </pic:nvPicPr>
                        <pic:blipFill>
                          <a:blip r:embed="rId121"/>
                          <a:stretch>
                            <a:fillRect/>
                          </a:stretch>
                        </pic:blipFill>
                        <pic:spPr>
                          <a:xfrm>
                            <a:off x="0" y="0"/>
                            <a:ext cx="6186805" cy="4034790"/>
                          </a:xfrm>
                          <a:prstGeom prst="rect">
                            <a:avLst/>
                          </a:prstGeom>
                        </pic:spPr>
                      </pic:pic>
                    </a:graphicData>
                  </a:graphic>
                </wp:inline>
              </w:drawing>
            </w:r>
          </w:p>
        </w:tc>
      </w:tr>
      <w:tr w14:paraId="6B642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F875774">
            <w:pPr>
              <w:bidi w:val="0"/>
              <w:rPr>
                <w:rFonts w:hint="eastAsia"/>
                <w:vertAlign w:val="baseline"/>
                <w:lang w:val="zh-CN"/>
              </w:rPr>
            </w:pPr>
            <w:r>
              <w:rPr>
                <w:rFonts w:hint="eastAsia" w:ascii="FZKTK--GBK1-0" w:hAnsi="FZKTK--GBK1-0" w:eastAsia="FZKTK--GBK1-0"/>
                <w:sz w:val="20"/>
              </w:rPr>
              <w:t>图为新农村建设后的洞头村河背村（帽子峰镇政府</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69308FB8">
      <w:pPr>
        <w:pStyle w:val="4"/>
        <w:bidi w:val="0"/>
        <w:rPr>
          <w:rFonts w:hint="eastAsia"/>
          <w:lang w:val="zh-CN"/>
        </w:rPr>
      </w:pPr>
      <w:r>
        <w:rPr>
          <w:rFonts w:hint="eastAsia"/>
          <w:lang w:val="zh-CN"/>
        </w:rPr>
        <w:t>【特色农业】</w:t>
      </w:r>
    </w:p>
    <w:p w14:paraId="34B98B53">
      <w:pPr>
        <w:bidi w:val="0"/>
        <w:rPr>
          <w:rFonts w:hint="eastAsia"/>
          <w:lang w:val="zh-CN"/>
        </w:rPr>
      </w:pPr>
      <w:r>
        <w:rPr>
          <w:rFonts w:hint="eastAsia"/>
          <w:lang w:val="zh-CN"/>
        </w:rPr>
        <w:t>大力发展特色产业，以上龙鑫欣园合作社为依托，与澜河镇葛坪村仙草种植合作社签订协议，打造500亩中草药种植基地；结合发展“一村一品”油菜产业，流转各村土地连片种植66.67公顷油菜花；结合发展扶贫产业，种植油茶苗2520株。</w:t>
      </w:r>
    </w:p>
    <w:p w14:paraId="16EC9783">
      <w:pPr>
        <w:pStyle w:val="4"/>
        <w:bidi w:val="0"/>
        <w:rPr>
          <w:rFonts w:hint="eastAsia"/>
          <w:lang w:val="zh-CN"/>
        </w:rPr>
      </w:pPr>
      <w:r>
        <w:rPr>
          <w:rFonts w:hint="eastAsia"/>
          <w:lang w:val="zh-CN"/>
        </w:rPr>
        <w:t>【农村生活垃圾整治】</w:t>
      </w:r>
    </w:p>
    <w:p w14:paraId="47BE3C3C">
      <w:pPr>
        <w:bidi w:val="0"/>
        <w:rPr>
          <w:rFonts w:hint="eastAsia"/>
          <w:lang w:val="zh-CN"/>
        </w:rPr>
      </w:pPr>
      <w:r>
        <w:rPr>
          <w:rFonts w:hint="eastAsia"/>
          <w:lang w:val="zh-CN"/>
        </w:rPr>
        <w:t>2018年聘请村级保洁员39名，形成定员保洁、定点投放、定时收运、集中处置的有效运转机制。垃圾清运处理和保洁体系建设实现全覆盖，村庄保洁率达到100%。4月至6月，开展为期3个月的清理历史存量垃圾工作，累计参与清理农村历史存量生活垃圾人数468人次，出动各类清运车辆62台次，清理垃圾死角142处，转运处置各类生活垃圾35吨。</w:t>
      </w:r>
    </w:p>
    <w:p w14:paraId="64FB2053">
      <w:pPr>
        <w:pStyle w:val="4"/>
        <w:bidi w:val="0"/>
        <w:rPr>
          <w:rFonts w:hint="eastAsia"/>
          <w:lang w:val="zh-CN"/>
        </w:rPr>
      </w:pPr>
      <w:r>
        <w:rPr>
          <w:rFonts w:hint="eastAsia"/>
          <w:lang w:val="zh-CN"/>
        </w:rPr>
        <w:t>【各村委会（社区）基本情况】</w:t>
      </w:r>
    </w:p>
    <w:p w14:paraId="4ADE9F75">
      <w:pPr>
        <w:bidi w:val="0"/>
        <w:rPr>
          <w:rFonts w:hint="eastAsia"/>
          <w:lang w:val="zh-CN"/>
        </w:rPr>
      </w:pPr>
      <w:r>
        <w:rPr>
          <w:rFonts w:hint="eastAsia"/>
          <w:b/>
          <w:bCs/>
          <w:lang w:val="zh-CN"/>
        </w:rPr>
        <w:t>墟镇社区</w:t>
      </w:r>
      <w:r>
        <w:rPr>
          <w:rFonts w:hint="eastAsia"/>
          <w:b/>
          <w:bCs/>
          <w:lang w:val="en-US" w:eastAsia="zh-CN"/>
        </w:rPr>
        <w:t xml:space="preserve">   </w:t>
      </w:r>
      <w:r>
        <w:rPr>
          <w:rFonts w:hint="eastAsia"/>
          <w:lang w:val="zh-CN"/>
        </w:rPr>
        <w:t>是镇政府所在地，社区户数530户930人。</w:t>
      </w:r>
    </w:p>
    <w:p w14:paraId="6BD671CD">
      <w:pPr>
        <w:bidi w:val="0"/>
        <w:rPr>
          <w:rFonts w:hint="eastAsia"/>
          <w:lang w:val="zh-CN"/>
        </w:rPr>
      </w:pPr>
      <w:r>
        <w:rPr>
          <w:rFonts w:hint="eastAsia"/>
          <w:b/>
          <w:bCs/>
          <w:lang w:val="zh-CN"/>
        </w:rPr>
        <w:t>富竹村</w:t>
      </w:r>
      <w:r>
        <w:rPr>
          <w:rFonts w:hint="eastAsia"/>
          <w:b/>
          <w:bCs/>
          <w:lang w:val="en-US" w:eastAsia="zh-CN"/>
        </w:rPr>
        <w:t xml:space="preserve">   </w:t>
      </w:r>
      <w:r>
        <w:rPr>
          <w:rFonts w:hint="eastAsia"/>
          <w:lang w:val="zh-CN"/>
        </w:rPr>
        <w:t>位于帽子峰镇南部，距离镇政府所在地0.5千米。下辖15个村小组581户，2228人。其中有畲族28户115人，分布在西石、水南坝村小组，其余为汉族。</w:t>
      </w:r>
    </w:p>
    <w:p w14:paraId="23720D9F">
      <w:pPr>
        <w:bidi w:val="0"/>
        <w:rPr>
          <w:rFonts w:hint="eastAsia"/>
          <w:lang w:val="zh-CN"/>
        </w:rPr>
      </w:pPr>
      <w:r>
        <w:rPr>
          <w:rFonts w:hint="eastAsia"/>
          <w:b/>
          <w:bCs/>
          <w:lang w:val="zh-CN"/>
        </w:rPr>
        <w:t>洞头村</w:t>
      </w:r>
      <w:r>
        <w:rPr>
          <w:rFonts w:hint="eastAsia"/>
          <w:b/>
          <w:bCs/>
          <w:lang w:val="en-US" w:eastAsia="zh-CN"/>
        </w:rPr>
        <w:t xml:space="preserve">   </w:t>
      </w:r>
      <w:r>
        <w:rPr>
          <w:rFonts w:hint="eastAsia"/>
          <w:lang w:val="zh-CN"/>
        </w:rPr>
        <w:t>位于帽子峰镇北部，距离镇政府所在地6千米。下辖11个村小组496户，共1931人。其中有畲族5户25人，主要分布在坎头下村小组，其余为汉族。</w:t>
      </w:r>
    </w:p>
    <w:p w14:paraId="163529D1">
      <w:pPr>
        <w:bidi w:val="0"/>
        <w:rPr>
          <w:rFonts w:hint="eastAsia"/>
          <w:lang w:val="zh-CN"/>
        </w:rPr>
      </w:pPr>
      <w:r>
        <w:rPr>
          <w:rFonts w:hint="eastAsia"/>
          <w:b/>
          <w:bCs/>
          <w:lang w:val="zh-CN"/>
        </w:rPr>
        <w:t>坪山村</w:t>
      </w:r>
      <w:r>
        <w:rPr>
          <w:rFonts w:hint="eastAsia"/>
          <w:b/>
          <w:bCs/>
          <w:lang w:val="en-US" w:eastAsia="zh-CN"/>
        </w:rPr>
        <w:t xml:space="preserve">   </w:t>
      </w:r>
      <w:r>
        <w:rPr>
          <w:rFonts w:hint="eastAsia"/>
          <w:lang w:val="zh-CN"/>
        </w:rPr>
        <w:t>位于帽子峰镇东北部，距离镇政府所在地5千米。下辖11个村小组405户，共1560人。</w:t>
      </w:r>
    </w:p>
    <w:p w14:paraId="7AC3138F">
      <w:pPr>
        <w:bidi w:val="0"/>
        <w:rPr>
          <w:rFonts w:hint="eastAsia"/>
          <w:lang w:val="zh-CN"/>
        </w:rPr>
      </w:pPr>
      <w:r>
        <w:rPr>
          <w:rFonts w:hint="eastAsia"/>
          <w:b/>
          <w:bCs/>
          <w:lang w:val="zh-CN"/>
        </w:rPr>
        <w:t>上龙村</w:t>
      </w:r>
      <w:r>
        <w:rPr>
          <w:rFonts w:hint="eastAsia"/>
          <w:b/>
          <w:bCs/>
          <w:lang w:val="en-US" w:eastAsia="zh-CN"/>
        </w:rPr>
        <w:t xml:space="preserve">   </w:t>
      </w:r>
      <w:r>
        <w:rPr>
          <w:rFonts w:hint="eastAsia"/>
          <w:lang w:val="zh-CN"/>
        </w:rPr>
        <w:t>位于帽子峰镇东北部，距离镇政府所在地7千米。下辖8个村小组398户，共1480人。其中有畲族3户10人，分布在上龙、旱芫村小组，其余为汉族。</w:t>
      </w:r>
    </w:p>
    <w:p w14:paraId="7963F9B5">
      <w:pPr>
        <w:bidi w:val="0"/>
        <w:rPr>
          <w:rFonts w:hint="eastAsia"/>
          <w:lang w:val="zh-CN"/>
        </w:rPr>
      </w:pPr>
      <w:r>
        <w:rPr>
          <w:rFonts w:hint="eastAsia"/>
          <w:b/>
          <w:bCs/>
          <w:lang w:val="zh-CN"/>
        </w:rPr>
        <w:t>梨树村</w:t>
      </w:r>
      <w:r>
        <w:rPr>
          <w:rFonts w:hint="eastAsia"/>
          <w:b/>
          <w:bCs/>
          <w:lang w:val="en-US" w:eastAsia="zh-CN"/>
        </w:rPr>
        <w:t xml:space="preserve">   </w:t>
      </w:r>
      <w:r>
        <w:rPr>
          <w:rFonts w:hint="eastAsia"/>
          <w:lang w:val="zh-CN"/>
        </w:rPr>
        <w:t>位于帽子峰镇东北边陲，北与江西省交接，距离帽子峰镇政府所在地8千米，下辖11个村小组403户，1561人。（何静）</w:t>
      </w:r>
    </w:p>
    <w:p w14:paraId="7043E5F3">
      <w:pPr>
        <w:bidi w:val="0"/>
        <w:rPr>
          <w:rFonts w:hint="eastAsia"/>
          <w:lang w:val="zh-CN"/>
        </w:rPr>
      </w:pPr>
      <w:r>
        <w:rPr>
          <w:rFonts w:hint="eastAsia"/>
          <w:b/>
          <w:bCs/>
          <w:lang w:val="zh-CN"/>
        </w:rPr>
        <w:t>举行“中共五岭地委、粤赣湘边人民解放总队”旧址修复竣工暨爱国主义教育基地布展启用揭牌仪式</w:t>
      </w:r>
      <w:r>
        <w:rPr>
          <w:rFonts w:hint="eastAsia"/>
          <w:lang w:val="zh-CN"/>
        </w:rPr>
        <w:t>2月5日，在帽子峰镇坪山村委会乾村举行“中共五岭地委、粤赣湘边人民解放总队”旧址修复竣工暨爱国主义教育基地布展启用揭牌仪式。粤赣湘边人民解放总队总队长、中国人民解放军粤赣湘边纵队北江第二支队司令员黄业之子黄千山出席仪式。南岭山脉是中国南部最大山脉和重要自然地理界线之一。这条横贯广东、湖南、江西、广西4省区交界处的瑰丽山脉，其核心地带是大庾岭、骑田岭、都庞岭、萌渚岭、越城岭，被称为“五岭”地带。1947年3月，中共中央香港分局派遣人员在韶关仁化长江镇凌溪村云影庵召开会议，成立中共五岭地方委员会。不久后，五岭地委决定将所属武装部队统一编为粤赣湘边人民解放总队，地委和总队领导机关设在南雄帽子峰乾村。解放战争时期，这支在粤赣湘边地区游击队基础上成立的武装力量，在中共五岭地委和粤赣湘边区党委的领导下，纵横于粤赣湘边区，与敌人进行艰苦卓绝的斗争，为解放战争的胜利做出卓越贡献。</w:t>
      </w:r>
    </w:p>
    <w:p w14:paraId="3F35916C">
      <w:pPr>
        <w:bidi w:val="0"/>
        <w:rPr>
          <w:rFonts w:hint="eastAsia"/>
          <w:lang w:val="zh-CN"/>
        </w:rPr>
      </w:pPr>
      <w:r>
        <w:rPr>
          <w:rFonts w:hint="eastAsia"/>
          <w:lang w:val="zh-CN"/>
        </w:rPr>
        <w:t>南雄是广东省原中央苏区县域经济创新发展示范县，2018年推进广东省全域旅游示范区建设，以打响“红色文化”为主题，出台《南雄市红色旅游规划》，擦亮南雄“红色遗迹”，五岭地委、粤赣湘边人民解放总队旧址的修复竣工将为南雄近代革命史的完整构筑提供实物链条，让人们重温红色历史，传承苏区精神，推动南雄红色旅游快速发展。</w:t>
      </w:r>
    </w:p>
    <w:p w14:paraId="07E6C820">
      <w:pPr>
        <w:bidi w:val="0"/>
        <w:rPr>
          <w:rFonts w:hint="eastAsia"/>
          <w:lang w:val="zh-CN"/>
        </w:rPr>
      </w:pPr>
      <w:r>
        <w:rPr>
          <w:rFonts w:hint="eastAsia"/>
          <w:b/>
          <w:bCs/>
          <w:lang w:val="zh-CN"/>
        </w:rPr>
        <w:t>2018广东银杏文化旅游节开幕</w:t>
      </w:r>
      <w:r>
        <w:rPr>
          <w:rFonts w:hint="eastAsia"/>
          <w:b/>
          <w:bCs/>
          <w:lang w:val="en-US" w:eastAsia="zh-CN"/>
        </w:rPr>
        <w:t xml:space="preserve">   </w:t>
      </w:r>
      <w:r>
        <w:rPr>
          <w:rFonts w:hint="eastAsia"/>
          <w:lang w:val="zh-CN"/>
        </w:rPr>
        <w:t>11月2日，2018广东银杏文化旅游节在帽子峰省级森林公园开幕。南雄市素有“银杏之乡”美称，“银杏染秋”景观是南雄旅游的一大品牌，每年10月下旬到12月上旬是南雄银杏叶黄的季节，散落地上和挂满树枝的金灿灿的叶子相映争辉，宛如一个金色的童话世界。每年这个季节都会迎来海内外大批游客、摄影爱好者和美术爱好者，来赏美丽秋色和进行采风创作。自2014年起，南雄市以此为契机举办首届银杏文化旅游节，向游客推介“银杏染秋”这一品牌，得到广大游客的喜爱和追捧。2015年，该品牌荣获广东省“最具潜力旅游品牌第二名”的荣誉。同年起，南雄积极争取和整合各级各部门资金，对帽子峰、坪田银杏主景区的旅游道路、生态停车场、旅游厕所、景区环境等一系列基础设施和配套设施不断进行完善，并出台政策鼓励发展星级酒店和民宿，全面提升南雄旅游接待能力。2018年广东银杏文化旅游节的举办，是南雄坚持走生态发展之路的生动体现，进一步擦亮“银杏染秋”旅游品牌，积极推动南雄市全域旅游发展。2018年银杏观赏季期间，南雄市接待游客183.53万人次，旅游总收入突破12.54亿元。</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12F0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2BDD1F3">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6805" cy="4034790"/>
                  <wp:effectExtent l="0" t="0" r="4445" b="3810"/>
                  <wp:docPr id="135" name="图片 135" descr="南雄年鉴2019_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南雄年鉴2019_0110"/>
                          <pic:cNvPicPr>
                            <a:picLocks noChangeAspect="1"/>
                          </pic:cNvPicPr>
                        </pic:nvPicPr>
                        <pic:blipFill>
                          <a:blip r:embed="rId122"/>
                          <a:stretch>
                            <a:fillRect/>
                          </a:stretch>
                        </pic:blipFill>
                        <pic:spPr>
                          <a:xfrm>
                            <a:off x="0" y="0"/>
                            <a:ext cx="6186805" cy="4034790"/>
                          </a:xfrm>
                          <a:prstGeom prst="rect">
                            <a:avLst/>
                          </a:prstGeom>
                        </pic:spPr>
                      </pic:pic>
                    </a:graphicData>
                  </a:graphic>
                </wp:inline>
              </w:drawing>
            </w:r>
          </w:p>
        </w:tc>
      </w:tr>
      <w:tr w14:paraId="38E73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B508C74">
            <w:pPr>
              <w:bidi w:val="0"/>
              <w:rPr>
                <w:rFonts w:hint="eastAsia"/>
                <w:vertAlign w:val="baseline"/>
                <w:lang w:val="zh-CN"/>
              </w:rPr>
            </w:pPr>
            <w:r>
              <w:rPr>
                <w:rFonts w:hint="eastAsia" w:ascii="FZKTK--GBK1-0" w:hAnsi="FZKTK--GBK1-0" w:eastAsia="FZKTK--GBK1-0"/>
                <w:sz w:val="20"/>
              </w:rPr>
              <w:t>2018广东（南雄）银杏文化旅游节开幕式现场表演（市委办</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59D50993">
      <w:pPr>
        <w:pStyle w:val="11"/>
        <w:bidi w:val="0"/>
        <w:rPr>
          <w:rFonts w:hint="eastAsia"/>
          <w:b/>
          <w:bCs/>
          <w:lang w:val="zh-CN"/>
        </w:rPr>
      </w:pPr>
      <w:r>
        <w:rPr>
          <w:rFonts w:hint="eastAsia"/>
          <w:b/>
          <w:bCs/>
          <w:lang w:val="zh-CN"/>
        </w:rPr>
        <w:t>附：2018年帽子峰镇领导班子成员名单</w:t>
      </w:r>
    </w:p>
    <w:p w14:paraId="2EB4C606">
      <w:pPr>
        <w:pStyle w:val="11"/>
        <w:bidi w:val="0"/>
        <w:rPr>
          <w:rFonts w:hint="eastAsia"/>
          <w:lang w:val="zh-CN"/>
        </w:rPr>
      </w:pPr>
      <w:r>
        <w:rPr>
          <w:rFonts w:hint="eastAsia"/>
          <w:b/>
          <w:bCs/>
          <w:lang w:val="zh-CN"/>
        </w:rPr>
        <w:t>党委书记：</w:t>
      </w:r>
      <w:r>
        <w:rPr>
          <w:rFonts w:hint="eastAsia"/>
          <w:lang w:val="zh-CN"/>
        </w:rPr>
        <w:t>朱世平（任至9月）</w:t>
      </w:r>
    </w:p>
    <w:p w14:paraId="2DC96D28">
      <w:pPr>
        <w:pStyle w:val="11"/>
        <w:bidi w:val="0"/>
        <w:ind w:leftChars="500"/>
        <w:rPr>
          <w:rFonts w:hint="eastAsia"/>
          <w:lang w:val="zh-CN"/>
        </w:rPr>
      </w:pPr>
      <w:r>
        <w:rPr>
          <w:rFonts w:hint="eastAsia"/>
          <w:lang w:val="zh-CN"/>
        </w:rPr>
        <w:t>黄德忠（9月任职）</w:t>
      </w:r>
    </w:p>
    <w:p w14:paraId="0EB75320">
      <w:pPr>
        <w:pStyle w:val="11"/>
        <w:bidi w:val="0"/>
        <w:rPr>
          <w:rFonts w:hint="eastAsia"/>
          <w:lang w:val="zh-CN"/>
        </w:rPr>
      </w:pPr>
      <w:r>
        <w:rPr>
          <w:rFonts w:hint="eastAsia"/>
          <w:b/>
          <w:bCs/>
          <w:lang w:val="zh-CN"/>
        </w:rPr>
        <w:t>党委副书记、镇长：</w:t>
      </w:r>
      <w:r>
        <w:rPr>
          <w:rFonts w:hint="eastAsia"/>
          <w:lang w:val="zh-CN"/>
        </w:rPr>
        <w:t>徐精华</w:t>
      </w:r>
    </w:p>
    <w:p w14:paraId="7B5DBB2B">
      <w:pPr>
        <w:pStyle w:val="11"/>
        <w:bidi w:val="0"/>
        <w:rPr>
          <w:rFonts w:hint="eastAsia"/>
          <w:lang w:val="zh-CN"/>
        </w:rPr>
      </w:pPr>
      <w:r>
        <w:rPr>
          <w:rFonts w:hint="eastAsia"/>
          <w:b/>
          <w:bCs/>
          <w:lang w:val="zh-CN"/>
        </w:rPr>
        <w:t>人大主席：</w:t>
      </w:r>
      <w:r>
        <w:rPr>
          <w:rFonts w:hint="eastAsia"/>
          <w:lang w:val="zh-CN"/>
        </w:rPr>
        <w:t>罗祥忠</w:t>
      </w:r>
    </w:p>
    <w:p w14:paraId="0185ED6B">
      <w:pPr>
        <w:pStyle w:val="11"/>
        <w:bidi w:val="0"/>
        <w:rPr>
          <w:rFonts w:hint="eastAsia"/>
          <w:lang w:val="zh-CN"/>
        </w:rPr>
      </w:pPr>
      <w:r>
        <w:rPr>
          <w:rFonts w:hint="eastAsia"/>
          <w:b/>
          <w:bCs/>
          <w:lang w:val="zh-CN"/>
        </w:rPr>
        <w:t>党委副书记（综治）：</w:t>
      </w:r>
      <w:r>
        <w:rPr>
          <w:rFonts w:hint="eastAsia"/>
          <w:lang w:val="zh-CN"/>
        </w:rPr>
        <w:t>叶细芳</w:t>
      </w:r>
    </w:p>
    <w:p w14:paraId="062D8F6B">
      <w:pPr>
        <w:pStyle w:val="11"/>
        <w:bidi w:val="0"/>
        <w:rPr>
          <w:rFonts w:hint="eastAsia"/>
          <w:lang w:val="zh-CN"/>
        </w:rPr>
      </w:pPr>
      <w:r>
        <w:rPr>
          <w:rFonts w:hint="eastAsia"/>
          <w:b/>
          <w:bCs/>
          <w:lang w:val="zh-CN"/>
        </w:rPr>
        <w:t>党委委员、纪委书记：</w:t>
      </w:r>
      <w:r>
        <w:rPr>
          <w:rFonts w:hint="eastAsia"/>
          <w:lang w:val="zh-CN"/>
        </w:rPr>
        <w:t>张建军</w:t>
      </w:r>
    </w:p>
    <w:p w14:paraId="319F9421">
      <w:pPr>
        <w:pStyle w:val="11"/>
        <w:bidi w:val="0"/>
        <w:rPr>
          <w:rFonts w:hint="eastAsia"/>
          <w:lang w:val="zh-CN"/>
        </w:rPr>
      </w:pPr>
      <w:r>
        <w:rPr>
          <w:rFonts w:hint="eastAsia"/>
          <w:b/>
          <w:bCs/>
          <w:lang w:val="zh-CN"/>
        </w:rPr>
        <w:t>党委组织委员：</w:t>
      </w:r>
      <w:r>
        <w:rPr>
          <w:rFonts w:hint="eastAsia"/>
          <w:lang w:val="zh-CN"/>
        </w:rPr>
        <w:t>邱金红</w:t>
      </w:r>
    </w:p>
    <w:p w14:paraId="35C71D8A">
      <w:pPr>
        <w:pStyle w:val="11"/>
        <w:bidi w:val="0"/>
        <w:rPr>
          <w:rFonts w:hint="eastAsia"/>
          <w:lang w:val="zh-CN"/>
        </w:rPr>
      </w:pPr>
      <w:r>
        <w:rPr>
          <w:rFonts w:hint="eastAsia"/>
          <w:b/>
          <w:bCs/>
          <w:lang w:val="zh-CN"/>
        </w:rPr>
        <w:t>党委宣传委员：</w:t>
      </w:r>
      <w:r>
        <w:rPr>
          <w:rFonts w:hint="eastAsia"/>
          <w:lang w:val="zh-CN"/>
        </w:rPr>
        <w:t>饶海华</w:t>
      </w:r>
    </w:p>
    <w:p w14:paraId="22F78EFF">
      <w:pPr>
        <w:pStyle w:val="11"/>
        <w:bidi w:val="0"/>
        <w:rPr>
          <w:rFonts w:hint="eastAsia"/>
          <w:lang w:val="zh-CN"/>
        </w:rPr>
      </w:pPr>
      <w:r>
        <w:rPr>
          <w:rFonts w:hint="eastAsia"/>
          <w:b/>
          <w:bCs/>
          <w:lang w:val="zh-CN"/>
        </w:rPr>
        <w:t>党委委员、武装部部长：</w:t>
      </w:r>
      <w:r>
        <w:rPr>
          <w:rFonts w:hint="eastAsia"/>
          <w:lang w:val="zh-CN"/>
        </w:rPr>
        <w:t>杜香桥</w:t>
      </w:r>
    </w:p>
    <w:p w14:paraId="5DB46FBE">
      <w:pPr>
        <w:pStyle w:val="11"/>
        <w:bidi w:val="0"/>
        <w:rPr>
          <w:rFonts w:hint="eastAsia"/>
          <w:lang w:val="zh-CN"/>
        </w:rPr>
      </w:pPr>
      <w:r>
        <w:rPr>
          <w:rFonts w:hint="eastAsia"/>
          <w:b/>
          <w:bCs/>
          <w:lang w:val="zh-CN"/>
        </w:rPr>
        <w:t>党委委员、副镇长：</w:t>
      </w:r>
      <w:r>
        <w:rPr>
          <w:rFonts w:hint="eastAsia"/>
          <w:lang w:val="zh-CN"/>
        </w:rPr>
        <w:t>沈学勇</w:t>
      </w:r>
    </w:p>
    <w:p w14:paraId="5ED403D5">
      <w:pPr>
        <w:pStyle w:val="11"/>
        <w:bidi w:val="0"/>
        <w:rPr>
          <w:rFonts w:hint="eastAsia"/>
          <w:lang w:val="zh-CN"/>
        </w:rPr>
      </w:pPr>
      <w:r>
        <w:rPr>
          <w:rFonts w:hint="eastAsia"/>
          <w:b/>
          <w:bCs/>
          <w:lang w:val="zh-CN"/>
        </w:rPr>
        <w:t>副镇长：</w:t>
      </w:r>
      <w:r>
        <w:rPr>
          <w:rFonts w:hint="eastAsia"/>
          <w:lang w:val="zh-CN"/>
        </w:rPr>
        <w:t>陈日军</w:t>
      </w:r>
      <w:r>
        <w:rPr>
          <w:rFonts w:hint="eastAsia"/>
          <w:lang w:val="en-US" w:eastAsia="zh-CN"/>
        </w:rPr>
        <w:t xml:space="preserve">   </w:t>
      </w:r>
      <w:r>
        <w:rPr>
          <w:rFonts w:hint="eastAsia"/>
          <w:lang w:val="zh-CN"/>
        </w:rPr>
        <w:t>李其全</w:t>
      </w:r>
    </w:p>
    <w:p w14:paraId="4A252B46">
      <w:pPr>
        <w:pStyle w:val="3"/>
        <w:bidi w:val="0"/>
        <w:rPr>
          <w:rFonts w:hint="eastAsia"/>
          <w:lang w:val="zh-CN"/>
        </w:rPr>
      </w:pPr>
      <w:r>
        <w:rPr>
          <w:rFonts w:hint="eastAsia"/>
          <w:lang w:val="zh-CN"/>
        </w:rPr>
        <w:t>澜河镇</w:t>
      </w:r>
    </w:p>
    <w:p w14:paraId="0645E370">
      <w:pPr>
        <w:pStyle w:val="4"/>
        <w:bidi w:val="0"/>
        <w:rPr>
          <w:rFonts w:hint="eastAsia"/>
          <w:lang w:val="zh-CN"/>
        </w:rPr>
      </w:pPr>
      <w:r>
        <w:rPr>
          <w:rFonts w:hint="eastAsia"/>
          <w:lang w:val="zh-CN"/>
        </w:rPr>
        <w:t>【概况】</w:t>
      </w:r>
    </w:p>
    <w:p w14:paraId="5AF754D5">
      <w:pPr>
        <w:bidi w:val="0"/>
        <w:rPr>
          <w:rFonts w:hint="eastAsia"/>
          <w:lang w:val="zh-CN"/>
        </w:rPr>
      </w:pPr>
      <w:r>
        <w:rPr>
          <w:rFonts w:hint="eastAsia"/>
          <w:lang w:val="zh-CN"/>
        </w:rPr>
        <w:t>澜河镇位于南雄市西北方向距市区35千米处，是一个历史悠久、人杰地灵的山区镇。相传唐代，在澜河下游2千米处的龙坑有一块过江麻石把这条河拦住，人们取名拦河，后改为澜河。</w:t>
      </w:r>
    </w:p>
    <w:p w14:paraId="12ADEAC5">
      <w:pPr>
        <w:bidi w:val="0"/>
        <w:rPr>
          <w:rFonts w:hint="eastAsia"/>
          <w:lang w:val="zh-CN"/>
        </w:rPr>
      </w:pPr>
      <w:r>
        <w:rPr>
          <w:rFonts w:hint="eastAsia"/>
          <w:lang w:val="zh-CN"/>
        </w:rPr>
        <w:t>明代属九成乡凌源都。清咸丰四年（1854）改都为约。民国时属靖平乡、和望乡。1951年属白云乡、澜河乡。1956年并为白云乡。1958年属高峰（百顺）人民公社，1961年成立白云人民公社，1979年改名为澜河人民公社。1984年改为区，1986年12月改为镇。</w:t>
      </w:r>
    </w:p>
    <w:p w14:paraId="4F738CB9">
      <w:pPr>
        <w:bidi w:val="0"/>
        <w:rPr>
          <w:rFonts w:hint="eastAsia"/>
          <w:lang w:val="zh-CN"/>
        </w:rPr>
      </w:pPr>
      <w:r>
        <w:rPr>
          <w:rFonts w:hint="eastAsia"/>
          <w:lang w:val="zh-CN"/>
        </w:rPr>
        <w:t>澜河镇面积为1.39万公顷，耕地面积827.7公顷，山林面积1.29万公顷，其中乔木林地面积5588.96公顷，毛竹面积6932.48公顷，省级以上生态公益林4735.2公顷，森林覆盖率达88.91％，是个七山二水一分田的山区镇；地势东北低，西南高，低山山脉连绵不断，海拔高度400—800米；地质属花岗岩体，自然土壤为花岗岩红壤及麻红泥田土属；地下蕴藏铀矿、稀土，特色物产有仙草、毛竹、红豆杉、冬笋和香菇，特色养殖有石蛙、黑山羊、鲟鱼。镇政府驻地澜河镇新街，镇辖澜河、上澜、葛坪、上矽、白云、洞底6个村委会及新街社区1个居委会，79个村小组，2018年年末总人口1.07万人，常住人口5489人。澜河镇是传统革命老区，辖区内有“北山事件”和“红军医院”遗址。</w:t>
      </w:r>
    </w:p>
    <w:p w14:paraId="5991C926">
      <w:pPr>
        <w:pStyle w:val="4"/>
        <w:bidi w:val="0"/>
        <w:rPr>
          <w:rFonts w:hint="eastAsia"/>
          <w:lang w:val="zh-CN"/>
        </w:rPr>
      </w:pPr>
      <w:r>
        <w:rPr>
          <w:rFonts w:hint="eastAsia"/>
          <w:lang w:val="zh-CN"/>
        </w:rPr>
        <w:t>【经济发展】</w:t>
      </w:r>
    </w:p>
    <w:p w14:paraId="132D2CE7">
      <w:pPr>
        <w:bidi w:val="0"/>
        <w:rPr>
          <w:rFonts w:hint="eastAsia"/>
          <w:lang w:val="zh-CN"/>
        </w:rPr>
      </w:pPr>
      <w:r>
        <w:rPr>
          <w:rFonts w:hint="eastAsia"/>
          <w:lang w:val="zh-CN"/>
        </w:rPr>
        <w:t>2018年，澜河镇农作物总播种面积1122.66公顷，其中水稻播种面积629.8公顷，总产量3648吨；花生播种面积148.4公顷，总产量516吨；蔬菜播种面积164.33公顷，总产量4013吨；肉类总产量1885吨，其中猪肉产量1375吨，牛肉产量7.63吨，家禽产量493吨，其他肉产量6.36吨；水域养殖面积5.8公顷，水产品总产量113吨。</w:t>
      </w:r>
    </w:p>
    <w:p w14:paraId="1FF12665">
      <w:pPr>
        <w:pStyle w:val="4"/>
        <w:bidi w:val="0"/>
        <w:rPr>
          <w:rFonts w:hint="eastAsia"/>
          <w:lang w:val="zh-CN"/>
        </w:rPr>
      </w:pPr>
      <w:r>
        <w:rPr>
          <w:rFonts w:hint="eastAsia"/>
          <w:lang w:val="zh-CN"/>
        </w:rPr>
        <w:t>【社会事业】</w:t>
      </w:r>
    </w:p>
    <w:p w14:paraId="70B8B0E6">
      <w:pPr>
        <w:bidi w:val="0"/>
        <w:rPr>
          <w:rFonts w:hint="eastAsia"/>
          <w:lang w:val="zh-CN"/>
        </w:rPr>
      </w:pPr>
      <w:r>
        <w:rPr>
          <w:rFonts w:hint="eastAsia"/>
          <w:lang w:val="zh-CN"/>
        </w:rPr>
        <w:t>大力实施乡村振兴战略，以仙草种植为主导产业，采用“企业+合作社+农户”的经营模式，推广种植“仙草”33.33公顷，同时结合“互联网+”的新型农业发展模式，带动柑橘种植、中华鲟养殖等各类型特色种植和养殖，农业产业振兴有新的发展。全力推进人居环境综合整治，实施卫生保洁市场化运营，负责墟镇范围和6个行政村日常垃圾的清运。2018年和北控环境服务公司的全面对接，由该公司负责镇辖区范围内的日常垃圾清运。2018年累计投入23万余万元用于改善辖区农村环境卫生，基本建立村级垃圾收集保洁制度等，基本完成“户收集、村集中、镇转运”的农村生活垃圾处理模式管理体系中各个环节的责任主体和工作任务。在743矿区选址兴建总投资116万元的农村生活垃圾热解处理项目。横岭至澜河路段的旅游公路进入施工阶段，澜河矿山纪念公园及停车场项目完工。2018年完成7.07千米农村公路硬底化建设，完成5.5千米窄路面路基扩宽改造工程，农村电网建设已进入收官阶段，惠及45个自然村约1万人左右。3个省定贫困村20户以上自然村均全面完成污水处理设施及管网建设。</w:t>
      </w:r>
    </w:p>
    <w:p w14:paraId="63B2F367">
      <w:pPr>
        <w:bidi w:val="0"/>
        <w:rPr>
          <w:rFonts w:hint="eastAsia"/>
          <w:lang w:val="zh-CN"/>
        </w:rPr>
      </w:pPr>
      <w:r>
        <w:rPr>
          <w:rFonts w:hint="eastAsia"/>
          <w:lang w:val="zh-CN"/>
        </w:rPr>
        <w:t>澜河镇成功举办奖教助学成立大会，创建“南雄市澜河镇奖教助学促进会”。8月底，澜河镇奖教助学促进会获得市民政局的批复而正式登记成立。12月29日，澜河镇奖教助学促进会成立大会暨捐款仪式成功举办，现场筹到捐款93万元，受捐总金额达120多万元。</w:t>
      </w:r>
    </w:p>
    <w:p w14:paraId="44675292">
      <w:pPr>
        <w:bidi w:val="0"/>
        <w:rPr>
          <w:rFonts w:hint="eastAsia"/>
          <w:lang w:val="zh-CN"/>
        </w:rPr>
      </w:pPr>
      <w:r>
        <w:rPr>
          <w:rFonts w:hint="eastAsia"/>
          <w:lang w:val="zh-CN"/>
        </w:rPr>
        <w:t>2018年，澜河镇大力发展红色旅游事业，743矿山纪念主题公园建设完成，位于锅坑的“东江纵队粤北留守部队隐蔽处”旧址修复竣工暨爱国主义教育基地于11月22日举行揭牌仪式，位于白云龙西石的“北山事件”红军烈士纪念碑建成，并于11月27日举行落成揭幕仪式。</w:t>
      </w:r>
    </w:p>
    <w:p w14:paraId="79B5ADBE">
      <w:pPr>
        <w:pStyle w:val="4"/>
        <w:bidi w:val="0"/>
        <w:rPr>
          <w:rFonts w:hint="eastAsia"/>
          <w:lang w:val="zh-CN"/>
        </w:rPr>
      </w:pPr>
      <w:r>
        <w:rPr>
          <w:rFonts w:hint="eastAsia"/>
          <w:lang w:val="zh-CN"/>
        </w:rPr>
        <w:t>【精准扶贫】</w:t>
      </w:r>
    </w:p>
    <w:p w14:paraId="6C316129">
      <w:pPr>
        <w:bidi w:val="0"/>
        <w:rPr>
          <w:rFonts w:hint="eastAsia"/>
          <w:lang w:val="zh-CN"/>
        </w:rPr>
      </w:pPr>
      <w:r>
        <w:rPr>
          <w:rFonts w:hint="eastAsia"/>
          <w:lang w:val="zh-CN"/>
        </w:rPr>
        <w:t>筹集各类扶贫资金840.75万元，实施产业帮扶项目135个，改造危房41户，其中D级重建的30户，C级修缮11户，2016-2018年累计实现171户460名贫困人口脱贫，累计完成总脱贫任务的94.5%，扶贫工作成效跃居全市前列，中央电视台《央视新闻调查》专题播出《决胜：最后的贫困村之葛坪村》，介绍澜河镇葛坪村的精准脱贫之路。2018年，澜河镇全力推进各项扶贫措施的落地实施。强化产业帮扶，促进贫困户经济增产增收。仙草种植作为本镇的特色主导产业，政府发动有劳动能力的贫困户积极参与，仙草种植签约面积达66.67公顷，其中31户贫困户种植439亩。全面开展贫困人口核查清理工作，全镇各村进一步全面排查“四类对象”和“五类人员”，通过此次“三类”人员摸查，确定有8户30人符合贫困户纳入条件，2户不符合条件予以清退。</w:t>
      </w:r>
    </w:p>
    <w:p w14:paraId="2B73A5E9">
      <w:pPr>
        <w:pStyle w:val="4"/>
        <w:bidi w:val="0"/>
        <w:rPr>
          <w:rFonts w:hint="eastAsia"/>
          <w:lang w:val="zh-CN"/>
        </w:rPr>
      </w:pPr>
      <w:r>
        <w:rPr>
          <w:rFonts w:hint="eastAsia"/>
          <w:lang w:val="zh-CN"/>
        </w:rPr>
        <w:t>【新农村建设】</w:t>
      </w:r>
    </w:p>
    <w:p w14:paraId="04C162AE">
      <w:pPr>
        <w:bidi w:val="0"/>
        <w:rPr>
          <w:rFonts w:hint="eastAsia"/>
          <w:lang w:val="zh-CN"/>
        </w:rPr>
      </w:pPr>
      <w:r>
        <w:rPr>
          <w:rFonts w:hint="eastAsia"/>
          <w:lang w:val="zh-CN"/>
        </w:rPr>
        <w:t>所有省定贫困村庄均基本完成“三清理”“三拆除”“三整治”工作。全镇累计拆除危旧房、废弃猪牛栏及露天厕所2285间，拆除非法违规商业广告、招牌406处；清理村巷道及生产工具、建筑材料乱堆乱放850处，清理房前屋后和村巷道杂草杂物、积存垃圾120余吨，清理沟渠池塘溪河淤泥、漂浮物和障碍物75吨；整治生活垃圾、生活污水、水体污染1733处。全面实施3个省定贫困村31个20户以上的自然村农村人居环境综合整治，全镇80%以上的自然村基本完成“三清理”“三拆除”“三整治”。2018年申报进场施工的有28个自然村，其中已进场施工的21个，有12个村庄完成整体施工。</w:t>
      </w:r>
    </w:p>
    <w:p w14:paraId="08B6D799">
      <w:pPr>
        <w:pStyle w:val="4"/>
        <w:bidi w:val="0"/>
        <w:rPr>
          <w:rFonts w:hint="eastAsia"/>
          <w:lang w:val="zh-CN"/>
        </w:rPr>
      </w:pPr>
      <w:r>
        <w:rPr>
          <w:rFonts w:hint="eastAsia"/>
          <w:lang w:val="zh-CN"/>
        </w:rPr>
        <w:t>【扫黑除恶】</w:t>
      </w:r>
    </w:p>
    <w:p w14:paraId="3863B9FB">
      <w:pPr>
        <w:bidi w:val="0"/>
        <w:rPr>
          <w:rFonts w:hint="eastAsia"/>
          <w:lang w:val="zh-CN"/>
        </w:rPr>
      </w:pPr>
      <w:r>
        <w:rPr>
          <w:rFonts w:hint="eastAsia"/>
          <w:lang w:val="zh-CN"/>
        </w:rPr>
        <w:t>2018年打击摧毁一个以修缮祠堂为名向企业进行“索捐”的敲诈勒索团伙，抓获黑恶势力犯罪嫌疑人5名。</w:t>
      </w:r>
    </w:p>
    <w:p w14:paraId="4C27F797">
      <w:pPr>
        <w:pStyle w:val="4"/>
        <w:bidi w:val="0"/>
        <w:rPr>
          <w:rFonts w:hint="eastAsia"/>
          <w:lang w:val="zh-CN"/>
        </w:rPr>
      </w:pPr>
      <w:r>
        <w:rPr>
          <w:rFonts w:hint="eastAsia"/>
          <w:lang w:val="zh-CN"/>
        </w:rPr>
        <w:t>【林业工作】</w:t>
      </w:r>
    </w:p>
    <w:p w14:paraId="4FD1A345">
      <w:pPr>
        <w:bidi w:val="0"/>
        <w:rPr>
          <w:rFonts w:hint="eastAsia"/>
          <w:lang w:val="zh-CN"/>
        </w:rPr>
      </w:pPr>
      <w:r>
        <w:rPr>
          <w:rFonts w:hint="eastAsia"/>
          <w:lang w:val="zh-CN"/>
        </w:rPr>
        <w:t>开展护林防火宣传，通过张贴标语300多张次、悬挂防火宣传横幅10条，发放防火宣传单、禁火令5000余份，营造良好森林防火氛围。清明节期间，澜河镇在各个主要路口设置森林防火临时检查站，每天安排镇、村干部进行轮流值守，并与农户签订森林防火承诺书，严禁清明节期间一切野外用火行为。严格处置林业违法行为。紧紧围绕建设绿色澜河奋斗目标，积极收集检举各类林业违法违规行为，2018年，与森林派出所执法人员共同执法查处违规案件2宗。开展植树造林活动，完成全民义务植树造林12个点，造林13.92公顷。</w:t>
      </w:r>
    </w:p>
    <w:p w14:paraId="6EE5A988">
      <w:pPr>
        <w:pStyle w:val="4"/>
        <w:bidi w:val="0"/>
        <w:rPr>
          <w:rFonts w:hint="eastAsia"/>
          <w:lang w:val="zh-CN"/>
        </w:rPr>
      </w:pPr>
      <w:r>
        <w:rPr>
          <w:rFonts w:hint="eastAsia"/>
          <w:lang w:val="zh-CN"/>
        </w:rPr>
        <w:t>【社会保障】</w:t>
      </w:r>
    </w:p>
    <w:p w14:paraId="2587DAA1">
      <w:pPr>
        <w:bidi w:val="0"/>
        <w:rPr>
          <w:rFonts w:hint="eastAsia"/>
          <w:lang w:val="zh-CN"/>
        </w:rPr>
      </w:pPr>
      <w:r>
        <w:rPr>
          <w:rFonts w:hint="eastAsia"/>
          <w:lang w:val="zh-CN"/>
        </w:rPr>
        <w:t>城乡居民养老保险方面，澜河镇城乡居民养老保险参保人员达1550人。社保扩面方面，完成社保扩面新参保任务数18人，征缴基金10.3万元。城乡居保生存认证工作方面，完成认证1170人。农村低保户141户306人，特困供养人员34人，其中集中供养人员11人，分散供养23人。2018年，澜河镇对年满80岁高龄老人进行全面摸底，年满80岁的高龄老人184人。在残疾人工作方面，为8名残疾人申请重度护理津贴，并推荐两名优秀残疾人到粤北残疾人就业培训中心培训。同时还为18户贫困户及低保户办理了不同程度的医疗救助。经市残联协商，在6月份组织下乡评残活动，为澜河镇7位行动不便的残疾人取得评定结果。</w:t>
      </w:r>
    </w:p>
    <w:p w14:paraId="4623CAC1">
      <w:pPr>
        <w:pStyle w:val="4"/>
        <w:bidi w:val="0"/>
        <w:rPr>
          <w:rFonts w:hint="eastAsia"/>
          <w:lang w:val="zh-CN"/>
        </w:rPr>
      </w:pPr>
      <w:r>
        <w:rPr>
          <w:rFonts w:hint="eastAsia"/>
          <w:lang w:val="zh-CN"/>
        </w:rPr>
        <w:t>【各村委会（社区）基本情况】</w:t>
      </w:r>
    </w:p>
    <w:p w14:paraId="223A7EAC">
      <w:pPr>
        <w:bidi w:val="0"/>
        <w:rPr>
          <w:rFonts w:hint="eastAsia"/>
          <w:lang w:val="zh-CN"/>
        </w:rPr>
      </w:pPr>
      <w:r>
        <w:rPr>
          <w:rFonts w:hint="eastAsia"/>
          <w:b/>
          <w:bCs/>
          <w:lang w:val="zh-CN"/>
        </w:rPr>
        <w:t>新街社区</w:t>
      </w:r>
      <w:r>
        <w:rPr>
          <w:rFonts w:hint="eastAsia"/>
          <w:b/>
          <w:bCs/>
          <w:lang w:val="en-US" w:eastAsia="zh-CN"/>
        </w:rPr>
        <w:t xml:space="preserve"> </w:t>
      </w:r>
      <w:r>
        <w:rPr>
          <w:rFonts w:hint="eastAsia"/>
          <w:lang w:val="en-US" w:eastAsia="zh-CN"/>
        </w:rPr>
        <w:t xml:space="preserve">  </w:t>
      </w:r>
      <w:r>
        <w:rPr>
          <w:rFonts w:hint="eastAsia"/>
          <w:lang w:val="zh-CN"/>
        </w:rPr>
        <w:t>地处澜河墟镇中心，总面积33公顷，户籍人口560人，常住人口503人。</w:t>
      </w:r>
    </w:p>
    <w:p w14:paraId="62A2D5B0">
      <w:pPr>
        <w:bidi w:val="0"/>
        <w:rPr>
          <w:rFonts w:hint="eastAsia"/>
          <w:lang w:val="zh-CN"/>
        </w:rPr>
      </w:pPr>
      <w:r>
        <w:rPr>
          <w:rFonts w:hint="eastAsia"/>
          <w:lang w:val="zh-CN"/>
        </w:rPr>
        <w:t>白云村地处澜河镇西北部，东临帽子峰林场，西接百顺镇，北与江西省接壤。距南雄市区46千米，下辖10个村小组，户籍人口1585人，常住人口869人，党员50名。全村总面积3120.9公顷，其中耕地面积127.66公顷，山林面积2610.33公顷。辖区内有丰富的矿产资源铀、稀土及特别丰富的水利资源，有小水电站7座，装机容量3200多千瓦。经济收入以种植水稻、花生和毛竹等为主，村集体经济收入来源于电站股份。白云村委会是新一轮精准扶贫省定重点贫困村，由东莞市谢岗镇结对帮扶，市林业局作为面上扶贫挂点单位。完成李树丘、黄坑、下门楼、白云墟的自来水安装。完成土地确权发证333本，全部发放到户。完成第一批李树丘、上白云、鱼口坑3个村的新农村建设。</w:t>
      </w:r>
    </w:p>
    <w:p w14:paraId="71771894">
      <w:pPr>
        <w:bidi w:val="0"/>
        <w:rPr>
          <w:rFonts w:hint="eastAsia"/>
          <w:lang w:val="zh-CN"/>
        </w:rPr>
      </w:pPr>
      <w:r>
        <w:rPr>
          <w:rFonts w:hint="eastAsia"/>
          <w:b/>
          <w:bCs/>
          <w:lang w:val="zh-CN"/>
        </w:rPr>
        <w:t>葛坪村</w:t>
      </w:r>
      <w:r>
        <w:rPr>
          <w:rFonts w:hint="eastAsia"/>
          <w:b/>
          <w:bCs/>
          <w:lang w:val="en-US" w:eastAsia="zh-CN"/>
        </w:rPr>
        <w:t xml:space="preserve">   </w:t>
      </w:r>
      <w:r>
        <w:rPr>
          <w:rFonts w:hint="eastAsia"/>
          <w:lang w:val="zh-CN"/>
        </w:rPr>
        <w:t>地处南雄市较为边沿的粤北山区村委会，下辖18个村小组，户籍人口2352人，常住人口1059人，党员58名。全村总面积3108.5公顷，其中山林面积2996.67公顷，耕地面积225.07公顷。成立“通天岭种养专业合作社”和“葛坪中草药种植专业合作社”。葛坪村委会是新一轮精准扶贫省定重点贫困村，由省食品药品监督管理局结对帮扶，谢云峰为葛坪村第一书记。在广东省食品药品监督管理局的大力支持下，村公共服务站（村民活动中心）占地面积约3000平方米，于2017年2月奠基新建，2018年6月竣工并启用。完成澜河至中地6.5千米公路扩宽，使有效路面加大为4.5米，解决运输难问题和排除安全隐患。</w:t>
      </w:r>
    </w:p>
    <w:p w14:paraId="0A6811EE">
      <w:pPr>
        <w:bidi w:val="0"/>
        <w:rPr>
          <w:rFonts w:hint="eastAsia"/>
          <w:lang w:val="zh-CN"/>
        </w:rPr>
      </w:pPr>
      <w:r>
        <w:rPr>
          <w:rFonts w:hint="eastAsia"/>
          <w:b/>
          <w:bCs/>
          <w:lang w:val="zh-CN"/>
        </w:rPr>
        <w:t>澜河村</w:t>
      </w:r>
      <w:r>
        <w:rPr>
          <w:rFonts w:hint="eastAsia"/>
          <w:b/>
          <w:bCs/>
          <w:lang w:val="en-US" w:eastAsia="zh-CN"/>
        </w:rPr>
        <w:t xml:space="preserve">   </w:t>
      </w:r>
      <w:r>
        <w:rPr>
          <w:rFonts w:hint="eastAsia"/>
          <w:lang w:val="zh-CN"/>
        </w:rPr>
        <w:t>东临帽子峰镇，西接白云村委会，南靠上澜村委会，北与帽子峰林场接壤，距市区34千米。下辖11个村小组，户籍人口1368人，常住人口669人，正式党员47名，预备党员1名。全村总面积2393.5公顷，其中耕地面积97.12公顷，林地面积1916.67公顷。村民收入主要来源于水稻种植、养殖家畜、植树造林及劳务输出，村集体经济收入来源于林场发包。由东莞帮扶单位出资70万元，采取出资合作开发的方式投资浈江光伏发电项目，分25年分红，前20年回报率8%，后5年回报率4%，每年将为村集体增收5.6万元。完成40公顷基本农田“三面光”工程。</w:t>
      </w:r>
    </w:p>
    <w:p w14:paraId="0B5024B7">
      <w:pPr>
        <w:bidi w:val="0"/>
        <w:rPr>
          <w:rFonts w:hint="eastAsia"/>
          <w:lang w:val="zh-CN"/>
        </w:rPr>
      </w:pPr>
      <w:r>
        <w:rPr>
          <w:rFonts w:hint="eastAsia"/>
          <w:b/>
          <w:bCs/>
          <w:lang w:val="zh-CN"/>
        </w:rPr>
        <w:t>上澜村</w:t>
      </w:r>
      <w:r>
        <w:rPr>
          <w:rFonts w:hint="eastAsia"/>
          <w:b/>
          <w:bCs/>
          <w:lang w:val="en-US" w:eastAsia="zh-CN"/>
        </w:rPr>
        <w:t xml:space="preserve">   </w:t>
      </w:r>
      <w:r>
        <w:rPr>
          <w:rFonts w:hint="eastAsia"/>
          <w:lang w:val="zh-CN"/>
        </w:rPr>
        <w:t>东临葛坪村，西接上矽村，南靠全安镇，北与澜河村接壤，距镇政府1.2千米。下辖13个村小组，户籍人口1487人，常住人口745人，党员55名，预备党员1名。全村总面积1581.2平方千米，其中林地面积1391.8公顷，耕地面积117.94公顷。村里大力发展黑山羊、鲟鱼等特色养殖业，村民主要经济来源靠种植毛竹、杉木及劳务输出。</w:t>
      </w:r>
    </w:p>
    <w:p w14:paraId="0E95BECE">
      <w:pPr>
        <w:bidi w:val="0"/>
        <w:rPr>
          <w:rFonts w:hint="eastAsia"/>
          <w:lang w:val="zh-CN"/>
        </w:rPr>
      </w:pPr>
      <w:r>
        <w:rPr>
          <w:rFonts w:hint="eastAsia"/>
          <w:b/>
          <w:bCs/>
          <w:lang w:val="zh-CN"/>
        </w:rPr>
        <w:t>上矽村</w:t>
      </w:r>
      <w:r>
        <w:rPr>
          <w:rFonts w:hint="eastAsia"/>
          <w:b/>
          <w:bCs/>
          <w:lang w:val="en-US" w:eastAsia="zh-CN"/>
        </w:rPr>
        <w:t xml:space="preserve">   </w:t>
      </w:r>
      <w:r>
        <w:rPr>
          <w:rFonts w:hint="eastAsia"/>
          <w:lang w:val="zh-CN"/>
        </w:rPr>
        <w:t>地处澜河镇的西北部，与百顺镇接壤，距市区50千米。下辖19个村小组，户籍人口2043人，常住人口987人，党员51人。全村总面积2287.9公顷，其中山林面积2048.88公顷，耕地面积161.7公顷。经济收入来源于种植水稻、花生和毛竹等。</w:t>
      </w:r>
    </w:p>
    <w:p w14:paraId="311E13C0">
      <w:pPr>
        <w:bidi w:val="0"/>
        <w:rPr>
          <w:rFonts w:hint="eastAsia"/>
          <w:lang w:val="zh-CN"/>
        </w:rPr>
      </w:pPr>
      <w:r>
        <w:rPr>
          <w:rFonts w:hint="eastAsia"/>
          <w:b/>
          <w:bCs/>
          <w:lang w:val="zh-CN"/>
        </w:rPr>
        <w:t>洞底村</w:t>
      </w:r>
      <w:r>
        <w:rPr>
          <w:rFonts w:hint="eastAsia"/>
          <w:b/>
          <w:bCs/>
          <w:lang w:val="en-US" w:eastAsia="zh-CN"/>
        </w:rPr>
        <w:t xml:space="preserve">   </w:t>
      </w:r>
      <w:r>
        <w:rPr>
          <w:rFonts w:hint="eastAsia"/>
          <w:lang w:val="zh-CN"/>
        </w:rPr>
        <w:t>地处澜河镇最北端，与江西省大余县河洞乡交界，下辖8个村民小组，总户数278户，户籍人口1303人，常住人口657人，党员36人，其中正式党员34人，预备党员2人。全村总面积1533.14公顷，其中山林面积1266.67公顷，耕地面积98.23公顷。主要农作物为水稻、花生、番薯等，主要经济作物为毛竹、冬笋等，辖区内有南方特有的原生态红豆杉群。（刘贵生）</w:t>
      </w:r>
    </w:p>
    <w:p w14:paraId="07DE47E1">
      <w:pPr>
        <w:bidi w:val="0"/>
        <w:rPr>
          <w:rFonts w:hint="eastAsia"/>
          <w:lang w:val="zh-CN"/>
        </w:rPr>
      </w:pPr>
      <w:r>
        <w:rPr>
          <w:rFonts w:hint="eastAsia"/>
          <w:b/>
          <w:bCs/>
          <w:lang w:val="zh-CN"/>
        </w:rPr>
        <w:t>举行“东江纵队粤北留守部队隐蔽处旧址修复竣工暨南雄市爱国主义教育基地”揭牌仪式</w:t>
      </w:r>
      <w:r>
        <w:rPr>
          <w:rFonts w:hint="eastAsia"/>
          <w:b/>
          <w:bCs/>
          <w:lang w:val="en-US" w:eastAsia="zh-CN"/>
        </w:rPr>
        <w:t xml:space="preserve">   </w:t>
      </w:r>
      <w:r>
        <w:rPr>
          <w:rFonts w:hint="eastAsia"/>
          <w:lang w:val="zh-CN"/>
        </w:rPr>
        <w:t>11月23日，澜河村委会锅坑村举行“东江纵队粤北留守部队隐蔽处旧址修复竣工暨南雄市爱国主义教育基地”揭牌仪式，原东江纵队司令员曾生之子曾德平、原东江纵队政委尹林平女儿尹小平等东纵边纵先辈后代160多人远道而来参加活动。其中原粤赣湘边纵队北江第二支队卫生员徐学英（南雄瑶坑村人），东纵边纵后代代表、时任中共南雄县委特派员、后任中共五岭临时工委委员陈中夫女儿陈子星先后在仪式上讲话，一起回顾和缅怀当年东江纵队粤北留守部队的辉煌历史。</w:t>
      </w:r>
    </w:p>
    <w:p w14:paraId="30798B68">
      <w:pPr>
        <w:bidi w:val="0"/>
        <w:rPr>
          <w:rFonts w:hint="eastAsia"/>
          <w:lang w:val="zh-CN"/>
        </w:rPr>
      </w:pPr>
      <w:r>
        <w:rPr>
          <w:rFonts w:hint="eastAsia"/>
          <w:lang w:val="zh-CN"/>
        </w:rPr>
        <w:t>“东江纵队粤北留守部队隐蔽处”旧址位于澜河村委会锅坑村黄屋，是当年黄业隐蔽落脚、经常出入的地方。1946年6月，东江纵队北撤山东烟台时，为防止国民党发动内战，保卫和领导当地地下党组织，在粤北留下200名精干武装，由黄业、刘建华、陈中夫3人组成的中共五岭临时工委，实行统一领导，分散隐蔽在大庾岭山脉中。其中，黄业、刘建华率领五六十人，代号“山海关”，携带电台，隐蔽在南雄帽子峰南麓的锅坑。9月，内战爆发后，隐蔽部队出山活动，支援解放区自卫战争。1947年4月，根据中共中央华南局指示，成立中共五岭地委，粤北留守隐蔽部队进行扩编，部队整编为粤赣湘边人民解放总队，参加解放战争，创建粤赣湘边根据地。1949年9月，中共五岭地委所辖武装部队有1.3万人枪，活动在粤赣湘边28个县，根据地人口400多万。中华人民共和国成立后，部队分别编入韶关、赣州、郴州、衡阳军分区。</w:t>
      </w:r>
    </w:p>
    <w:p w14:paraId="7C6CE099">
      <w:pPr>
        <w:bidi w:val="0"/>
        <w:rPr>
          <w:rFonts w:hint="eastAsia"/>
          <w:lang w:val="zh-CN"/>
        </w:rPr>
      </w:pPr>
      <w:r>
        <w:rPr>
          <w:rFonts w:hint="eastAsia"/>
          <w:lang w:val="zh-CN"/>
        </w:rPr>
        <w:t>南雄是广东省原中央苏区县域经济创新发展示范县，推进全域旅游示范区建设。“2018广东省红色旅游系列活动”在南雄启动，更是擦亮南雄“红色文化”招牌，激励南雄人民“不忘初心、牢记使命”，传承革命精神，保护革命遗址，深挖红色旅游资源，将生态旅游、与红色旅游融合发展，促进乡村振兴。</w:t>
      </w:r>
    </w:p>
    <w:p w14:paraId="3BAF9924">
      <w:pPr>
        <w:pStyle w:val="11"/>
        <w:bidi w:val="0"/>
        <w:rPr>
          <w:rFonts w:hint="eastAsia"/>
          <w:b/>
          <w:bCs/>
          <w:lang w:val="zh-CN"/>
        </w:rPr>
      </w:pPr>
      <w:r>
        <w:rPr>
          <w:rFonts w:hint="eastAsia"/>
          <w:b/>
          <w:bCs/>
          <w:lang w:val="zh-CN"/>
        </w:rPr>
        <w:t>附：2018年澜河镇领导班子成员名单</w:t>
      </w:r>
    </w:p>
    <w:p w14:paraId="1A93602C">
      <w:pPr>
        <w:pStyle w:val="11"/>
        <w:bidi w:val="0"/>
        <w:rPr>
          <w:rFonts w:hint="eastAsia"/>
          <w:lang w:val="zh-CN"/>
        </w:rPr>
      </w:pPr>
      <w:r>
        <w:rPr>
          <w:rFonts w:hint="eastAsia"/>
          <w:b/>
          <w:bCs/>
          <w:lang w:val="zh-CN"/>
        </w:rPr>
        <w:t>党委书记：</w:t>
      </w:r>
      <w:r>
        <w:rPr>
          <w:rFonts w:hint="eastAsia"/>
          <w:lang w:val="zh-CN"/>
        </w:rPr>
        <w:t>丘铭山</w:t>
      </w:r>
    </w:p>
    <w:p w14:paraId="7B47DF00">
      <w:pPr>
        <w:pStyle w:val="11"/>
        <w:bidi w:val="0"/>
        <w:rPr>
          <w:rFonts w:hint="eastAsia"/>
          <w:lang w:val="zh-CN"/>
        </w:rPr>
      </w:pPr>
      <w:r>
        <w:rPr>
          <w:rFonts w:hint="eastAsia"/>
          <w:b/>
          <w:bCs/>
          <w:lang w:val="zh-CN"/>
        </w:rPr>
        <w:t>党委副书记、镇长：</w:t>
      </w:r>
      <w:r>
        <w:rPr>
          <w:rFonts w:hint="eastAsia"/>
          <w:lang w:val="zh-CN"/>
        </w:rPr>
        <w:t>郭君</w:t>
      </w:r>
    </w:p>
    <w:p w14:paraId="43A4A6BF">
      <w:pPr>
        <w:pStyle w:val="11"/>
        <w:bidi w:val="0"/>
        <w:rPr>
          <w:rFonts w:hint="eastAsia"/>
          <w:lang w:val="zh-CN"/>
        </w:rPr>
      </w:pPr>
      <w:r>
        <w:rPr>
          <w:rFonts w:hint="eastAsia"/>
          <w:b/>
          <w:bCs/>
          <w:lang w:val="zh-CN"/>
        </w:rPr>
        <w:t>人大主席：</w:t>
      </w:r>
      <w:r>
        <w:rPr>
          <w:rFonts w:hint="eastAsia"/>
          <w:lang w:val="zh-CN"/>
        </w:rPr>
        <w:t>杨简彬</w:t>
      </w:r>
    </w:p>
    <w:p w14:paraId="1BB065DF">
      <w:pPr>
        <w:pStyle w:val="11"/>
        <w:bidi w:val="0"/>
        <w:rPr>
          <w:rFonts w:hint="eastAsia"/>
          <w:lang w:val="zh-CN"/>
        </w:rPr>
      </w:pPr>
      <w:r>
        <w:rPr>
          <w:rFonts w:hint="eastAsia"/>
          <w:b/>
          <w:bCs/>
          <w:lang w:val="zh-CN"/>
        </w:rPr>
        <w:t>党委副书记（党建）：</w:t>
      </w:r>
      <w:r>
        <w:rPr>
          <w:rFonts w:hint="eastAsia"/>
          <w:lang w:val="zh-CN"/>
        </w:rPr>
        <w:t>温则给</w:t>
      </w:r>
    </w:p>
    <w:p w14:paraId="78BC2F88">
      <w:pPr>
        <w:pStyle w:val="11"/>
        <w:bidi w:val="0"/>
        <w:rPr>
          <w:rFonts w:hint="eastAsia"/>
          <w:lang w:val="zh-CN"/>
        </w:rPr>
      </w:pPr>
      <w:r>
        <w:rPr>
          <w:rFonts w:hint="eastAsia"/>
          <w:b/>
          <w:bCs/>
          <w:lang w:val="zh-CN"/>
        </w:rPr>
        <w:t>党委副书记（综治）：</w:t>
      </w:r>
      <w:r>
        <w:rPr>
          <w:rFonts w:hint="eastAsia"/>
          <w:lang w:val="zh-CN"/>
        </w:rPr>
        <w:t>李祥宏</w:t>
      </w:r>
    </w:p>
    <w:p w14:paraId="2B85F413">
      <w:pPr>
        <w:pStyle w:val="11"/>
        <w:bidi w:val="0"/>
        <w:rPr>
          <w:rFonts w:hint="eastAsia"/>
          <w:lang w:val="zh-CN"/>
        </w:rPr>
      </w:pPr>
      <w:r>
        <w:rPr>
          <w:rFonts w:hint="eastAsia"/>
          <w:b/>
          <w:bCs/>
          <w:lang w:val="zh-CN"/>
        </w:rPr>
        <w:t>党委委员、纪委书记：</w:t>
      </w:r>
      <w:r>
        <w:rPr>
          <w:rFonts w:hint="eastAsia"/>
          <w:lang w:val="zh-CN"/>
        </w:rPr>
        <w:t>童秀秀</w:t>
      </w:r>
    </w:p>
    <w:p w14:paraId="6D568381">
      <w:pPr>
        <w:pStyle w:val="11"/>
        <w:bidi w:val="0"/>
        <w:rPr>
          <w:rFonts w:hint="eastAsia"/>
          <w:b/>
          <w:bCs/>
          <w:lang w:val="zh-CN"/>
        </w:rPr>
      </w:pPr>
      <w:r>
        <w:rPr>
          <w:rFonts w:hint="eastAsia"/>
          <w:b/>
          <w:bCs/>
          <w:lang w:val="zh-CN"/>
        </w:rPr>
        <w:t>党委组织委员：</w:t>
      </w:r>
    </w:p>
    <w:p w14:paraId="0893D2E3">
      <w:pPr>
        <w:pStyle w:val="11"/>
        <w:bidi w:val="0"/>
        <w:ind w:leftChars="400"/>
        <w:rPr>
          <w:rFonts w:hint="eastAsia"/>
          <w:lang w:val="zh-CN"/>
        </w:rPr>
      </w:pPr>
      <w:r>
        <w:rPr>
          <w:rFonts w:hint="eastAsia"/>
          <w:lang w:val="zh-CN"/>
        </w:rPr>
        <w:t>李海华（任至7月）</w:t>
      </w:r>
    </w:p>
    <w:p w14:paraId="18824A7B">
      <w:pPr>
        <w:pStyle w:val="11"/>
        <w:bidi w:val="0"/>
        <w:ind w:leftChars="400"/>
        <w:rPr>
          <w:rFonts w:hint="eastAsia"/>
          <w:lang w:val="zh-CN"/>
        </w:rPr>
      </w:pPr>
      <w:r>
        <w:rPr>
          <w:rFonts w:hint="eastAsia"/>
          <w:lang w:val="zh-CN"/>
        </w:rPr>
        <w:t>邓小丽（9月任职）</w:t>
      </w:r>
    </w:p>
    <w:p w14:paraId="05795049">
      <w:pPr>
        <w:pStyle w:val="11"/>
        <w:bidi w:val="0"/>
        <w:rPr>
          <w:rFonts w:hint="eastAsia"/>
          <w:b/>
          <w:bCs/>
          <w:lang w:val="zh-CN"/>
        </w:rPr>
      </w:pPr>
      <w:r>
        <w:rPr>
          <w:rFonts w:hint="eastAsia"/>
          <w:b/>
          <w:bCs/>
          <w:lang w:val="zh-CN"/>
        </w:rPr>
        <w:t>党委宣传委员：</w:t>
      </w:r>
    </w:p>
    <w:p w14:paraId="55F0B996">
      <w:pPr>
        <w:pStyle w:val="11"/>
        <w:bidi w:val="0"/>
        <w:ind w:leftChars="400"/>
        <w:rPr>
          <w:rFonts w:hint="eastAsia"/>
          <w:lang w:val="zh-CN"/>
        </w:rPr>
      </w:pPr>
      <w:r>
        <w:rPr>
          <w:rFonts w:hint="eastAsia"/>
          <w:lang w:val="zh-CN"/>
        </w:rPr>
        <w:t>刘</w:t>
      </w:r>
      <w:r>
        <w:rPr>
          <w:rFonts w:hint="eastAsia"/>
          <w:lang w:val="en-US" w:eastAsia="zh-CN"/>
        </w:rPr>
        <w:t xml:space="preserve">  </w:t>
      </w:r>
      <w:r>
        <w:rPr>
          <w:rFonts w:hint="eastAsia"/>
          <w:lang w:val="zh-CN"/>
        </w:rPr>
        <w:t>芳（任至1月）</w:t>
      </w:r>
    </w:p>
    <w:p w14:paraId="4896E4F1">
      <w:pPr>
        <w:pStyle w:val="11"/>
        <w:bidi w:val="0"/>
        <w:rPr>
          <w:rFonts w:hint="eastAsia"/>
          <w:b/>
          <w:bCs/>
          <w:lang w:val="zh-CN"/>
        </w:rPr>
      </w:pPr>
      <w:r>
        <w:rPr>
          <w:rFonts w:hint="eastAsia"/>
          <w:b/>
          <w:bCs/>
          <w:lang w:val="zh-CN"/>
        </w:rPr>
        <w:t>党委委员、副镇长：</w:t>
      </w:r>
      <w:r>
        <w:rPr>
          <w:rFonts w:hint="eastAsia"/>
          <w:b w:val="0"/>
          <w:bCs w:val="0"/>
          <w:lang w:val="zh-CN"/>
        </w:rPr>
        <w:t>聂伟敏</w:t>
      </w:r>
    </w:p>
    <w:p w14:paraId="304BFD25">
      <w:pPr>
        <w:pStyle w:val="11"/>
        <w:bidi w:val="0"/>
        <w:rPr>
          <w:rFonts w:hint="eastAsia"/>
          <w:lang w:val="zh-CN"/>
        </w:rPr>
      </w:pPr>
      <w:r>
        <w:rPr>
          <w:rFonts w:hint="eastAsia"/>
          <w:b/>
          <w:bCs/>
          <w:lang w:val="zh-CN"/>
        </w:rPr>
        <w:t>副镇长</w:t>
      </w:r>
      <w:r>
        <w:rPr>
          <w:rFonts w:hint="eastAsia"/>
          <w:lang w:val="zh-CN"/>
        </w:rPr>
        <w:t>：钟庆湘（任至1月）</w:t>
      </w:r>
    </w:p>
    <w:p w14:paraId="5EFBECD2">
      <w:pPr>
        <w:pStyle w:val="11"/>
        <w:bidi w:val="0"/>
        <w:ind w:leftChars="400"/>
        <w:rPr>
          <w:rFonts w:hint="eastAsia"/>
          <w:lang w:val="zh-CN"/>
        </w:rPr>
      </w:pPr>
      <w:r>
        <w:rPr>
          <w:rFonts w:hint="eastAsia"/>
          <w:lang w:val="zh-CN"/>
        </w:rPr>
        <w:t>谭坚斌</w:t>
      </w:r>
    </w:p>
    <w:p w14:paraId="546D223C">
      <w:pPr>
        <w:pStyle w:val="3"/>
        <w:bidi w:val="0"/>
        <w:rPr>
          <w:rFonts w:hint="eastAsia"/>
          <w:lang w:val="zh-CN"/>
        </w:rPr>
      </w:pPr>
      <w:r>
        <w:rPr>
          <w:rFonts w:hint="eastAsia"/>
          <w:lang w:val="zh-CN"/>
        </w:rPr>
        <w:t>油山镇</w:t>
      </w:r>
    </w:p>
    <w:p w14:paraId="343ED3FB">
      <w:pPr>
        <w:pStyle w:val="4"/>
        <w:bidi w:val="0"/>
        <w:rPr>
          <w:rFonts w:hint="eastAsia"/>
          <w:lang w:val="zh-CN"/>
        </w:rPr>
      </w:pPr>
      <w:r>
        <w:rPr>
          <w:rFonts w:hint="eastAsia"/>
          <w:lang w:val="zh-CN"/>
        </w:rPr>
        <w:t>【概况】</w:t>
      </w:r>
    </w:p>
    <w:p w14:paraId="273BD0D5">
      <w:pPr>
        <w:bidi w:val="0"/>
        <w:rPr>
          <w:rFonts w:hint="eastAsia"/>
          <w:lang w:val="zh-CN"/>
        </w:rPr>
      </w:pPr>
      <w:r>
        <w:rPr>
          <w:rFonts w:hint="eastAsia"/>
          <w:lang w:val="zh-CN"/>
        </w:rPr>
        <w:t>油山镇是著名革命老区，位于南雄东北部，距南雄市区33千米。地处南雄、江西大余县和江西信丰县接合部，东与乌迳镇相邻，南与黄坑镇交界，西与邓坊镇接壤，北与江西大余的池江镇为邻。明代属延福都，清朝乾隆二年（1737）属延福二都。咸丰四年（1854）废都建约。光绪三十四年（1908）废约建乡。民国21年（1932）属于大塘乡第六区。民国29年（1940）属第二区。1958年后属火箭（黄坑）人民公社。1962年属于油山人民公社。1979年3月，油山人民公社分为大塘和油山两个人民公社。2001年，油山与大塘合并为油山镇，镇政府驻大塘。</w:t>
      </w:r>
    </w:p>
    <w:p w14:paraId="013FAF02">
      <w:pPr>
        <w:bidi w:val="0"/>
        <w:rPr>
          <w:rFonts w:hint="eastAsia"/>
          <w:lang w:val="zh-CN"/>
        </w:rPr>
      </w:pPr>
      <w:r>
        <w:rPr>
          <w:rFonts w:hint="eastAsia"/>
          <w:lang w:val="zh-CN"/>
        </w:rPr>
        <w:t>全镇区域总面积160.4平方千米，其中耕地面积3320公顷，山林面积8582.3公顷，辖17个村委会和1个社区居委会，有191个村小组，3.5万人。农作物主要以种植水稻为主，经济作物以黄烟、花生、大豆、辣椒为主，特色农产品有油山西瓜、油山香菇、油山木耳、脐橙、油茶等。</w:t>
      </w:r>
    </w:p>
    <w:p w14:paraId="08EADAA3">
      <w:pPr>
        <w:bidi w:val="0"/>
        <w:rPr>
          <w:rFonts w:hint="eastAsia"/>
          <w:lang w:val="zh-CN"/>
        </w:rPr>
      </w:pPr>
      <w:r>
        <w:rPr>
          <w:rFonts w:hint="eastAsia"/>
          <w:lang w:val="zh-CN"/>
        </w:rPr>
        <w:t>上世纪二三十年代，红军五进南雄，其中就有四次来过油山。在油山，有许多革命历史遗址、旧址，如上朔苏维埃政府遗址、大兰村廖地会师旧址、金星岩革命旧址等，是广东省著名的红色旅游之地。</w:t>
      </w:r>
    </w:p>
    <w:p w14:paraId="35BF38EC">
      <w:pPr>
        <w:pStyle w:val="4"/>
        <w:bidi w:val="0"/>
        <w:rPr>
          <w:rFonts w:hint="eastAsia"/>
          <w:lang w:val="zh-CN"/>
        </w:rPr>
      </w:pPr>
      <w:r>
        <w:rPr>
          <w:rFonts w:hint="eastAsia"/>
          <w:lang w:val="zh-CN"/>
        </w:rPr>
        <w:t>【农业生产】</w:t>
      </w:r>
    </w:p>
    <w:p w14:paraId="1F679E2B">
      <w:pPr>
        <w:bidi w:val="0"/>
        <w:rPr>
          <w:rFonts w:hint="eastAsia"/>
          <w:lang w:val="zh-CN"/>
        </w:rPr>
      </w:pPr>
      <w:r>
        <w:rPr>
          <w:rFonts w:hint="eastAsia"/>
          <w:lang w:val="zh-CN"/>
        </w:rPr>
        <w:t>2018年黄烟签订合同面积296.67公顷，630吨。大塘烟站于7月20日开站收烟，10月5日全面停止收烟，完成烟叶收购562.8吨，完成比例90.05%，收购总金额1333万元，均价11.85元。引进广东雪印集团建立坪岭辣椒种植基地，把下惠坪岭村33.33公顷闲置土地以300元/亩/年流转的方式规模性种植辣椒。在2018年第三季度全面完成秋收工作，亩产1000斤，均价3.7元。截至2018年，老油山片流转土地400公顷，种植333.33公顷，丰产挂果33.33公顷，产量达150万斤。</w:t>
      </w:r>
    </w:p>
    <w:p w14:paraId="1977D3A9">
      <w:pPr>
        <w:pStyle w:val="4"/>
        <w:bidi w:val="0"/>
        <w:rPr>
          <w:rFonts w:hint="eastAsia"/>
          <w:lang w:val="zh-CN"/>
        </w:rPr>
      </w:pPr>
      <w:r>
        <w:rPr>
          <w:rFonts w:hint="eastAsia"/>
          <w:lang w:val="zh-CN"/>
        </w:rPr>
        <w:t>【重点工作】</w:t>
      </w:r>
    </w:p>
    <w:p w14:paraId="274FF933">
      <w:pPr>
        <w:bidi w:val="0"/>
        <w:rPr>
          <w:rFonts w:hint="eastAsia"/>
          <w:lang w:val="zh-CN"/>
        </w:rPr>
      </w:pPr>
      <w:r>
        <w:rPr>
          <w:rFonts w:hint="eastAsia"/>
          <w:lang w:val="zh-CN"/>
        </w:rPr>
        <w:t>南雄梓杉坳风力发电工程共25个风机点，涉及6个村委会。2018年度全面完成25个风机点25.33公顷征租地工作，签订征租地合同310户，共计开挖道路23.7千米。</w:t>
      </w:r>
    </w:p>
    <w:p w14:paraId="17688D61">
      <w:pPr>
        <w:pStyle w:val="4"/>
        <w:bidi w:val="0"/>
        <w:rPr>
          <w:rFonts w:hint="eastAsia"/>
          <w:lang w:val="zh-CN"/>
        </w:rPr>
      </w:pPr>
      <w:r>
        <w:rPr>
          <w:rFonts w:hint="eastAsia"/>
          <w:lang w:val="zh-CN"/>
        </w:rPr>
        <w:t>【土地确权】</w:t>
      </w:r>
    </w:p>
    <w:p w14:paraId="449A8060">
      <w:pPr>
        <w:bidi w:val="0"/>
        <w:rPr>
          <w:rFonts w:hint="eastAsia"/>
          <w:lang w:val="zh-CN"/>
        </w:rPr>
      </w:pPr>
      <w:r>
        <w:rPr>
          <w:rFonts w:hint="eastAsia"/>
          <w:lang w:val="zh-CN"/>
        </w:rPr>
        <w:t>涉及农村土地承包经营权确权登记颁证工作的村委会17个，村集体经济组织191个，农户数6469户，应确权农户数为7172户，实测面积3243.88公顷。截至2018年年底，油山镇基本完成农村土地承包经营权确权登记颁证工作，颁发土地确权登记证书7063户，颁证率达98.48%。</w:t>
      </w:r>
    </w:p>
    <w:p w14:paraId="0E45AF11">
      <w:pPr>
        <w:pStyle w:val="4"/>
        <w:bidi w:val="0"/>
        <w:rPr>
          <w:rFonts w:hint="eastAsia"/>
          <w:lang w:val="zh-CN"/>
        </w:rPr>
      </w:pPr>
      <w:r>
        <w:rPr>
          <w:rFonts w:hint="eastAsia"/>
          <w:lang w:val="zh-CN"/>
        </w:rPr>
        <w:t>【新农村建设】</w:t>
      </w:r>
    </w:p>
    <w:p w14:paraId="3E170EF3">
      <w:pPr>
        <w:bidi w:val="0"/>
        <w:rPr>
          <w:rFonts w:hint="eastAsia"/>
          <w:lang w:val="zh-CN"/>
        </w:rPr>
      </w:pPr>
      <w:r>
        <w:rPr>
          <w:rFonts w:hint="eastAsia"/>
          <w:lang w:val="zh-CN"/>
        </w:rPr>
        <w:t>拆除危旧房、废旧猪牛栏及露天厕所3922间10.3万平方米。完成生活垃圾整治304处，生活污水整治121处，水体污染整治93处。农村人居环境综合整治工程第一阶段资金132万元全部下拨到相应村。黄田、下惠两个省定贫困村的18个自然村中，13个已进场施工（其中6个基本完工）。15个行政村全面启动"三清三拆″工作，其中上浆、大塘、大兰、爱敬、孔村、浆田、锦陂、坪田坳8个行政村15个自然村基本完成“三清三拆”工作，正在等待进场施工。尚有8个自然村申请“三清三拆三整治”奖补资金。</w:t>
      </w:r>
    </w:p>
    <w:p w14:paraId="228F6FF9">
      <w:pPr>
        <w:pStyle w:val="4"/>
        <w:bidi w:val="0"/>
        <w:rPr>
          <w:rFonts w:hint="eastAsia"/>
          <w:lang w:val="zh-CN"/>
        </w:rPr>
      </w:pPr>
      <w:r>
        <w:rPr>
          <w:rFonts w:hint="eastAsia"/>
          <w:lang w:val="zh-CN"/>
        </w:rPr>
        <w:t>【精准扶贫】</w:t>
      </w:r>
    </w:p>
    <w:p w14:paraId="4E47FE68">
      <w:pPr>
        <w:bidi w:val="0"/>
        <w:rPr>
          <w:rFonts w:hint="eastAsia"/>
          <w:lang w:val="zh-CN"/>
        </w:rPr>
      </w:pPr>
      <w:r>
        <w:rPr>
          <w:rFonts w:hint="eastAsia"/>
          <w:lang w:val="zh-CN"/>
        </w:rPr>
        <w:t>2018年，新时期精准扶贫贫困人口有477户，1165人，2018年计划脱贫人数93户277人。2018年申请140户危房改造指标，已经全部完工和验收。统筹15个面上村扶贫开发资金300万元与南雄市浈江光伏发电有限责任公司合作开发建设光伏项目。另外省定贫困村下惠、黄田村分别投入60万元和35万元入股浈江光伏项目，以入股收益的方式增加贫困户的收入。2018年实现收益分红18.4万元，平均每户贫困户收益160元。面上村统筹使用人均一万元扶贫开发资金共计200万元与南雄市雄康扶贫开发投资有限公司、南雄市优源现代农业科技有限公司合作阳光玫瑰葡萄项目。同时，重点贫困村下惠村和黄田村投入40万元和17万元发展阳光玫瑰葡萄项目。</w:t>
      </w:r>
    </w:p>
    <w:p w14:paraId="582E1F8D">
      <w:pPr>
        <w:pStyle w:val="4"/>
        <w:bidi w:val="0"/>
        <w:rPr>
          <w:rFonts w:hint="eastAsia"/>
          <w:lang w:val="zh-CN"/>
        </w:rPr>
      </w:pPr>
      <w:r>
        <w:rPr>
          <w:rFonts w:hint="eastAsia"/>
          <w:lang w:val="zh-CN"/>
        </w:rPr>
        <w:t>【扫黑除恶】</w:t>
      </w:r>
    </w:p>
    <w:p w14:paraId="05FC2F1E">
      <w:pPr>
        <w:bidi w:val="0"/>
        <w:rPr>
          <w:rFonts w:hint="eastAsia"/>
          <w:lang w:val="zh-CN"/>
        </w:rPr>
      </w:pPr>
      <w:r>
        <w:rPr>
          <w:rFonts w:hint="eastAsia"/>
          <w:lang w:val="zh-CN"/>
        </w:rPr>
        <w:t>通过线索排查和接受群众举报方式收集到扫黑除恶线索11条，其中涉及类型包括占用镇村集体资产线索8条、偷挖河砂线索1条、涉寻衅滋事1条、举报赌博线索1条。市扫黑除恶办转办9条线索于镇扫黑办，及时核查，全部办结。</w:t>
      </w:r>
    </w:p>
    <w:p w14:paraId="0A014AFA">
      <w:pPr>
        <w:pStyle w:val="4"/>
        <w:bidi w:val="0"/>
        <w:rPr>
          <w:rFonts w:hint="eastAsia"/>
          <w:lang w:val="zh-CN"/>
        </w:rPr>
      </w:pPr>
      <w:r>
        <w:rPr>
          <w:rFonts w:hint="eastAsia"/>
          <w:lang w:val="zh-CN"/>
        </w:rPr>
        <w:t>【社会保障】</w:t>
      </w:r>
    </w:p>
    <w:p w14:paraId="4786638A">
      <w:pPr>
        <w:bidi w:val="0"/>
        <w:rPr>
          <w:rFonts w:hint="eastAsia"/>
          <w:lang w:val="zh-CN"/>
        </w:rPr>
      </w:pPr>
      <w:r>
        <w:rPr>
          <w:rFonts w:hint="eastAsia"/>
          <w:lang w:val="zh-CN"/>
        </w:rPr>
        <w:t>2018年低保对象385户615人，其中城镇低保11户20人，在院五保对象19人，散居五保对象48人。纳入重度护理补贴的重度残疾人370人，纳入困难生活津贴的重度一、二、三及残疾人145人。按照市民政局文件要求，于2018年7月—11月开展低保重新审核行动，再次审核在保人员的资料。此次审核行动把不符合低保标准的人群进行及时减员，共减员86户114人。开展敬老院服务工作，对敬老院进行全面升级改造，建立敬老院管理动态巡查工作和综合整治工作责任制，确保敬老院老人在衣、食、住、医四个方面得到保障。</w:t>
      </w:r>
    </w:p>
    <w:p w14:paraId="65AC0DA2">
      <w:pPr>
        <w:pStyle w:val="4"/>
        <w:bidi w:val="0"/>
        <w:rPr>
          <w:rFonts w:hint="eastAsia"/>
          <w:lang w:val="zh-CN"/>
        </w:rPr>
      </w:pPr>
      <w:r>
        <w:rPr>
          <w:rFonts w:hint="eastAsia"/>
          <w:lang w:val="zh-CN"/>
        </w:rPr>
        <w:t>【征兵工作】</w:t>
      </w:r>
    </w:p>
    <w:p w14:paraId="130CE621">
      <w:pPr>
        <w:bidi w:val="0"/>
        <w:rPr>
          <w:rFonts w:hint="eastAsia"/>
          <w:lang w:val="zh-CN"/>
        </w:rPr>
      </w:pPr>
      <w:r>
        <w:rPr>
          <w:rFonts w:hint="eastAsia"/>
          <w:lang w:val="zh-CN"/>
        </w:rPr>
        <w:t>圆满完成2018年夏季征兵工作。</w:t>
      </w:r>
    </w:p>
    <w:p w14:paraId="2B42469D">
      <w:pPr>
        <w:pStyle w:val="4"/>
        <w:bidi w:val="0"/>
        <w:rPr>
          <w:rFonts w:hint="eastAsia"/>
          <w:lang w:val="zh-CN"/>
        </w:rPr>
      </w:pPr>
      <w:r>
        <w:rPr>
          <w:rFonts w:hint="eastAsia"/>
          <w:lang w:val="zh-CN"/>
        </w:rPr>
        <w:t>【旅游开发】</w:t>
      </w:r>
    </w:p>
    <w:p w14:paraId="770BB1BE">
      <w:pPr>
        <w:bidi w:val="0"/>
        <w:rPr>
          <w:rFonts w:hint="eastAsia"/>
          <w:lang w:val="zh-CN"/>
        </w:rPr>
      </w:pPr>
      <w:r>
        <w:rPr>
          <w:rFonts w:hint="eastAsia"/>
          <w:lang w:val="zh-CN"/>
        </w:rPr>
        <w:t>3月24日，在油山镇上朔村隆重举行“重走长征路再创新辉煌”——广东省红色旅游系列活动启动仪式，吸引省内外新闻媒体、旅游团体、徒步爱好者等各界人士2300多人前来参加，通过连续两年重走长征路活动的成功举办，打响油山红色旅游品牌，进一步提升油山镇知名度。2018年旅游人数达10万人次。申报南方三年游击战争主题纪念园项目。油山镇具有丰富的红色文化，为进一步保护油山红色遗产，以大兰、平林、坪田坳、夹河口、上朔、锦陂、孔村、浆田、莲山九点连线形成辐射区，带动全域红色文化遗产保护和开发。油山镇2018年下半年正式进行南方三年游击战争主题纪念园申请立项、规划方案工作，并顺利通过。</w:t>
      </w:r>
    </w:p>
    <w:p w14:paraId="3302760E">
      <w:pPr>
        <w:pStyle w:val="4"/>
        <w:bidi w:val="0"/>
        <w:rPr>
          <w:rFonts w:hint="eastAsia"/>
          <w:lang w:val="zh-CN"/>
        </w:rPr>
      </w:pPr>
      <w:r>
        <w:rPr>
          <w:rFonts w:hint="eastAsia"/>
          <w:lang w:val="zh-CN"/>
        </w:rPr>
        <w:t>【各村委会（社区）基本情况】</w:t>
      </w:r>
    </w:p>
    <w:p w14:paraId="20361356">
      <w:pPr>
        <w:bidi w:val="0"/>
        <w:rPr>
          <w:rFonts w:hint="eastAsia"/>
          <w:lang w:val="zh-CN"/>
        </w:rPr>
      </w:pPr>
      <w:r>
        <w:rPr>
          <w:rFonts w:hint="eastAsia"/>
          <w:b/>
          <w:bCs/>
          <w:lang w:val="zh-CN"/>
        </w:rPr>
        <w:t>坪田坳村</w:t>
      </w:r>
      <w:r>
        <w:rPr>
          <w:rFonts w:hint="eastAsia"/>
          <w:b/>
          <w:bCs/>
          <w:lang w:val="en-US" w:eastAsia="zh-CN"/>
        </w:rPr>
        <w:t xml:space="preserve">   </w:t>
      </w:r>
      <w:r>
        <w:rPr>
          <w:rFonts w:hint="eastAsia"/>
          <w:lang w:val="zh-CN"/>
        </w:rPr>
        <w:t>位于油山镇北部。全村耕地192.28公顷，林地1524.6公顷，辖11个村民小组，共1368人，有村“两委”干部5人，党员48人。全村主要产业以农业为主，主要经济作物有水稻、花生等，特色农副产品为油茶。2018年村集体收入4.5万元。</w:t>
      </w:r>
    </w:p>
    <w:p w14:paraId="06A6EBD9">
      <w:pPr>
        <w:bidi w:val="0"/>
        <w:rPr>
          <w:rFonts w:hint="eastAsia"/>
          <w:lang w:val="zh-CN"/>
        </w:rPr>
      </w:pPr>
      <w:r>
        <w:rPr>
          <w:rFonts w:hint="eastAsia"/>
          <w:b/>
          <w:bCs/>
          <w:lang w:val="zh-CN"/>
        </w:rPr>
        <w:t>莲山村</w:t>
      </w:r>
      <w:r>
        <w:rPr>
          <w:rFonts w:hint="eastAsia"/>
          <w:b/>
          <w:bCs/>
          <w:lang w:val="en-US" w:eastAsia="zh-CN"/>
        </w:rPr>
        <w:t xml:space="preserve">   </w:t>
      </w:r>
      <w:r>
        <w:rPr>
          <w:rFonts w:hint="eastAsia"/>
          <w:lang w:val="zh-CN"/>
        </w:rPr>
        <w:t>位于油山镇西北部。全村耕地250.47公顷，林地1647.4公顷，辖15个村民小组，共1705人，有村“两委”干部5人，党员48人。全村主要产业以农业为主，主要种植有水稻、花生等，特色农副产品为脐橙。2018年村集体收入2.5万元。</w:t>
      </w:r>
    </w:p>
    <w:p w14:paraId="062044FF">
      <w:pPr>
        <w:bidi w:val="0"/>
        <w:rPr>
          <w:rFonts w:hint="eastAsia"/>
          <w:lang w:val="zh-CN"/>
        </w:rPr>
      </w:pPr>
      <w:r>
        <w:rPr>
          <w:rFonts w:hint="eastAsia"/>
          <w:b/>
          <w:bCs/>
          <w:lang w:val="zh-CN"/>
        </w:rPr>
        <w:t>黄田村</w:t>
      </w:r>
      <w:r>
        <w:rPr>
          <w:rFonts w:hint="eastAsia"/>
          <w:b/>
          <w:bCs/>
          <w:lang w:val="en-US" w:eastAsia="zh-CN"/>
        </w:rPr>
        <w:t xml:space="preserve">   </w:t>
      </w:r>
      <w:r>
        <w:rPr>
          <w:rFonts w:hint="eastAsia"/>
          <w:lang w:val="zh-CN"/>
        </w:rPr>
        <w:t>位于油山镇西部。全村耕地228.87公顷，林地64.67公顷，辖9个村民小组，共2432人，有村“两委”干部5人，党员54人。全村主要产业以农业为主，主要种植有水稻、花生、黄豆等。2018年村集体收入3.2万元。</w:t>
      </w:r>
    </w:p>
    <w:p w14:paraId="5E0868CF">
      <w:pPr>
        <w:bidi w:val="0"/>
        <w:rPr>
          <w:rFonts w:hint="eastAsia"/>
          <w:lang w:val="zh-CN"/>
        </w:rPr>
      </w:pPr>
      <w:r>
        <w:rPr>
          <w:rFonts w:hint="eastAsia"/>
          <w:b/>
          <w:bCs/>
          <w:lang w:val="zh-CN"/>
        </w:rPr>
        <w:t>平林村</w:t>
      </w:r>
      <w:r>
        <w:rPr>
          <w:rFonts w:hint="eastAsia"/>
          <w:b/>
          <w:bCs/>
          <w:lang w:val="en-US" w:eastAsia="zh-CN"/>
        </w:rPr>
        <w:t xml:space="preserve">   </w:t>
      </w:r>
      <w:r>
        <w:rPr>
          <w:rFonts w:hint="eastAsia"/>
          <w:lang w:val="zh-CN"/>
        </w:rPr>
        <w:t>位于油山镇北部。全村耕地282.4公顷，林地1619.27公顷，辖16个村民小组，共2237人，有村“两委”干部5人，党员53人。全村主要产业以农业为主，主要种植有水稻、花生等，特色农副产品为西瓜。2018年村集体收入6.3万元。</w:t>
      </w:r>
    </w:p>
    <w:p w14:paraId="3D556D2F">
      <w:pPr>
        <w:bidi w:val="0"/>
        <w:rPr>
          <w:rFonts w:hint="eastAsia"/>
          <w:lang w:val="zh-CN"/>
        </w:rPr>
      </w:pPr>
      <w:r>
        <w:rPr>
          <w:rFonts w:hint="eastAsia"/>
          <w:b/>
          <w:bCs/>
          <w:lang w:val="zh-CN"/>
        </w:rPr>
        <w:t>古城村</w:t>
      </w:r>
      <w:r>
        <w:rPr>
          <w:rFonts w:hint="eastAsia"/>
          <w:b/>
          <w:bCs/>
          <w:lang w:val="en-US" w:eastAsia="zh-CN"/>
        </w:rPr>
        <w:t xml:space="preserve">  </w:t>
      </w:r>
      <w:r>
        <w:rPr>
          <w:rFonts w:hint="eastAsia"/>
          <w:lang w:val="zh-CN"/>
        </w:rPr>
        <w:t>位于油山镇西部。全村耕地308.1公顷，林地581.05公顷，辖12个村民小组，共2130人，有村“两委”干部5人，党员58人。全村主要产业以农业为主，主要种植有黄烟、水稻、花生等。2018年村集体收入1.9万元。</w:t>
      </w:r>
    </w:p>
    <w:p w14:paraId="0EF7449A">
      <w:pPr>
        <w:bidi w:val="0"/>
        <w:rPr>
          <w:rFonts w:hint="eastAsia"/>
          <w:lang w:val="zh-CN"/>
        </w:rPr>
      </w:pPr>
      <w:r>
        <w:rPr>
          <w:rFonts w:hint="eastAsia"/>
          <w:b/>
          <w:bCs/>
          <w:lang w:val="zh-CN"/>
        </w:rPr>
        <w:t>大塘村</w:t>
      </w:r>
      <w:r>
        <w:rPr>
          <w:rFonts w:hint="eastAsia"/>
          <w:b/>
          <w:bCs/>
          <w:lang w:val="en-US" w:eastAsia="zh-CN"/>
        </w:rPr>
        <w:t xml:space="preserve">   </w:t>
      </w:r>
      <w:r>
        <w:rPr>
          <w:rFonts w:hint="eastAsia"/>
          <w:lang w:val="zh-CN"/>
        </w:rPr>
        <w:t>位于油山镇中部。全村耕地96.2公顷，林地30.67公顷，辖5个村民小组，共1014人，有村“两委”干部4人，党员30人。全村主要产业以农业为主，主要种植有黄烟、水稻、花生等。2018年村集体收入1.3万元。</w:t>
      </w:r>
    </w:p>
    <w:p w14:paraId="733619FF">
      <w:pPr>
        <w:bidi w:val="0"/>
        <w:rPr>
          <w:rFonts w:hint="eastAsia"/>
          <w:lang w:val="zh-CN"/>
        </w:rPr>
      </w:pPr>
      <w:r>
        <w:rPr>
          <w:rFonts w:hint="eastAsia"/>
          <w:b/>
          <w:bCs/>
          <w:lang w:val="zh-CN"/>
        </w:rPr>
        <w:t>上朔村</w:t>
      </w:r>
      <w:r>
        <w:rPr>
          <w:rFonts w:hint="eastAsia"/>
          <w:b/>
          <w:bCs/>
          <w:lang w:val="en-US" w:eastAsia="zh-CN"/>
        </w:rPr>
        <w:t xml:space="preserve">   </w:t>
      </w:r>
      <w:r>
        <w:rPr>
          <w:rFonts w:hint="eastAsia"/>
          <w:lang w:val="zh-CN"/>
        </w:rPr>
        <w:t>位于油山镇东部。全村耕地201.47公顷，林地226.67公顷，辖26个村民小组，共3344人，有村“两委”干部6人，党员66人。全村主要产业以农业为主，主要种植有黄烟、水稻、花生等。2018年村集体收入5万元。</w:t>
      </w:r>
    </w:p>
    <w:p w14:paraId="16CA806F">
      <w:pPr>
        <w:bidi w:val="0"/>
        <w:rPr>
          <w:rFonts w:hint="eastAsia"/>
          <w:lang w:val="zh-CN"/>
        </w:rPr>
      </w:pPr>
      <w:r>
        <w:rPr>
          <w:rFonts w:hint="eastAsia"/>
          <w:b/>
          <w:bCs/>
          <w:lang w:val="zh-CN"/>
        </w:rPr>
        <w:t>下惠村</w:t>
      </w:r>
      <w:r>
        <w:rPr>
          <w:rFonts w:hint="eastAsia"/>
          <w:b/>
          <w:bCs/>
          <w:lang w:val="en-US" w:eastAsia="zh-CN"/>
        </w:rPr>
        <w:t xml:space="preserve">   </w:t>
      </w:r>
      <w:r>
        <w:rPr>
          <w:rFonts w:hint="eastAsia"/>
          <w:lang w:val="zh-CN"/>
        </w:rPr>
        <w:t>位于油山镇西部。全村耕地340.07公顷，生态林120.47公顷，辖13个村民小组，共3111人，有村“两委”干部5人，党员67人。全村主要产业以农业为主，主要种植有黄烟、水稻、花生等。2018年村集体收入4.5万元。</w:t>
      </w:r>
    </w:p>
    <w:p w14:paraId="316DF47A">
      <w:pPr>
        <w:bidi w:val="0"/>
        <w:rPr>
          <w:rFonts w:hint="eastAsia"/>
          <w:lang w:val="zh-CN"/>
        </w:rPr>
      </w:pPr>
      <w:r>
        <w:rPr>
          <w:rFonts w:hint="eastAsia"/>
          <w:b/>
          <w:bCs/>
          <w:lang w:val="zh-CN"/>
        </w:rPr>
        <w:t>锦陂村</w:t>
      </w:r>
      <w:r>
        <w:rPr>
          <w:rFonts w:hint="eastAsia"/>
          <w:b/>
          <w:bCs/>
          <w:lang w:val="en-US" w:eastAsia="zh-CN"/>
        </w:rPr>
        <w:t xml:space="preserve">   </w:t>
      </w:r>
      <w:r>
        <w:rPr>
          <w:rFonts w:hint="eastAsia"/>
          <w:lang w:val="zh-CN"/>
        </w:rPr>
        <w:t>位于油山镇西部。全村耕地207.54公顷，林地328.2公顷，辖10个村民小组，共1786人，有村“两委”干部5人，党员43人。全村主要产业以农业为主，主要种植有黄烟、水稻、花生等。2018年村集体收入5.8万元。</w:t>
      </w:r>
    </w:p>
    <w:p w14:paraId="5A6A9671">
      <w:pPr>
        <w:bidi w:val="0"/>
        <w:rPr>
          <w:rFonts w:hint="eastAsia"/>
          <w:lang w:val="zh-CN"/>
        </w:rPr>
      </w:pPr>
      <w:r>
        <w:rPr>
          <w:rFonts w:hint="eastAsia"/>
          <w:b/>
          <w:bCs/>
          <w:lang w:val="zh-CN"/>
        </w:rPr>
        <w:t>大兰村</w:t>
      </w:r>
      <w:r>
        <w:rPr>
          <w:rFonts w:hint="eastAsia"/>
          <w:b/>
          <w:bCs/>
          <w:lang w:val="en-US" w:eastAsia="zh-CN"/>
        </w:rPr>
        <w:t xml:space="preserve">   </w:t>
      </w:r>
      <w:r>
        <w:rPr>
          <w:rFonts w:hint="eastAsia"/>
          <w:lang w:val="zh-CN"/>
        </w:rPr>
        <w:t>位于油山镇北部。全村耕地165.8公顷，林地1148.53公顷，辖7个村民小组，共1159人，有村“两委”干部5人，党员49人。全村主要产业以农业为主，主要种植有水稻、花生等，特色农副产品为西瓜、油茶。2018年村集体收入4.5万元。</w:t>
      </w:r>
    </w:p>
    <w:p w14:paraId="0EEC4576">
      <w:pPr>
        <w:bidi w:val="0"/>
        <w:rPr>
          <w:rFonts w:hint="eastAsia"/>
          <w:lang w:val="zh-CN"/>
        </w:rPr>
      </w:pPr>
      <w:r>
        <w:rPr>
          <w:rFonts w:hint="eastAsia"/>
          <w:b/>
          <w:bCs/>
          <w:lang w:val="zh-CN"/>
        </w:rPr>
        <w:t>浆田村</w:t>
      </w:r>
      <w:r>
        <w:rPr>
          <w:rFonts w:hint="eastAsia"/>
          <w:b/>
          <w:bCs/>
          <w:lang w:val="en-US" w:eastAsia="zh-CN"/>
        </w:rPr>
        <w:t xml:space="preserve">   </w:t>
      </w:r>
      <w:r>
        <w:rPr>
          <w:rFonts w:hint="eastAsia"/>
          <w:lang w:val="zh-CN"/>
        </w:rPr>
        <w:t>位于油山镇东部。全村耕地173.33公顷，林地3.47公顷，辖9个村民小组，共2260人，有村“两委”干部5人，党员94人。全村主要产业以农业为主，主要种植有黄烟、水稻、花生等。2018年村集体收入3.5万元。</w:t>
      </w:r>
    </w:p>
    <w:p w14:paraId="6775C8C6">
      <w:pPr>
        <w:bidi w:val="0"/>
        <w:rPr>
          <w:rFonts w:hint="eastAsia"/>
          <w:lang w:val="zh-CN"/>
        </w:rPr>
      </w:pPr>
      <w:r>
        <w:rPr>
          <w:rFonts w:hint="eastAsia"/>
          <w:b/>
          <w:bCs/>
          <w:lang w:val="zh-CN"/>
        </w:rPr>
        <w:t>夹河口村</w:t>
      </w:r>
      <w:r>
        <w:rPr>
          <w:rFonts w:hint="eastAsia"/>
          <w:b/>
          <w:bCs/>
          <w:lang w:val="en-US" w:eastAsia="zh-CN"/>
        </w:rPr>
        <w:t xml:space="preserve">   </w:t>
      </w:r>
      <w:r>
        <w:rPr>
          <w:rFonts w:hint="eastAsia"/>
          <w:lang w:val="zh-CN"/>
        </w:rPr>
        <w:t>位于油山镇北部。全村耕地142.22公顷，林地1002.3公顷，辖9个村民小组，共1692人，有村“两委”干部4人，党员34人。全村主要产业以农业为主，主要种植有黄烟、水稻、花生等，特色农副产品为西瓜。2018年村集体收入3.2万元。</w:t>
      </w:r>
    </w:p>
    <w:p w14:paraId="6F5514C7">
      <w:pPr>
        <w:bidi w:val="0"/>
        <w:rPr>
          <w:rFonts w:hint="eastAsia"/>
          <w:lang w:val="zh-CN"/>
        </w:rPr>
      </w:pPr>
      <w:r>
        <w:rPr>
          <w:rFonts w:hint="eastAsia"/>
          <w:b/>
          <w:bCs/>
          <w:lang w:val="zh-CN"/>
        </w:rPr>
        <w:t>孔村</w:t>
      </w:r>
      <w:r>
        <w:rPr>
          <w:rFonts w:hint="eastAsia"/>
          <w:b/>
          <w:bCs/>
          <w:lang w:val="en-US" w:eastAsia="zh-CN"/>
        </w:rPr>
        <w:t xml:space="preserve">   </w:t>
      </w:r>
      <w:r>
        <w:rPr>
          <w:rFonts w:hint="eastAsia"/>
          <w:lang w:val="zh-CN"/>
        </w:rPr>
        <w:t>位于油山镇东部。全村耕地86.47公顷，林地27.07公顷，辖5个村民小组，共1450人，有村“两委”干部4人，党员43人。全村主要产业以农业为主，主要种植有黄烟、水稻、花生等。2018年村集体收入5.2万元。</w:t>
      </w:r>
    </w:p>
    <w:p w14:paraId="696273D0">
      <w:pPr>
        <w:bidi w:val="0"/>
        <w:rPr>
          <w:rFonts w:hint="eastAsia"/>
          <w:lang w:val="zh-CN"/>
        </w:rPr>
      </w:pPr>
      <w:r>
        <w:rPr>
          <w:rFonts w:hint="eastAsia"/>
          <w:b/>
          <w:bCs/>
          <w:lang w:val="zh-CN"/>
        </w:rPr>
        <w:t>爱敬村</w:t>
      </w:r>
      <w:r>
        <w:rPr>
          <w:rFonts w:hint="eastAsia"/>
          <w:b/>
          <w:bCs/>
          <w:lang w:val="en-US" w:eastAsia="zh-CN"/>
        </w:rPr>
        <w:t xml:space="preserve">   </w:t>
      </w:r>
      <w:r>
        <w:rPr>
          <w:rFonts w:hint="eastAsia"/>
          <w:lang w:val="zh-CN"/>
        </w:rPr>
        <w:t>位于油山镇南部。全村耕地108.27公顷，林地2公顷，辖8个村民小组，共1889人，有村“两委”干部4人，党员45人。全村主要产业以农业为主，主要种植有黄烟、水稻、花生等。2018年村集体收入3.8万元。</w:t>
      </w:r>
    </w:p>
    <w:p w14:paraId="484F4E35">
      <w:pPr>
        <w:bidi w:val="0"/>
        <w:rPr>
          <w:rFonts w:hint="eastAsia"/>
          <w:lang w:val="zh-CN"/>
        </w:rPr>
      </w:pPr>
      <w:r>
        <w:rPr>
          <w:rFonts w:hint="eastAsia"/>
          <w:b/>
          <w:bCs/>
          <w:lang w:val="zh-CN"/>
        </w:rPr>
        <w:t>黄地村</w:t>
      </w:r>
      <w:r>
        <w:rPr>
          <w:rFonts w:hint="eastAsia"/>
          <w:b/>
          <w:bCs/>
          <w:lang w:val="en-US" w:eastAsia="zh-CN"/>
        </w:rPr>
        <w:t xml:space="preserve">   </w:t>
      </w:r>
      <w:r>
        <w:rPr>
          <w:rFonts w:hint="eastAsia"/>
          <w:lang w:val="zh-CN"/>
        </w:rPr>
        <w:t>位于油山镇北部。全村耕地86.53公顷，林地609.6公顷，辖5个村民小组，共786人，有村“两委”干部5人，党员32人。全村主要产业以农业为主，主要种植有黄烟、水稻、花生等，特色农副产品为香菇。2018年村集体收入6.76万元。</w:t>
      </w:r>
    </w:p>
    <w:p w14:paraId="17142D71">
      <w:pPr>
        <w:bidi w:val="0"/>
        <w:rPr>
          <w:rFonts w:hint="eastAsia"/>
          <w:lang w:val="zh-CN"/>
        </w:rPr>
      </w:pPr>
      <w:r>
        <w:rPr>
          <w:rFonts w:hint="eastAsia"/>
          <w:b/>
          <w:bCs/>
          <w:lang w:val="zh-CN"/>
        </w:rPr>
        <w:t>延村位</w:t>
      </w:r>
      <w:r>
        <w:rPr>
          <w:rFonts w:hint="eastAsia"/>
          <w:b/>
          <w:bCs/>
          <w:lang w:val="en-US" w:eastAsia="zh-CN"/>
        </w:rPr>
        <w:t xml:space="preserve">   </w:t>
      </w:r>
      <w:r>
        <w:rPr>
          <w:rFonts w:hint="eastAsia"/>
          <w:lang w:val="zh-CN"/>
        </w:rPr>
        <w:t>位于油山镇北东南部。全村耕地265.67公顷，林地159.07公顷，辖11个村民小组，共2283人，有村“两委”干部5人，党员64人。全村主要产业以农业为主，主要种植有黄烟、水稻、花生、玉米等。2018年村集体收入6.3万元。</w:t>
      </w:r>
    </w:p>
    <w:p w14:paraId="10CBB845">
      <w:pPr>
        <w:bidi w:val="0"/>
        <w:rPr>
          <w:rFonts w:hint="eastAsia"/>
          <w:lang w:val="zh-CN"/>
        </w:rPr>
      </w:pPr>
      <w:r>
        <w:rPr>
          <w:rFonts w:hint="eastAsia"/>
          <w:b/>
          <w:bCs/>
          <w:lang w:val="zh-CN"/>
        </w:rPr>
        <w:t>上浆村</w:t>
      </w:r>
      <w:r>
        <w:rPr>
          <w:rFonts w:hint="eastAsia"/>
          <w:b/>
          <w:bCs/>
          <w:lang w:val="en-US" w:eastAsia="zh-CN"/>
        </w:rPr>
        <w:t xml:space="preserve">   </w:t>
      </w:r>
      <w:r>
        <w:rPr>
          <w:rFonts w:hint="eastAsia"/>
          <w:lang w:val="zh-CN"/>
        </w:rPr>
        <w:t>位于油山镇东南部。全村耕地190.93公顷，林地44.33公顷，辖6个村民小组，共1632人，有村“两委”干部5人，党员52人。全村主要产业以农业为主，主要种植有黄烟、水稻、花生等。2018年村集体收入3.2万元。</w:t>
      </w:r>
    </w:p>
    <w:p w14:paraId="0F24F5F7">
      <w:pPr>
        <w:bidi w:val="0"/>
        <w:rPr>
          <w:rFonts w:hint="eastAsia"/>
          <w:lang w:val="zh-CN"/>
        </w:rPr>
      </w:pPr>
      <w:r>
        <w:rPr>
          <w:rFonts w:hint="eastAsia"/>
          <w:b/>
          <w:bCs/>
          <w:lang w:val="zh-CN"/>
        </w:rPr>
        <w:t>油山社区</w:t>
      </w:r>
      <w:r>
        <w:rPr>
          <w:rFonts w:hint="eastAsia"/>
          <w:b/>
          <w:bCs/>
          <w:lang w:val="en-US" w:eastAsia="zh-CN"/>
        </w:rPr>
        <w:t xml:space="preserve">   </w:t>
      </w:r>
      <w:r>
        <w:rPr>
          <w:rFonts w:hint="eastAsia"/>
          <w:lang w:val="zh-CN"/>
        </w:rPr>
        <w:t>位于油山镇中部。全社区共有1970人，有社区“两委”干部4人，党员6人。</w:t>
      </w:r>
      <w:r>
        <w:rPr>
          <w:rFonts w:hint="eastAsia"/>
          <w:b/>
          <w:bCs/>
          <w:lang w:val="zh-CN"/>
        </w:rPr>
        <w:t>（李</w:t>
      </w:r>
      <w:r>
        <w:rPr>
          <w:rFonts w:hint="eastAsia"/>
          <w:b/>
          <w:bCs/>
          <w:lang w:val="en-US" w:eastAsia="zh-CN"/>
        </w:rPr>
        <w:t xml:space="preserve">  </w:t>
      </w:r>
      <w:r>
        <w:rPr>
          <w:rFonts w:hint="eastAsia"/>
          <w:b/>
          <w:bCs/>
          <w:lang w:val="zh-CN"/>
        </w:rPr>
        <w:t>昀）</w:t>
      </w:r>
    </w:p>
    <w:p w14:paraId="490D32A1">
      <w:pPr>
        <w:bidi w:val="0"/>
        <w:rPr>
          <w:rFonts w:hint="eastAsia"/>
          <w:lang w:val="zh-CN"/>
        </w:rPr>
      </w:pPr>
      <w:r>
        <w:rPr>
          <w:rFonts w:hint="eastAsia"/>
          <w:b/>
          <w:bCs/>
          <w:lang w:val="zh-CN"/>
        </w:rPr>
        <w:t>举行“老井冈”何挺颖烈士立碑仪式</w:t>
      </w:r>
      <w:r>
        <w:rPr>
          <w:rFonts w:hint="eastAsia"/>
          <w:b/>
          <w:bCs/>
          <w:lang w:val="en-US" w:eastAsia="zh-CN"/>
        </w:rPr>
        <w:t xml:space="preserve">   </w:t>
      </w:r>
      <w:r>
        <w:rPr>
          <w:rFonts w:hint="eastAsia"/>
          <w:lang w:val="zh-CN"/>
        </w:rPr>
        <w:t>5月11日是著名革命烈士、毛泽东主席称谓的“老井冈”何挺颖诞辰113周年纪念日。当天上午，陕西省汉中市与南雄市共同在油山革命纪念园举行何挺颖烈士立碑仪式。何挺颖烈士1905年5月11日出生在陕西省汉中市南郑县何家湾，少年时思想进步加入革命队伍，一生追随革命。在井冈山，他支持和协助毛泽东领导著名的三湾改编，是中国工农红军支部建在连上的倡议者，开启我们党政治建军、思想建党之魂。1929年1月14日，何挺颖烈士随毛泽东、朱德率红四军主力出击赣南，24日在江西大庾战斗中身负重伤，次日随部队转移至南雄市乌迳镇宿营。当晚在转移途中遇敌突袭，年仅24岁的何挺颖不幸牺牲，遗骸葬于乌迳镇。何挺颖烈士短暂而光辉的一生，用自己的无畏行动诠释了一名无产阶级革命者的人生价值，体现忠于党忠于人民、“革命理想高于天”的理想信念，是南雄市对青少年进行爱国主义教育的宝贵精神财富和红色资源。</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4AC7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0C94BF5">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4900" cy="4029075"/>
                  <wp:effectExtent l="0" t="0" r="6350" b="9525"/>
                  <wp:docPr id="136" name="图片 136" descr="南雄年鉴2019_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南雄年鉴2019_0111"/>
                          <pic:cNvPicPr>
                            <a:picLocks noChangeAspect="1"/>
                          </pic:cNvPicPr>
                        </pic:nvPicPr>
                        <pic:blipFill>
                          <a:blip r:embed="rId123"/>
                          <a:stretch>
                            <a:fillRect/>
                          </a:stretch>
                        </pic:blipFill>
                        <pic:spPr>
                          <a:xfrm>
                            <a:off x="0" y="0"/>
                            <a:ext cx="6184900" cy="4029075"/>
                          </a:xfrm>
                          <a:prstGeom prst="rect">
                            <a:avLst/>
                          </a:prstGeom>
                        </pic:spPr>
                      </pic:pic>
                    </a:graphicData>
                  </a:graphic>
                </wp:inline>
              </w:drawing>
            </w:r>
          </w:p>
        </w:tc>
      </w:tr>
      <w:tr w14:paraId="2C83F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8C56037">
            <w:pPr>
              <w:bidi w:val="0"/>
              <w:rPr>
                <w:rFonts w:hint="eastAsia"/>
                <w:vertAlign w:val="baseline"/>
                <w:lang w:val="zh-CN"/>
              </w:rPr>
            </w:pPr>
            <w:r>
              <w:rPr>
                <w:rFonts w:hint="eastAsia" w:ascii="FZKTK--GBK1-0" w:hAnsi="FZKTK--GBK1-0" w:eastAsia="FZKTK--GBK1-0"/>
                <w:sz w:val="20"/>
              </w:rPr>
              <w:t>图为汉中市委党史研究室主任王燕（左）和南雄市委副书记叶济熊（右）为何挺颖烈士纪念碑揭碑（市史志办</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02BE4A37">
      <w:pPr>
        <w:pStyle w:val="11"/>
        <w:bidi w:val="0"/>
        <w:rPr>
          <w:rFonts w:hint="eastAsia"/>
          <w:b/>
          <w:bCs/>
          <w:lang w:val="zh-CN"/>
        </w:rPr>
      </w:pPr>
      <w:r>
        <w:rPr>
          <w:rFonts w:hint="eastAsia"/>
          <w:b/>
          <w:bCs/>
          <w:lang w:val="zh-CN"/>
        </w:rPr>
        <w:t>附：2018年油山镇领导班子成员名单</w:t>
      </w:r>
    </w:p>
    <w:p w14:paraId="2EEF93FA">
      <w:pPr>
        <w:pStyle w:val="11"/>
        <w:bidi w:val="0"/>
        <w:rPr>
          <w:rFonts w:hint="eastAsia"/>
          <w:lang w:val="zh-CN"/>
        </w:rPr>
      </w:pPr>
      <w:r>
        <w:rPr>
          <w:rFonts w:hint="eastAsia"/>
          <w:b/>
          <w:bCs/>
          <w:lang w:val="zh-CN"/>
        </w:rPr>
        <w:t>党委书记：</w:t>
      </w:r>
      <w:r>
        <w:rPr>
          <w:rFonts w:hint="eastAsia"/>
          <w:lang w:val="zh-CN"/>
        </w:rPr>
        <w:t>雷毅</w:t>
      </w:r>
    </w:p>
    <w:p w14:paraId="7044AD94">
      <w:pPr>
        <w:pStyle w:val="11"/>
        <w:bidi w:val="0"/>
        <w:rPr>
          <w:rFonts w:hint="eastAsia"/>
          <w:lang w:val="zh-CN"/>
        </w:rPr>
      </w:pPr>
      <w:r>
        <w:rPr>
          <w:rFonts w:hint="eastAsia"/>
          <w:b/>
          <w:bCs/>
          <w:lang w:val="zh-CN"/>
        </w:rPr>
        <w:t>党建副书记、镇长：</w:t>
      </w:r>
      <w:r>
        <w:rPr>
          <w:rFonts w:hint="eastAsia"/>
          <w:lang w:val="zh-CN"/>
        </w:rPr>
        <w:t>林金山</w:t>
      </w:r>
    </w:p>
    <w:p w14:paraId="0EA01490">
      <w:pPr>
        <w:pStyle w:val="11"/>
        <w:bidi w:val="0"/>
        <w:rPr>
          <w:rFonts w:hint="eastAsia"/>
          <w:lang w:val="zh-CN"/>
        </w:rPr>
      </w:pPr>
      <w:r>
        <w:rPr>
          <w:rFonts w:hint="eastAsia"/>
          <w:b/>
          <w:bCs/>
          <w:lang w:val="zh-CN"/>
        </w:rPr>
        <w:t>人大主席：</w:t>
      </w:r>
      <w:r>
        <w:rPr>
          <w:rFonts w:hint="eastAsia"/>
          <w:lang w:val="zh-CN"/>
        </w:rPr>
        <w:t>刘</w:t>
      </w:r>
      <w:r>
        <w:rPr>
          <w:rFonts w:hint="eastAsia"/>
          <w:lang w:val="en-US" w:eastAsia="zh-CN"/>
        </w:rPr>
        <w:t xml:space="preserve">  </w:t>
      </w:r>
      <w:r>
        <w:rPr>
          <w:rFonts w:hint="eastAsia"/>
          <w:lang w:val="zh-CN"/>
        </w:rPr>
        <w:t>军</w:t>
      </w:r>
    </w:p>
    <w:p w14:paraId="49B5DDF6">
      <w:pPr>
        <w:pStyle w:val="11"/>
        <w:bidi w:val="0"/>
        <w:rPr>
          <w:rFonts w:hint="eastAsia"/>
          <w:lang w:val="zh-CN"/>
        </w:rPr>
      </w:pPr>
      <w:r>
        <w:rPr>
          <w:rFonts w:hint="eastAsia"/>
          <w:b/>
          <w:bCs/>
          <w:lang w:val="zh-CN"/>
        </w:rPr>
        <w:t>党委副书记（党建）：</w:t>
      </w:r>
      <w:r>
        <w:rPr>
          <w:rFonts w:hint="eastAsia"/>
          <w:lang w:val="zh-CN"/>
        </w:rPr>
        <w:t>黄树材</w:t>
      </w:r>
    </w:p>
    <w:p w14:paraId="7B19A65D">
      <w:pPr>
        <w:pStyle w:val="11"/>
        <w:bidi w:val="0"/>
        <w:rPr>
          <w:rFonts w:hint="eastAsia"/>
          <w:lang w:val="zh-CN"/>
        </w:rPr>
      </w:pPr>
      <w:r>
        <w:rPr>
          <w:rFonts w:hint="eastAsia"/>
          <w:b/>
          <w:bCs/>
          <w:lang w:val="zh-CN"/>
        </w:rPr>
        <w:t>党委副书记（综治）：</w:t>
      </w:r>
      <w:r>
        <w:rPr>
          <w:rFonts w:hint="eastAsia"/>
          <w:lang w:val="zh-CN"/>
        </w:rPr>
        <w:t>黄祖胜</w:t>
      </w:r>
    </w:p>
    <w:p w14:paraId="4E7EC5B5">
      <w:pPr>
        <w:pStyle w:val="11"/>
        <w:bidi w:val="0"/>
        <w:rPr>
          <w:rFonts w:hint="eastAsia"/>
          <w:lang w:val="zh-CN"/>
        </w:rPr>
      </w:pPr>
      <w:r>
        <w:rPr>
          <w:rFonts w:hint="eastAsia"/>
          <w:b/>
          <w:bCs/>
          <w:lang w:val="zh-CN"/>
        </w:rPr>
        <w:t>党委委员、纪委书记：</w:t>
      </w:r>
      <w:r>
        <w:rPr>
          <w:rFonts w:hint="eastAsia"/>
          <w:lang w:val="zh-CN"/>
        </w:rPr>
        <w:t>叶琪晖</w:t>
      </w:r>
    </w:p>
    <w:p w14:paraId="63C04B35">
      <w:pPr>
        <w:pStyle w:val="11"/>
        <w:bidi w:val="0"/>
        <w:rPr>
          <w:rFonts w:hint="eastAsia"/>
          <w:lang w:val="zh-CN"/>
        </w:rPr>
      </w:pPr>
      <w:r>
        <w:rPr>
          <w:rFonts w:hint="eastAsia"/>
          <w:b/>
          <w:bCs/>
          <w:lang w:val="zh-CN"/>
        </w:rPr>
        <w:t>党委组织委员：</w:t>
      </w:r>
      <w:r>
        <w:rPr>
          <w:rFonts w:hint="eastAsia"/>
          <w:lang w:val="zh-CN"/>
        </w:rPr>
        <w:t>李石明</w:t>
      </w:r>
    </w:p>
    <w:p w14:paraId="0A6CC938">
      <w:pPr>
        <w:pStyle w:val="11"/>
        <w:bidi w:val="0"/>
        <w:rPr>
          <w:rFonts w:hint="eastAsia"/>
          <w:lang w:val="zh-CN"/>
        </w:rPr>
      </w:pPr>
      <w:r>
        <w:rPr>
          <w:rFonts w:hint="eastAsia"/>
          <w:b/>
          <w:bCs/>
          <w:lang w:val="zh-CN"/>
        </w:rPr>
        <w:t>党委宣传委员</w:t>
      </w:r>
      <w:r>
        <w:rPr>
          <w:rFonts w:hint="eastAsia"/>
          <w:lang w:val="zh-CN"/>
        </w:rPr>
        <w:t>：黄承俊</w:t>
      </w:r>
    </w:p>
    <w:p w14:paraId="2486F1FB">
      <w:pPr>
        <w:pStyle w:val="11"/>
        <w:bidi w:val="0"/>
        <w:rPr>
          <w:rFonts w:hint="eastAsia"/>
          <w:lang w:val="zh-CN"/>
        </w:rPr>
      </w:pPr>
      <w:r>
        <w:rPr>
          <w:rFonts w:hint="eastAsia"/>
          <w:b/>
          <w:bCs/>
          <w:lang w:val="zh-CN"/>
        </w:rPr>
        <w:t>党委委员、武装部部长：</w:t>
      </w:r>
      <w:r>
        <w:rPr>
          <w:rFonts w:hint="eastAsia"/>
          <w:lang w:val="zh-CN"/>
        </w:rPr>
        <w:t>赵国</w:t>
      </w:r>
    </w:p>
    <w:p w14:paraId="454A1A57">
      <w:pPr>
        <w:pStyle w:val="11"/>
        <w:bidi w:val="0"/>
        <w:rPr>
          <w:rFonts w:hint="eastAsia"/>
          <w:lang w:val="zh-CN"/>
        </w:rPr>
      </w:pPr>
      <w:r>
        <w:rPr>
          <w:rFonts w:hint="eastAsia"/>
          <w:b/>
          <w:bCs/>
          <w:lang w:val="zh-CN"/>
        </w:rPr>
        <w:t>党委委员、副镇长：</w:t>
      </w:r>
      <w:r>
        <w:rPr>
          <w:rFonts w:hint="eastAsia"/>
          <w:lang w:val="zh-CN"/>
        </w:rPr>
        <w:t>彭道智</w:t>
      </w:r>
    </w:p>
    <w:p w14:paraId="0E1F0CEC">
      <w:pPr>
        <w:pStyle w:val="11"/>
        <w:bidi w:val="0"/>
        <w:rPr>
          <w:rFonts w:hint="eastAsia"/>
          <w:lang w:val="zh-CN"/>
        </w:rPr>
      </w:pPr>
      <w:r>
        <w:rPr>
          <w:rFonts w:hint="eastAsia"/>
          <w:b/>
          <w:bCs/>
          <w:lang w:val="zh-CN"/>
        </w:rPr>
        <w:t>副镇长：</w:t>
      </w:r>
      <w:r>
        <w:rPr>
          <w:rFonts w:hint="eastAsia"/>
          <w:lang w:val="zh-CN"/>
        </w:rPr>
        <w:t>陈世锋</w:t>
      </w:r>
      <w:r>
        <w:rPr>
          <w:rFonts w:hint="eastAsia"/>
          <w:lang w:val="en-US" w:eastAsia="zh-CN"/>
        </w:rPr>
        <w:t xml:space="preserve">   </w:t>
      </w:r>
      <w:r>
        <w:rPr>
          <w:rFonts w:hint="eastAsia"/>
          <w:lang w:val="zh-CN"/>
        </w:rPr>
        <w:t>张</w:t>
      </w:r>
      <w:r>
        <w:rPr>
          <w:rFonts w:hint="eastAsia"/>
          <w:lang w:val="en-US" w:eastAsia="zh-CN"/>
        </w:rPr>
        <w:t xml:space="preserve">  </w:t>
      </w:r>
      <w:r>
        <w:rPr>
          <w:rFonts w:hint="eastAsia"/>
          <w:lang w:val="zh-CN"/>
        </w:rPr>
        <w:t>旭</w:t>
      </w:r>
    </w:p>
    <w:p w14:paraId="08497E3C">
      <w:pPr>
        <w:pStyle w:val="11"/>
        <w:bidi w:val="0"/>
        <w:ind w:leftChars="400"/>
        <w:rPr>
          <w:rFonts w:hint="eastAsia"/>
          <w:lang w:val="zh-CN"/>
        </w:rPr>
      </w:pPr>
      <w:r>
        <w:rPr>
          <w:rFonts w:hint="eastAsia"/>
          <w:lang w:val="zh-CN"/>
        </w:rPr>
        <w:t>曾</w:t>
      </w:r>
      <w:r>
        <w:rPr>
          <w:rFonts w:hint="eastAsia"/>
          <w:lang w:val="en-US" w:eastAsia="zh-CN"/>
        </w:rPr>
        <w:t xml:space="preserve">  </w:t>
      </w:r>
      <w:r>
        <w:rPr>
          <w:rFonts w:hint="eastAsia"/>
          <w:lang w:val="zh-CN"/>
        </w:rPr>
        <w:t>艳</w:t>
      </w:r>
    </w:p>
    <w:p w14:paraId="68150D82">
      <w:pPr>
        <w:pStyle w:val="3"/>
        <w:bidi w:val="0"/>
        <w:rPr>
          <w:rFonts w:hint="eastAsia"/>
          <w:lang w:val="zh-CN"/>
        </w:rPr>
      </w:pPr>
      <w:r>
        <w:rPr>
          <w:rFonts w:hint="eastAsia"/>
          <w:lang w:val="zh-CN"/>
        </w:rPr>
        <w:t>主田镇</w:t>
      </w:r>
    </w:p>
    <w:p w14:paraId="78708454">
      <w:pPr>
        <w:pStyle w:val="4"/>
        <w:bidi w:val="0"/>
        <w:rPr>
          <w:rFonts w:hint="eastAsia"/>
          <w:lang w:val="zh-CN"/>
        </w:rPr>
      </w:pPr>
      <w:r>
        <w:rPr>
          <w:rFonts w:hint="eastAsia"/>
          <w:lang w:val="zh-CN"/>
        </w:rPr>
        <w:t>【概况】</w:t>
      </w:r>
    </w:p>
    <w:p w14:paraId="17FD805D">
      <w:pPr>
        <w:bidi w:val="0"/>
        <w:rPr>
          <w:rFonts w:hint="eastAsia"/>
          <w:lang w:val="zh-CN"/>
        </w:rPr>
      </w:pPr>
      <w:r>
        <w:rPr>
          <w:rFonts w:hint="eastAsia"/>
          <w:lang w:val="zh-CN"/>
        </w:rPr>
        <w:t>主田镇位于南雄市东南部，距南雄市区6千米，周边与江西省全南县、始兴县澄江镇以及本市的江头镇、古市镇、雄州街道等交界。1956年置主田乡，1958年属先锋公社，后属城郊公社，1962年成立主田公社，1983年改区，1986年复乡，1994年建镇至今。全镇总面积187平方千米，人口1.4万人，下辖主田、大坝、城门、塘山、西坪、西洞、窑合、高峰等8个行政村和主田居委会。全镇耕地面积1251.2公顷，其中水田面积980.33公顷，旱地面积270.87公顷。全镇森林覆盖率79%，自然风景优美，矿产资源丰富，拥有得天独厚的区位优势和生态优势。2018年，主田镇政府机构编制为行政编制35人，在岗30人；事业编制22人，在岗10人。7月，主田镇党委在南雄市委“七一”表彰中获得先进基层党委称号；9月，主田镇在韶关市表彰2017年计划生育目标管理责任制考评中达标并被评为优秀；12月，主田镇被韶关市爱卫办授予韶关市卫生镇荣誉称号。</w:t>
      </w:r>
    </w:p>
    <w:p w14:paraId="637EE376">
      <w:pPr>
        <w:pStyle w:val="4"/>
        <w:bidi w:val="0"/>
        <w:rPr>
          <w:rFonts w:hint="eastAsia"/>
          <w:lang w:val="zh-CN"/>
        </w:rPr>
      </w:pPr>
      <w:r>
        <w:rPr>
          <w:rFonts w:hint="eastAsia"/>
          <w:lang w:val="zh-CN"/>
        </w:rPr>
        <w:t>【经济发展】</w:t>
      </w:r>
    </w:p>
    <w:p w14:paraId="27D22DC4">
      <w:pPr>
        <w:bidi w:val="0"/>
        <w:rPr>
          <w:rFonts w:hint="eastAsia"/>
          <w:lang w:val="zh-CN"/>
        </w:rPr>
      </w:pPr>
      <w:r>
        <w:rPr>
          <w:rFonts w:hint="eastAsia"/>
          <w:lang w:val="zh-CN"/>
        </w:rPr>
        <w:t>2018年，全镇固定资产投资2.62万元，财政收入1178.64万元，各项经济指标基本实现预期目标。加大市重点项目投资力度。香草世界森林公园完成投资1.4万元，累计完成投资5.67万元，完成进度87.24%。完成烟叶种植面积278.4公顷，发展2.67公顷以上种植大户8户，黄烟收购数量542.05吨，均价12.65元，完成进度86.73%。全镇完成8个村委会土地确权颁证，农户3024户，面积1786.41公顷，完成率达到97.36%；强化防洪防汛责任制，签订防汛责任书13份；全面落实河长制工作，开展“河小二”行动，实现对20多千米瀑布水系重要河道巡查保洁常态化。完成2018年度耕地地力保护补贴的统计上报工作，计3125户1689.57公顷，保证粮食生产稳定；完成2018年全镇945.27公顷种植水稻的保险参保工作。建成主田文化公园，依托瀑布水系河岸风景，占地面积约0.48公顷，投资95万元，绿化率达80%，包括园林小道、园林小品、旅游厕所等建设，为群众提供一个休闲好场所。加快镇区污水处理厂建设。镇区污水处理厂配套管网总长度为4384米，建成后日处理污水量达1500吨，2018年镇区污水管已铺设3500多米，仅剩香草世界森林公园大门口至污水处理池所在地的近800米污水管待铺设。</w:t>
      </w:r>
    </w:p>
    <w:p w14:paraId="7A7FEA22">
      <w:pPr>
        <w:pStyle w:val="4"/>
        <w:bidi w:val="0"/>
        <w:rPr>
          <w:rFonts w:hint="eastAsia"/>
          <w:lang w:val="zh-CN"/>
        </w:rPr>
      </w:pPr>
      <w:r>
        <w:rPr>
          <w:rFonts w:hint="eastAsia"/>
          <w:lang w:val="zh-CN"/>
        </w:rPr>
        <w:t>【社会事业】</w:t>
      </w:r>
    </w:p>
    <w:p w14:paraId="19876BC5">
      <w:pPr>
        <w:bidi w:val="0"/>
        <w:rPr>
          <w:rFonts w:hint="eastAsia"/>
          <w:lang w:val="zh-CN"/>
        </w:rPr>
      </w:pPr>
      <w:r>
        <w:rPr>
          <w:rFonts w:hint="eastAsia"/>
          <w:lang w:val="zh-CN"/>
        </w:rPr>
        <w:t>2018年完成新农保缴费1.06万人，完成进度85.51%；养老保险缴费3148人，完成进度85.08%；完成社保扩面征收29人，征收基金14.26万元，完成进度145%。对镇敬老院安全设施进行改造升级，安装扶手、护栏、挡雨棚等，新建消防安全设施设备。办理新增低保23户24人，按规定取消低保35户49人，为低保户、五保户等办理医疗救助46宗，发放夏荒救灾大米1.5万斤。认真做好人口计生服务管理，征收社会抚养费2.58万元；开展“免费孕前健康检查”工作，完成“健康检查”78对。做好农村计划生育节育奖、城独家庭奖、农村家庭奖、特扶申报工作，年审达100%，全镇有计生家庭特殊扶助10例、城镇独生子女计生奖10例、农村家庭计生奖101例、节育奖420例，共计541例。</w:t>
      </w:r>
    </w:p>
    <w:p w14:paraId="4C5DD0CA">
      <w:pPr>
        <w:pStyle w:val="4"/>
        <w:bidi w:val="0"/>
        <w:rPr>
          <w:rFonts w:hint="eastAsia"/>
          <w:lang w:val="zh-CN"/>
        </w:rPr>
      </w:pPr>
      <w:r>
        <w:rPr>
          <w:rFonts w:hint="eastAsia"/>
          <w:lang w:val="zh-CN"/>
        </w:rPr>
        <w:t>【特色农业】</w:t>
      </w:r>
    </w:p>
    <w:p w14:paraId="3F428117">
      <w:pPr>
        <w:bidi w:val="0"/>
        <w:rPr>
          <w:rFonts w:hint="eastAsia"/>
          <w:lang w:val="zh-CN"/>
        </w:rPr>
      </w:pPr>
      <w:r>
        <w:rPr>
          <w:rFonts w:hint="eastAsia"/>
          <w:lang w:val="zh-CN"/>
        </w:rPr>
        <w:t>始终坚持绿色发展、生态优先、农旅融合的发展定位，以“一镇一业，一村一品”为指导思想，全力推进休闲农业与乡村旅游发展。2018年年初，本镇通过引进新惠农生态农业有限公司来主田镇投资合作，大力发展百香果产业。同时，村一级成立种养专业合作社，吸纳自愿参与种植的贫困户和农户加入合作社，发展百香果产业。全年吸收社会资本400多万元，筹集扶贫资金250万元，发展种植百香果46.67公顷。项目从洽谈、考察调研、土地流转到开工建设仅用一个月时间，项目从建设成至挂果收益用时5个月时间。项目一期14公顷种植示范基地完成客服中心、储藏冷库等配套设施建设，并实现当年挂果。公司通过线上线下对外销售，市场行情良好，批发价格为每斤4至6元，零售价格为每斤8至12元。鲜果冷库恒温储藏时间为2个月，室外存放时间为15天。主要销售地为上海、江西和珠三角地区。在珠玑灵潭和香草世界森林公园设立两个产品展销区。11月4日，举办南雄市首届百香果采摘节，吸引游客2000余人。同时，通过南方+、南雄新闻媒体、微信网络等大力宣传报道，主田百香果丰收信息得到广泛传播。此外，继续加快项目二期扩建工作，2018年流转土地36.67公顷，大部分完成土地平整备耕，正在进行搭建棚架、供水设施安装等建设，3月份全部完成种植。同时对本镇有意愿有能力参与百香果种植的贫困户开展集中培训，并帮助有能力有意愿贫困户申请到百香果项目小额信贷扶持资金30户119万元，进一步拓宽贫困户增收渠道。主田村13.33公顷酿酒葡萄产业发展情况。通过发动主田乡贤力量，自筹资金260多万元，在主田村引入13.33公顷优质酿酒葡萄产业项目。将于2020年挂果。其他特色产业发展稳定。主要有西坪村柑桔产业规模80公顷，塘山村黄金柰李产业100公顷。</w:t>
      </w:r>
    </w:p>
    <w:p w14:paraId="72832A8E">
      <w:pPr>
        <w:pStyle w:val="4"/>
        <w:bidi w:val="0"/>
        <w:rPr>
          <w:rFonts w:hint="eastAsia"/>
          <w:lang w:val="zh-CN"/>
        </w:rPr>
      </w:pPr>
      <w:r>
        <w:rPr>
          <w:rFonts w:hint="eastAsia"/>
          <w:lang w:val="zh-CN"/>
        </w:rPr>
        <w:t>【农村生活垃圾整治】</w:t>
      </w:r>
    </w:p>
    <w:p w14:paraId="5450258A">
      <w:pPr>
        <w:bidi w:val="0"/>
        <w:rPr>
          <w:rFonts w:hint="eastAsia"/>
          <w:lang w:val="zh-CN"/>
        </w:rPr>
      </w:pPr>
      <w:r>
        <w:rPr>
          <w:rFonts w:hint="eastAsia"/>
          <w:lang w:val="zh-CN"/>
        </w:rPr>
        <w:t>全镇各村委会均配备村级保洁员队伍，2018年，举行村级保洁工具发放仪式暨村级常态化保洁工作推进会，对全镇村级保洁员进行业务培训。同时，投入近12万元为全镇43名保洁员统一配发手推车、铁锨、火钳、扫帚、斗笠、反光衣等保洁工具及防护用品。镇、村、组三级按3∶2∶1的比例配发保洁员工资。2018年征收垃圾处理费27.45万元。强化责任，日常巡查监管到位。节假日期间，镇、村值班干部每日明确巡查责任人，镇里保障工具车、保洁工具，坚持“一日三巡”，并带上工具到辖区内开展村庄卫生保洁情况巡查，按照“巡到哪、捡到哪、装到哪”的原则，确保人居环境综合整治建设美丽乡村的成果保持良好，有效保障旅游大道周边、香草世界森林公园、两岸花博园景区、主田文化公园等重点区域环境卫生的干净整洁。并对每个垃圾投放点进行巡查拍照，对未投放于垃圾投放点的垃圾进行拍照记录和定位登记，实行责任倒查。加强考核，奖励惩处机制到位。将农村卫生保洁工作纳入村级绩效考核工作中，要求各村高度重视春节期间的卫生保洁工作，对考核优秀的村委会予以增加年终绩效考核奖金，对不认真落实卫生保洁工作，考核成绩不合格的村委会扣除部分绩效考核奖金。通过主田镇“环境卫生全民监督微信群”随时将垃圾收集点的实时定位和现场图片进行共享，各村委会也将保洁员工作动态随时发到全民监督微信群，镇里则把工作要求及时发布在微信群上，引导保洁员和村民将垃圾打包后运到垃圾回收点，再由北控公司统一清运，确保垃圾不落地，及时清运。</w:t>
      </w:r>
    </w:p>
    <w:p w14:paraId="3E0690F0">
      <w:pPr>
        <w:pStyle w:val="4"/>
        <w:bidi w:val="0"/>
        <w:rPr>
          <w:rFonts w:hint="eastAsia"/>
          <w:lang w:val="zh-CN"/>
        </w:rPr>
      </w:pPr>
      <w:r>
        <w:rPr>
          <w:rFonts w:hint="eastAsia"/>
          <w:lang w:val="zh-CN"/>
        </w:rPr>
        <w:t>【精准扶贫】</w:t>
      </w:r>
    </w:p>
    <w:p w14:paraId="4CA190B9">
      <w:pPr>
        <w:bidi w:val="0"/>
        <w:rPr>
          <w:rFonts w:hint="eastAsia"/>
          <w:lang w:val="zh-CN"/>
        </w:rPr>
      </w:pPr>
      <w:r>
        <w:rPr>
          <w:rFonts w:hint="eastAsia"/>
          <w:lang w:val="zh-CN"/>
        </w:rPr>
        <w:t>加强培训宣传。制作扶贫宣传栏12块，发放“以奖代补”等惠民政策宣传资料4350多份，开展精准扶贫脱贫业务培训450人次，上报脱贫致富带头人典型20多人次。集中现场考试1次，组织网络考试310人次，专项督查3次，并将成绩结果运用到个人绩效考核中，进一步树立狠抓脱贫攻坚任务落实的责任导向。稳步推进危房改造。2018年危房改造计划59户（拆除重建25户、修缮加固34户），11月，动工59户，完工53户，验收32户，发放危改补助9户。加强医疗救助宣传。通过发放宣传小册、集中培训、公众号推送等形式，让贫困户广泛知晓，为贫困户申请救助195人次。推进安全饮用水工作落实。通过增铺管网和水质检测等措施为未确定饮水安全的82户贫困户解决饮水安全问题。保障教育扶贫。核实贫困户子女中在校就读学子128人，符合教育资助108人，发放大专资助金8人；完成2017-2018年春季南雄学籍教育补助发放89人，联系上报争取本科以上教育扶助13人。</w:t>
      </w:r>
    </w:p>
    <w:p w14:paraId="05E6A21B">
      <w:pPr>
        <w:pStyle w:val="4"/>
        <w:bidi w:val="0"/>
        <w:rPr>
          <w:rFonts w:hint="eastAsia"/>
          <w:lang w:val="zh-CN"/>
        </w:rPr>
      </w:pPr>
      <w:r>
        <w:rPr>
          <w:rFonts w:hint="eastAsia"/>
          <w:lang w:val="zh-CN"/>
        </w:rPr>
        <w:t>【综治维稳】</w:t>
      </w:r>
    </w:p>
    <w:p w14:paraId="2D5A11EB">
      <w:pPr>
        <w:bidi w:val="0"/>
        <w:rPr>
          <w:rFonts w:hint="eastAsia"/>
          <w:lang w:val="zh-CN"/>
        </w:rPr>
      </w:pPr>
      <w:r>
        <w:rPr>
          <w:rFonts w:hint="eastAsia"/>
          <w:lang w:val="zh-CN"/>
        </w:rPr>
        <w:t>认真做好矛盾纠纷调处工作。2018年调处群众纠纷31件，其中省巡视组交办信访件2件，网络信访13件，来访16件，2018年，未发现事态严重的不稳定因素。认真开展扫黑除恶专项斗争工作。开展5次集中宣传活动，张贴宣传海报200余张，发放扫黑除恶宣传资料5000余册，悬挂宣传横幅10余条，通过微信公众号推送文章3篇；先后召开8次扫黑除恶专项斗争工作会议，对辖区内扫黑除恶线索进行摸排，共排查线索6条，受理群众举报线索2条，立扫黑除恶案件4宗，其中结案3宗，涉及侵占集体资产、盗采河砂。</w:t>
      </w:r>
    </w:p>
    <w:p w14:paraId="4F438ECC">
      <w:pPr>
        <w:pStyle w:val="4"/>
        <w:bidi w:val="0"/>
        <w:rPr>
          <w:rFonts w:hint="eastAsia"/>
          <w:lang w:val="zh-CN"/>
        </w:rPr>
      </w:pPr>
      <w:r>
        <w:rPr>
          <w:rFonts w:hint="eastAsia"/>
          <w:lang w:val="zh-CN"/>
        </w:rPr>
        <w:t>【国土及“两违”整治管控】</w:t>
      </w:r>
    </w:p>
    <w:p w14:paraId="244B6CE0">
      <w:pPr>
        <w:bidi w:val="0"/>
        <w:rPr>
          <w:rFonts w:hint="eastAsia"/>
          <w:lang w:val="zh-CN"/>
        </w:rPr>
      </w:pPr>
      <w:r>
        <w:rPr>
          <w:rFonts w:hint="eastAsia"/>
          <w:lang w:val="zh-CN"/>
        </w:rPr>
        <w:t>2018年，及时发现“两违”行为并下发停工通知书16宗，依法依规拆除“两违”建筑5处，拆除违建占地面积1060平方米，建筑面积1820平方米，并对本镇辖区内17栋4层以上的“疑似”小产权房进行全面排查，联合水利、供电、村委会等部门对上述小产权房进行全面停水、停电、停网，有效地遏制“两违”行为。</w:t>
      </w:r>
    </w:p>
    <w:p w14:paraId="60830ED0">
      <w:pPr>
        <w:pStyle w:val="4"/>
        <w:bidi w:val="0"/>
        <w:rPr>
          <w:rFonts w:hint="eastAsia"/>
          <w:lang w:val="zh-CN"/>
        </w:rPr>
      </w:pPr>
      <w:r>
        <w:rPr>
          <w:rFonts w:hint="eastAsia"/>
          <w:lang w:val="zh-CN"/>
        </w:rPr>
        <w:t>【新农村建设】</w:t>
      </w:r>
    </w:p>
    <w:p w14:paraId="32C0D362">
      <w:pPr>
        <w:bidi w:val="0"/>
        <w:rPr>
          <w:rFonts w:hint="eastAsia"/>
          <w:lang w:val="zh-CN"/>
        </w:rPr>
      </w:pPr>
      <w:r>
        <w:rPr>
          <w:rFonts w:hint="eastAsia"/>
          <w:lang w:val="zh-CN"/>
        </w:rPr>
        <w:t>全镇8个行政村有20户以上住户的村小组71个，其中省定贫困村主田和大坝27个，已经进行“三清三拆”工作村小组33个，完成清拆工作21个，其中省定贫困村15个；建成的12个，正在施工的2个。推进农村人居环境整治工作，以“三清三拆四整治”为主要抓手，全力推进农村人居环境综合整治工作，拆除危旧房、废旧猪牛栏及露天厕所1764间8.44万平方米，清理沟渠池塘溪河淤泥、漂浮物、障碍物380条180吨，房前屋后杂草杂物积存垃圾493处190吨，拆除乱搭乱建、违章建筑33处2065平方米，拆除非法违规商业广告、招牌53处565平方米。</w:t>
      </w:r>
    </w:p>
    <w:p w14:paraId="62AA9DFF">
      <w:pPr>
        <w:pStyle w:val="4"/>
        <w:bidi w:val="0"/>
        <w:rPr>
          <w:rFonts w:hint="eastAsia"/>
          <w:lang w:val="zh-CN"/>
        </w:rPr>
      </w:pPr>
      <w:r>
        <w:rPr>
          <w:rFonts w:hint="eastAsia"/>
          <w:lang w:val="zh-CN"/>
        </w:rPr>
        <w:t>【各村委会（社区）基本情况】</w:t>
      </w:r>
    </w:p>
    <w:p w14:paraId="1EBD456F">
      <w:pPr>
        <w:bidi w:val="0"/>
        <w:rPr>
          <w:rFonts w:hint="eastAsia"/>
          <w:lang w:val="zh-CN"/>
        </w:rPr>
      </w:pPr>
      <w:r>
        <w:rPr>
          <w:rFonts w:hint="eastAsia"/>
          <w:b/>
          <w:bCs/>
          <w:lang w:val="zh-CN"/>
        </w:rPr>
        <w:t>主田村</w:t>
      </w:r>
      <w:r>
        <w:rPr>
          <w:rFonts w:hint="eastAsia"/>
          <w:b/>
          <w:bCs/>
          <w:lang w:val="en-US" w:eastAsia="zh-CN"/>
        </w:rPr>
        <w:t xml:space="preserve">   </w:t>
      </w:r>
      <w:r>
        <w:rPr>
          <w:rFonts w:hint="eastAsia"/>
          <w:lang w:val="zh-CN"/>
        </w:rPr>
        <w:t>位于主田镇北部，距镇政府1千米，地质属于燕山期花岗岩体及寒武纪震旦纪变质岩体，气候属于亚热带季风湿润气候区。全村有15个村小组，总户数535户，总人口2135人，其中常住人口1450人，党员72人，村“两委”干部5人。全村总面积1000公顷，山林面积573.33公顷，耕地面积229.47公顷，其中水田135.2公顷，旱地94.27公顷。主要经济农作物以黄烟、水稻为主。1月，镇党委投入16万元在主田村成功打造党建示范点，并组织党员干部前往参观学习，加强党建教育阵地建设。</w:t>
      </w:r>
    </w:p>
    <w:p w14:paraId="14D6E590">
      <w:pPr>
        <w:bidi w:val="0"/>
        <w:rPr>
          <w:rFonts w:hint="eastAsia"/>
          <w:lang w:val="zh-CN"/>
        </w:rPr>
      </w:pPr>
      <w:r>
        <w:rPr>
          <w:rFonts w:hint="eastAsia"/>
          <w:b/>
          <w:bCs/>
          <w:lang w:val="zh-CN"/>
        </w:rPr>
        <w:t>大坝村</w:t>
      </w:r>
      <w:r>
        <w:rPr>
          <w:rFonts w:hint="eastAsia"/>
          <w:b/>
          <w:bCs/>
          <w:lang w:val="en-US" w:eastAsia="zh-CN"/>
        </w:rPr>
        <w:t xml:space="preserve">   </w:t>
      </w:r>
      <w:r>
        <w:rPr>
          <w:rFonts w:hint="eastAsia"/>
          <w:lang w:val="zh-CN"/>
        </w:rPr>
        <w:t>位于主田镇中部，距镇政府0.5千米，地质属于燕山期花岗岩体及寒武纪震旦纪变质岩体，气候属于亚热带季风湿润气候区。全村18个村小组，总户数658户，总人口2584人，其中常住人口1640人，党员68人，村“两委”干部6人。全村总面积2187.76公顷，山林面积1954公顷，耕地面积202.47公顷，其中水田191.2公顷，旱地11.27公顷。主要种植黄烟、水稻为主。</w:t>
      </w:r>
    </w:p>
    <w:p w14:paraId="6B249A55">
      <w:pPr>
        <w:bidi w:val="0"/>
        <w:rPr>
          <w:rFonts w:hint="eastAsia"/>
          <w:lang w:val="zh-CN"/>
        </w:rPr>
      </w:pPr>
      <w:r>
        <w:rPr>
          <w:rFonts w:hint="eastAsia"/>
          <w:b/>
          <w:bCs/>
          <w:lang w:val="zh-CN"/>
        </w:rPr>
        <w:t>城门村</w:t>
      </w:r>
      <w:r>
        <w:rPr>
          <w:rFonts w:hint="eastAsia"/>
          <w:b/>
          <w:bCs/>
          <w:lang w:val="en-US" w:eastAsia="zh-CN"/>
        </w:rPr>
        <w:t xml:space="preserve">   </w:t>
      </w:r>
      <w:r>
        <w:rPr>
          <w:rFonts w:hint="eastAsia"/>
          <w:lang w:val="zh-CN"/>
        </w:rPr>
        <w:t>位于主田镇西部，距镇政府2.5千米，地质属于燕山期花岗岩体及寒武纪震旦纪变质岩体，气候属于亚热带季风湿润气候区。城门村18个村小组，总户数917户，全村总人口3667人，其中常住人口2364人。党员人数89人，村“两委”干部6人。全村总面积1128.87公顷，山林面积665.4公顷，耕地面积463.47公顷。以种植黄烟、水稻、花生为主。</w:t>
      </w:r>
    </w:p>
    <w:p w14:paraId="79B590A9">
      <w:pPr>
        <w:bidi w:val="0"/>
        <w:rPr>
          <w:rFonts w:hint="eastAsia"/>
          <w:lang w:val="zh-CN"/>
        </w:rPr>
      </w:pPr>
      <w:r>
        <w:rPr>
          <w:rFonts w:hint="eastAsia"/>
          <w:b/>
          <w:bCs/>
          <w:lang w:val="zh-CN"/>
        </w:rPr>
        <w:t>塘山村</w:t>
      </w:r>
      <w:r>
        <w:rPr>
          <w:rFonts w:hint="eastAsia"/>
          <w:b/>
          <w:bCs/>
          <w:lang w:val="en-US" w:eastAsia="zh-CN"/>
        </w:rPr>
        <w:t xml:space="preserve">   </w:t>
      </w:r>
      <w:r>
        <w:rPr>
          <w:rFonts w:hint="eastAsia"/>
          <w:lang w:val="zh-CN"/>
        </w:rPr>
        <w:t>塘山村位于主田镇的西南部，距镇政府4千米，地质属于燕山期花岗岩体及寒武纪震旦纪变质岩体，气候属于亚热带季风湿润气候区。辖区14个村小组，总户数为272户，全村总人口为1087人，其中常住人口646人，党员53人，村“两委”干部4人。全村总面积为1866.67公顷，山林面积1800公顷，耕地面积88.67公顷，其中水田84.53公顷，旱地4.13公顷。主要种植黄烟、水稻。</w:t>
      </w:r>
    </w:p>
    <w:p w14:paraId="0FCEBB7A">
      <w:pPr>
        <w:bidi w:val="0"/>
        <w:rPr>
          <w:rFonts w:hint="eastAsia"/>
          <w:lang w:val="zh-CN"/>
        </w:rPr>
      </w:pPr>
      <w:r>
        <w:rPr>
          <w:rFonts w:hint="eastAsia"/>
          <w:b/>
          <w:bCs/>
          <w:lang w:val="zh-CN"/>
        </w:rPr>
        <w:t>西坪村</w:t>
      </w:r>
      <w:r>
        <w:rPr>
          <w:rFonts w:hint="eastAsia"/>
          <w:b/>
          <w:bCs/>
          <w:lang w:val="en-US" w:eastAsia="zh-CN"/>
        </w:rPr>
        <w:t xml:space="preserve">   </w:t>
      </w:r>
      <w:r>
        <w:rPr>
          <w:rFonts w:hint="eastAsia"/>
          <w:lang w:val="zh-CN"/>
        </w:rPr>
        <w:t>位于主田镇的东南部，距镇政府20千米，地质属于燕山期花岗岩体及寒武纪震旦纪变质岩体，气候属于亚热带季风湿润气候区。辖区6个村小组，总户数168户，全村总人口674人，其中常住人口435人，党员24人，村“两委”干部4人。全村总面积1793.33公顷，山林面积1726.67公顷，耕地面积65.67公顷，其中水田63.8公顷，旱田1.87公顷。主要种植黄烟、水稻、花生。</w:t>
      </w:r>
    </w:p>
    <w:p w14:paraId="26C62F92">
      <w:pPr>
        <w:bidi w:val="0"/>
        <w:rPr>
          <w:rFonts w:hint="eastAsia"/>
          <w:lang w:val="zh-CN"/>
        </w:rPr>
      </w:pPr>
      <w:r>
        <w:rPr>
          <w:rFonts w:hint="eastAsia"/>
          <w:b/>
          <w:bCs/>
          <w:lang w:val="zh-CN"/>
        </w:rPr>
        <w:t>西洞村</w:t>
      </w:r>
      <w:r>
        <w:rPr>
          <w:rFonts w:hint="eastAsia"/>
          <w:b/>
          <w:bCs/>
          <w:lang w:val="en-US" w:eastAsia="zh-CN"/>
        </w:rPr>
        <w:t xml:space="preserve">   </w:t>
      </w:r>
      <w:r>
        <w:rPr>
          <w:rFonts w:hint="eastAsia"/>
          <w:lang w:val="zh-CN"/>
        </w:rPr>
        <w:t>位于主田镇的东南部，距镇政府20千米，地质属于燕山期花岗岩体及寒武纪震旦纪变质岩体，气候属于亚热带季风湿润气候区。辖区8个村小组，总户数314户，全村总人口1273人，其中常住人口614人，党员37人，村“两委”干部5人。全村总面积2173.33公顷，山林面积2066.67公顷，耕地面积107.47公顷，其中水田102公顷，旱地5.47公顷。主要种植黄烟、水稻。</w:t>
      </w:r>
    </w:p>
    <w:p w14:paraId="62C625C8">
      <w:pPr>
        <w:bidi w:val="0"/>
        <w:rPr>
          <w:rFonts w:hint="eastAsia"/>
          <w:lang w:val="zh-CN"/>
        </w:rPr>
      </w:pPr>
      <w:r>
        <w:rPr>
          <w:rFonts w:hint="eastAsia"/>
          <w:b/>
          <w:bCs/>
          <w:lang w:val="zh-CN"/>
        </w:rPr>
        <w:t>窑合村</w:t>
      </w:r>
      <w:r>
        <w:rPr>
          <w:rFonts w:hint="eastAsia"/>
          <w:b/>
          <w:bCs/>
          <w:lang w:val="en-US" w:eastAsia="zh-CN"/>
        </w:rPr>
        <w:t xml:space="preserve">   </w:t>
      </w:r>
      <w:r>
        <w:rPr>
          <w:rFonts w:hint="eastAsia"/>
          <w:lang w:val="zh-CN"/>
        </w:rPr>
        <w:t>位于主田镇的东南部，距镇政府25千米，地质属于燕山期花岗岩体及寒武纪震旦纪变质岩体，气候属于亚热带季风湿润气候区。辖区9个村小组，总户数278户，全村总人口1114人，其中常住人口636人，党员40人，村“两委”干部5人。全村总面积2073.33公顷，山林面积1933.33公顷，耕地面积127.13万公顷，其中水田122.6公顷，旱地4.53公顷。主要经济农作物以黄烟、水稻为主。</w:t>
      </w:r>
    </w:p>
    <w:p w14:paraId="36B433B8">
      <w:pPr>
        <w:bidi w:val="0"/>
        <w:rPr>
          <w:rFonts w:hint="eastAsia"/>
          <w:lang w:val="zh-CN"/>
        </w:rPr>
      </w:pPr>
      <w:r>
        <w:rPr>
          <w:rFonts w:hint="eastAsia"/>
          <w:b/>
          <w:bCs/>
          <w:lang w:val="zh-CN"/>
        </w:rPr>
        <w:t>高峰村</w:t>
      </w:r>
      <w:r>
        <w:rPr>
          <w:rFonts w:hint="eastAsia"/>
          <w:b/>
          <w:bCs/>
          <w:lang w:val="en-US" w:eastAsia="zh-CN"/>
        </w:rPr>
        <w:t xml:space="preserve">   </w:t>
      </w:r>
      <w:r>
        <w:rPr>
          <w:rFonts w:hint="eastAsia"/>
          <w:lang w:val="zh-CN"/>
        </w:rPr>
        <w:t>位于主田镇东南部，距镇政府26千米，是少数民族革命老区村，是主田镇最偏远的山区村。地质属于燕山期花岗岩体及寒武纪震旦纪变质岩体，气候属于亚热带季风湿润气候区。辖区共14个村小组，总户数为261户，全村总人口为1047人，常住人口570人，党员40人，村干部5人。全村总面积4万亩，山林面积2万亩，耕地面积1665亩，其中水田1550亩，旱地100亩。主要经济农作物以水稻为主，主要特色产业为竹木。</w:t>
      </w:r>
    </w:p>
    <w:p w14:paraId="0238BA39">
      <w:pPr>
        <w:bidi w:val="0"/>
        <w:rPr>
          <w:rFonts w:hint="eastAsia"/>
          <w:lang w:val="zh-CN"/>
        </w:rPr>
      </w:pPr>
      <w:r>
        <w:rPr>
          <w:rFonts w:hint="eastAsia"/>
          <w:b/>
          <w:bCs/>
          <w:lang w:val="zh-CN"/>
        </w:rPr>
        <w:t>主田社区</w:t>
      </w:r>
      <w:r>
        <w:rPr>
          <w:rFonts w:hint="eastAsia"/>
          <w:b/>
          <w:bCs/>
          <w:lang w:val="en-US" w:eastAsia="zh-CN"/>
        </w:rPr>
        <w:t xml:space="preserve">   </w:t>
      </w:r>
      <w:r>
        <w:rPr>
          <w:rFonts w:hint="eastAsia"/>
          <w:lang w:val="zh-CN"/>
        </w:rPr>
        <w:t>位于主田镇中部，距镇政府1千米，地质属于燕山期花岗岩体及寒武纪震旦纪变质岩体，气候属于亚热带季风湿润气候区。总人口为1198人，其中劳动力人口为1006人，党员数为18人，居委会干部3人。</w:t>
      </w:r>
      <w:r>
        <w:rPr>
          <w:rFonts w:hint="eastAsia"/>
          <w:b/>
          <w:bCs/>
          <w:lang w:val="zh-CN"/>
        </w:rPr>
        <w:t>（邓海林）</w:t>
      </w:r>
    </w:p>
    <w:p w14:paraId="52DE1E47">
      <w:pPr>
        <w:bidi w:val="0"/>
        <w:rPr>
          <w:rFonts w:hint="eastAsia"/>
          <w:lang w:val="zh-CN"/>
        </w:rPr>
      </w:pPr>
      <w:r>
        <w:rPr>
          <w:rFonts w:hint="eastAsia"/>
          <w:b/>
          <w:bCs/>
          <w:lang w:val="zh-CN"/>
        </w:rPr>
        <w:t>举办南雄市首届百香果采摘节</w:t>
      </w:r>
      <w:r>
        <w:rPr>
          <w:rFonts w:hint="eastAsia"/>
          <w:b/>
          <w:bCs/>
          <w:lang w:val="en-US" w:eastAsia="zh-CN"/>
        </w:rPr>
        <w:t xml:space="preserve">   </w:t>
      </w:r>
      <w:r>
        <w:rPr>
          <w:rFonts w:hint="eastAsia"/>
          <w:lang w:val="zh-CN"/>
        </w:rPr>
        <w:t>11月4日，南雄市百香果采摘节在主田镇大坝村百香果种植基地举行，近2000名游客走进果园采摘百香果。2018年年初，为积极推进乡村振兴发展，主田镇流转土地上千亩，统筹扶贫资金250万元发展百香果产业，形成“合作社+农户（贫困户）+基地+公司+劳务+分红”的产业化经营模式，打造百香果产业优质示范基地，逐步实现扶贫资金增值、扶贫产业增效。通过组织有意愿参与百香果种植的40多户贫困户进行种植技术培训，为农户种植百香果提供技术支持。根据与农户签订的协议，从2018到2023年里，村、组可获得分红收益，农户也可以获得土地入股分红，增加收入。主田镇将进一步扩大基地规模，把基地打造成集休闲观光、产品加工、民宿餐饮发展于一体的现代农业产业园，加快推动一、二、三产业融合发展。同时，通过残次林地、荒坡地的改良利用，大力发展生态旅游等，为本地经济发展注入新动力。</w:t>
      </w:r>
    </w:p>
    <w:p w14:paraId="394FA712">
      <w:pPr>
        <w:pStyle w:val="11"/>
        <w:bidi w:val="0"/>
        <w:rPr>
          <w:rFonts w:hint="eastAsia"/>
          <w:b/>
          <w:bCs/>
          <w:lang w:val="zh-CN"/>
        </w:rPr>
      </w:pPr>
      <w:r>
        <w:rPr>
          <w:rFonts w:hint="eastAsia"/>
          <w:b/>
          <w:bCs/>
          <w:lang w:val="zh-CN"/>
        </w:rPr>
        <w:t>附：2018年主田镇领导班子成员名单</w:t>
      </w:r>
    </w:p>
    <w:p w14:paraId="76ECD409">
      <w:pPr>
        <w:pStyle w:val="11"/>
        <w:bidi w:val="0"/>
        <w:rPr>
          <w:rFonts w:hint="eastAsia"/>
          <w:lang w:val="zh-CN"/>
        </w:rPr>
      </w:pPr>
      <w:r>
        <w:rPr>
          <w:rFonts w:hint="eastAsia"/>
          <w:b/>
          <w:bCs/>
          <w:lang w:val="zh-CN"/>
        </w:rPr>
        <w:t>党委书记：</w:t>
      </w:r>
      <w:r>
        <w:rPr>
          <w:rFonts w:hint="eastAsia"/>
          <w:lang w:val="zh-CN"/>
        </w:rPr>
        <w:t>叶飞</w:t>
      </w:r>
    </w:p>
    <w:p w14:paraId="3F25F83B">
      <w:pPr>
        <w:pStyle w:val="11"/>
        <w:bidi w:val="0"/>
        <w:rPr>
          <w:rFonts w:hint="eastAsia"/>
          <w:lang w:val="zh-CN"/>
        </w:rPr>
      </w:pPr>
      <w:r>
        <w:rPr>
          <w:rFonts w:hint="eastAsia"/>
          <w:b/>
          <w:bCs/>
          <w:lang w:val="zh-CN"/>
        </w:rPr>
        <w:t>党委副书记、镇长：</w:t>
      </w:r>
      <w:r>
        <w:rPr>
          <w:rFonts w:hint="eastAsia"/>
          <w:lang w:val="zh-CN"/>
        </w:rPr>
        <w:t>罗惠琴</w:t>
      </w:r>
    </w:p>
    <w:p w14:paraId="16652ED1">
      <w:pPr>
        <w:pStyle w:val="11"/>
        <w:bidi w:val="0"/>
        <w:rPr>
          <w:rFonts w:hint="eastAsia"/>
          <w:lang w:val="zh-CN"/>
        </w:rPr>
      </w:pPr>
      <w:r>
        <w:rPr>
          <w:rFonts w:hint="eastAsia"/>
          <w:b/>
          <w:bCs/>
          <w:lang w:val="zh-CN"/>
        </w:rPr>
        <w:t>人大主席：</w:t>
      </w:r>
      <w:r>
        <w:rPr>
          <w:rFonts w:hint="eastAsia"/>
          <w:lang w:val="zh-CN"/>
        </w:rPr>
        <w:t>吴</w:t>
      </w:r>
      <w:r>
        <w:rPr>
          <w:rFonts w:hint="eastAsia"/>
          <w:lang w:val="en-US" w:eastAsia="zh-CN"/>
        </w:rPr>
        <w:t xml:space="preserve">  </w:t>
      </w:r>
      <w:r>
        <w:rPr>
          <w:rFonts w:hint="eastAsia"/>
          <w:lang w:val="zh-CN"/>
        </w:rPr>
        <w:t>楠</w:t>
      </w:r>
    </w:p>
    <w:p w14:paraId="52BC1182">
      <w:pPr>
        <w:pStyle w:val="11"/>
        <w:bidi w:val="0"/>
        <w:rPr>
          <w:rFonts w:hint="eastAsia"/>
          <w:lang w:val="zh-CN"/>
        </w:rPr>
      </w:pPr>
      <w:r>
        <w:rPr>
          <w:rFonts w:hint="eastAsia"/>
          <w:b/>
          <w:bCs/>
          <w:lang w:val="zh-CN"/>
        </w:rPr>
        <w:t>党委副书记（党建）：</w:t>
      </w:r>
      <w:r>
        <w:rPr>
          <w:rFonts w:hint="eastAsia"/>
          <w:lang w:val="zh-CN"/>
        </w:rPr>
        <w:t>黄承洲</w:t>
      </w:r>
    </w:p>
    <w:p w14:paraId="5EB3DA1C">
      <w:pPr>
        <w:pStyle w:val="11"/>
        <w:bidi w:val="0"/>
        <w:rPr>
          <w:rFonts w:hint="eastAsia"/>
          <w:lang w:val="zh-CN"/>
        </w:rPr>
      </w:pPr>
      <w:r>
        <w:rPr>
          <w:rFonts w:hint="eastAsia"/>
          <w:b/>
          <w:bCs/>
          <w:lang w:val="zh-CN"/>
        </w:rPr>
        <w:t>党委副书记（综治）：</w:t>
      </w:r>
      <w:r>
        <w:rPr>
          <w:rFonts w:hint="eastAsia"/>
          <w:lang w:val="zh-CN"/>
        </w:rPr>
        <w:t>林四珍</w:t>
      </w:r>
    </w:p>
    <w:p w14:paraId="3B6A6815">
      <w:pPr>
        <w:pStyle w:val="11"/>
        <w:bidi w:val="0"/>
        <w:rPr>
          <w:rFonts w:hint="eastAsia"/>
          <w:b/>
          <w:bCs/>
          <w:lang w:val="zh-CN"/>
        </w:rPr>
      </w:pPr>
      <w:r>
        <w:rPr>
          <w:rFonts w:hint="eastAsia"/>
          <w:b/>
          <w:bCs/>
          <w:lang w:val="zh-CN"/>
        </w:rPr>
        <w:t>党委委员、纪委书记：</w:t>
      </w:r>
    </w:p>
    <w:p w14:paraId="52E9E080">
      <w:pPr>
        <w:pStyle w:val="11"/>
        <w:bidi w:val="0"/>
        <w:ind w:leftChars="700"/>
        <w:rPr>
          <w:rFonts w:hint="eastAsia"/>
          <w:lang w:val="zh-CN"/>
        </w:rPr>
      </w:pPr>
      <w:r>
        <w:rPr>
          <w:rFonts w:hint="eastAsia"/>
          <w:lang w:val="zh-CN"/>
        </w:rPr>
        <w:t>刘景琼（任至1月）</w:t>
      </w:r>
    </w:p>
    <w:p w14:paraId="607C0B24">
      <w:pPr>
        <w:pStyle w:val="11"/>
        <w:bidi w:val="0"/>
        <w:ind w:leftChars="700"/>
        <w:rPr>
          <w:rFonts w:hint="eastAsia"/>
          <w:lang w:val="zh-CN"/>
        </w:rPr>
      </w:pPr>
      <w:r>
        <w:rPr>
          <w:rFonts w:hint="eastAsia"/>
          <w:lang w:val="zh-CN"/>
        </w:rPr>
        <w:t>马伟伟（2月任职）</w:t>
      </w:r>
    </w:p>
    <w:p w14:paraId="258E8232">
      <w:pPr>
        <w:pStyle w:val="11"/>
        <w:bidi w:val="0"/>
        <w:rPr>
          <w:rFonts w:hint="eastAsia"/>
          <w:lang w:val="zh-CN"/>
        </w:rPr>
      </w:pPr>
      <w:r>
        <w:rPr>
          <w:rFonts w:hint="eastAsia"/>
          <w:b/>
          <w:bCs/>
          <w:lang w:val="zh-CN"/>
        </w:rPr>
        <w:t>党委组织委员：</w:t>
      </w:r>
      <w:r>
        <w:rPr>
          <w:rFonts w:hint="eastAsia"/>
          <w:lang w:val="zh-CN"/>
        </w:rPr>
        <w:t>黄历友</w:t>
      </w:r>
    </w:p>
    <w:p w14:paraId="482F4A01">
      <w:pPr>
        <w:pStyle w:val="11"/>
        <w:bidi w:val="0"/>
        <w:rPr>
          <w:rFonts w:hint="eastAsia"/>
          <w:lang w:val="zh-CN"/>
        </w:rPr>
      </w:pPr>
      <w:r>
        <w:rPr>
          <w:rFonts w:hint="eastAsia"/>
          <w:b/>
          <w:bCs/>
          <w:lang w:val="zh-CN"/>
        </w:rPr>
        <w:t>党委宣传委员：</w:t>
      </w:r>
      <w:r>
        <w:rPr>
          <w:rFonts w:hint="eastAsia"/>
          <w:lang w:val="zh-CN"/>
        </w:rPr>
        <w:t>刘志鹏</w:t>
      </w:r>
    </w:p>
    <w:p w14:paraId="1AF16FF1">
      <w:pPr>
        <w:pStyle w:val="11"/>
        <w:bidi w:val="0"/>
        <w:rPr>
          <w:rFonts w:hint="eastAsia"/>
          <w:b/>
          <w:bCs/>
          <w:lang w:val="zh-CN"/>
        </w:rPr>
      </w:pPr>
      <w:r>
        <w:rPr>
          <w:rFonts w:hint="eastAsia"/>
          <w:b/>
          <w:bCs/>
          <w:lang w:val="zh-CN"/>
        </w:rPr>
        <w:t>党委委员、武装部部长：</w:t>
      </w:r>
    </w:p>
    <w:p w14:paraId="757C17AF">
      <w:pPr>
        <w:pStyle w:val="11"/>
        <w:bidi w:val="0"/>
        <w:ind w:leftChars="700"/>
        <w:rPr>
          <w:rFonts w:hint="eastAsia"/>
          <w:lang w:val="zh-CN"/>
        </w:rPr>
      </w:pPr>
      <w:r>
        <w:rPr>
          <w:rFonts w:hint="eastAsia"/>
          <w:lang w:val="zh-CN"/>
        </w:rPr>
        <w:t>胡锦平</w:t>
      </w:r>
    </w:p>
    <w:p w14:paraId="2B865E99">
      <w:pPr>
        <w:pStyle w:val="11"/>
        <w:bidi w:val="0"/>
        <w:rPr>
          <w:rFonts w:hint="eastAsia"/>
          <w:lang w:val="zh-CN"/>
        </w:rPr>
      </w:pPr>
      <w:r>
        <w:rPr>
          <w:rFonts w:hint="eastAsia"/>
          <w:b/>
          <w:bCs/>
          <w:lang w:val="zh-CN"/>
        </w:rPr>
        <w:t>党委委员、副镇长：</w:t>
      </w:r>
      <w:r>
        <w:rPr>
          <w:rFonts w:hint="eastAsia"/>
          <w:lang w:val="zh-CN"/>
        </w:rPr>
        <w:t>邓玉良</w:t>
      </w:r>
    </w:p>
    <w:p w14:paraId="08BC1C57">
      <w:pPr>
        <w:pStyle w:val="11"/>
        <w:bidi w:val="0"/>
        <w:rPr>
          <w:rFonts w:hint="eastAsia"/>
          <w:lang w:val="zh-CN"/>
        </w:rPr>
      </w:pPr>
      <w:r>
        <w:rPr>
          <w:rFonts w:hint="eastAsia"/>
          <w:b/>
          <w:bCs/>
          <w:lang w:val="zh-CN"/>
        </w:rPr>
        <w:t>副镇长：</w:t>
      </w:r>
      <w:r>
        <w:rPr>
          <w:rFonts w:hint="eastAsia"/>
          <w:lang w:val="zh-CN"/>
        </w:rPr>
        <w:t>邱梓芳</w:t>
      </w:r>
    </w:p>
    <w:p w14:paraId="197B1B50">
      <w:pPr>
        <w:pStyle w:val="11"/>
        <w:bidi w:val="0"/>
        <w:ind w:leftChars="400"/>
        <w:rPr>
          <w:rFonts w:hint="eastAsia"/>
          <w:lang w:val="zh-CN"/>
        </w:rPr>
      </w:pPr>
      <w:r>
        <w:rPr>
          <w:rFonts w:hint="eastAsia"/>
          <w:lang w:val="zh-CN"/>
        </w:rPr>
        <w:t>王玉杰（4月任职）</w:t>
      </w:r>
    </w:p>
    <w:p w14:paraId="3AAE516A">
      <w:pPr>
        <w:pStyle w:val="11"/>
        <w:bidi w:val="0"/>
        <w:ind w:leftChars="400"/>
        <w:rPr>
          <w:rFonts w:hint="eastAsia"/>
          <w:lang w:val="zh-CN"/>
        </w:rPr>
      </w:pPr>
      <w:r>
        <w:rPr>
          <w:rFonts w:hint="eastAsia"/>
          <w:lang w:val="zh-CN"/>
        </w:rPr>
        <w:t>邓</w:t>
      </w:r>
      <w:r>
        <w:rPr>
          <w:rFonts w:hint="eastAsia"/>
          <w:lang w:val="en-US" w:eastAsia="zh-CN"/>
        </w:rPr>
        <w:t xml:space="preserve">  </w:t>
      </w:r>
      <w:r>
        <w:rPr>
          <w:rFonts w:hint="eastAsia"/>
          <w:lang w:val="zh-CN"/>
        </w:rPr>
        <w:t>芳（任至1月）</w:t>
      </w:r>
    </w:p>
    <w:p w14:paraId="6B6AE7F9">
      <w:pPr>
        <w:pStyle w:val="3"/>
        <w:bidi w:val="0"/>
        <w:rPr>
          <w:rFonts w:hint="eastAsia"/>
          <w:lang w:val="zh-CN"/>
        </w:rPr>
      </w:pPr>
      <w:r>
        <w:rPr>
          <w:rFonts w:hint="eastAsia"/>
          <w:lang w:val="zh-CN"/>
        </w:rPr>
        <w:t>江头镇</w:t>
      </w:r>
    </w:p>
    <w:p w14:paraId="7ECBD259">
      <w:pPr>
        <w:pStyle w:val="4"/>
        <w:bidi w:val="0"/>
        <w:rPr>
          <w:rFonts w:hint="eastAsia"/>
          <w:lang w:val="zh-CN"/>
        </w:rPr>
      </w:pPr>
      <w:r>
        <w:rPr>
          <w:rFonts w:hint="eastAsia"/>
          <w:lang w:val="zh-CN"/>
        </w:rPr>
        <w:t>【概况】</w:t>
      </w:r>
    </w:p>
    <w:p w14:paraId="31C814FC">
      <w:pPr>
        <w:bidi w:val="0"/>
        <w:rPr>
          <w:rFonts w:hint="eastAsia"/>
          <w:lang w:val="zh-CN"/>
        </w:rPr>
      </w:pPr>
      <w:r>
        <w:rPr>
          <w:rFonts w:hint="eastAsia"/>
          <w:lang w:val="zh-CN"/>
        </w:rPr>
        <w:t>江头镇位于南雄市东部偏南方向，距南雄城区13千米，东南毗邻江西省全南县，西接雄州街道黎口村，北靠水口镇。辖区以山区、半山区和丘陵为主，区域总面积164.8平方千米，其中耕地面积955公顷，山林面积1.15万公顷，森林覆盖率达70%。镇辖9个村委会，1个社区居委会，97个村民小组，总户数3813户，人口1.26万人。</w:t>
      </w:r>
    </w:p>
    <w:p w14:paraId="3B4B962E">
      <w:pPr>
        <w:pStyle w:val="4"/>
        <w:bidi w:val="0"/>
        <w:rPr>
          <w:rFonts w:hint="eastAsia"/>
          <w:lang w:val="zh-CN"/>
        </w:rPr>
      </w:pPr>
      <w:r>
        <w:rPr>
          <w:rFonts w:hint="eastAsia"/>
          <w:lang w:val="zh-CN"/>
        </w:rPr>
        <w:t>【历史沿革】</w:t>
      </w:r>
    </w:p>
    <w:p w14:paraId="3C07FFF6">
      <w:pPr>
        <w:bidi w:val="0"/>
        <w:rPr>
          <w:rFonts w:hint="eastAsia"/>
          <w:lang w:val="zh-CN"/>
        </w:rPr>
      </w:pPr>
      <w:r>
        <w:rPr>
          <w:rFonts w:hint="eastAsia"/>
          <w:lang w:val="zh-CN"/>
        </w:rPr>
        <w:t>江头镇明代属知劝乡周南都，清代咸丰四年（1854）改都为约。民国时属第五区江头内乡，民国29年（1940）划归第二区宝江乡。1949年后属第四区，1957年并入水口乡，1958年属上游公社，1959年属湖口公社，1977年为江头公社，1980年改区，1986年置乡，1994年建镇。</w:t>
      </w:r>
    </w:p>
    <w:p w14:paraId="395B3FE9">
      <w:pPr>
        <w:pStyle w:val="4"/>
        <w:bidi w:val="0"/>
        <w:rPr>
          <w:rFonts w:hint="eastAsia"/>
          <w:lang w:val="zh-CN"/>
        </w:rPr>
      </w:pPr>
      <w:r>
        <w:rPr>
          <w:rFonts w:hint="eastAsia"/>
          <w:lang w:val="zh-CN"/>
        </w:rPr>
        <w:t>【经济发展】</w:t>
      </w:r>
    </w:p>
    <w:p w14:paraId="7AC29E90">
      <w:pPr>
        <w:bidi w:val="0"/>
        <w:rPr>
          <w:rFonts w:hint="eastAsia"/>
          <w:lang w:val="zh-CN"/>
        </w:rPr>
      </w:pPr>
      <w:r>
        <w:rPr>
          <w:rFonts w:hint="eastAsia"/>
          <w:lang w:val="zh-CN"/>
        </w:rPr>
        <w:t>2018年，农村经济总收入2.1亿元；农民人均纯收入9530元。全年种植黄烟44.27公顷，交售92.96吨，收购金额达233.52万元。种植水稻683.87公顷，95%以上是优质稻，完成水稻保险投保4.1万元。年底生猪存栏1.53万头，家禽存栏9.7万羽，畜禽免疫率达到100%。</w:t>
      </w:r>
    </w:p>
    <w:p w14:paraId="1A835C66">
      <w:pPr>
        <w:pStyle w:val="4"/>
        <w:bidi w:val="0"/>
        <w:rPr>
          <w:rFonts w:hint="eastAsia"/>
          <w:lang w:val="zh-CN"/>
        </w:rPr>
      </w:pPr>
      <w:r>
        <w:rPr>
          <w:rFonts w:hint="eastAsia"/>
          <w:lang w:val="zh-CN"/>
        </w:rPr>
        <w:t>【社会保障】</w:t>
      </w:r>
    </w:p>
    <w:p w14:paraId="5E241AF6">
      <w:pPr>
        <w:bidi w:val="0"/>
        <w:rPr>
          <w:rFonts w:hint="eastAsia"/>
          <w:lang w:val="zh-CN"/>
        </w:rPr>
      </w:pPr>
      <w:r>
        <w:rPr>
          <w:rFonts w:hint="eastAsia"/>
          <w:lang w:val="zh-CN"/>
        </w:rPr>
        <w:t>2018年，江头镇城乡居民养老保险16至59岁新参保和续费完成3450人，城乡医疗保险参保1.01万人。城镇新增就业人员80人。企业职工社会养老保险扩面征缴完成20人。全镇低保户202户401人。发放80岁以上老人高龄津贴262人，发放重度残疾人护理津贴192人，发放困难残疾人生活津贴117人。申请医疗救助116人次，计25.18万元。投入11.48万用于完善敬老院基础设施及消防系统改造升级。</w:t>
      </w:r>
    </w:p>
    <w:p w14:paraId="59AB207A">
      <w:pPr>
        <w:pStyle w:val="4"/>
        <w:bidi w:val="0"/>
        <w:rPr>
          <w:rFonts w:hint="eastAsia"/>
          <w:lang w:val="zh-CN"/>
        </w:rPr>
      </w:pPr>
      <w:r>
        <w:rPr>
          <w:rFonts w:hint="eastAsia"/>
          <w:lang w:val="zh-CN"/>
        </w:rPr>
        <w:t>【民生工程】</w:t>
      </w:r>
    </w:p>
    <w:p w14:paraId="79A45932">
      <w:pPr>
        <w:bidi w:val="0"/>
        <w:rPr>
          <w:rFonts w:hint="eastAsia"/>
          <w:lang w:val="zh-CN"/>
        </w:rPr>
      </w:pPr>
      <w:r>
        <w:rPr>
          <w:rFonts w:hint="eastAsia"/>
          <w:lang w:val="zh-CN"/>
        </w:rPr>
        <w:t>投入基本农田建设资金130万元，完成9个行政村的9项“三面光”水利工程的建设。投资74.98万元完成南甫村自来水村村通工程；投资约139.45万元对武岭村5口病险山塘进行加固工程；完成镇域浈江河、江头水4千米的中小河流治理。争取融资农村公路项目76.36千米，实施江头镇河口至杨屋村等农村公路改建的工程，切实改善本镇交通状况。</w:t>
      </w:r>
    </w:p>
    <w:p w14:paraId="3B46FC27">
      <w:pPr>
        <w:pStyle w:val="4"/>
        <w:bidi w:val="0"/>
        <w:rPr>
          <w:rFonts w:hint="eastAsia"/>
          <w:lang w:val="zh-CN"/>
        </w:rPr>
      </w:pPr>
      <w:r>
        <w:rPr>
          <w:rFonts w:hint="eastAsia"/>
          <w:lang w:val="zh-CN"/>
        </w:rPr>
        <w:t>【新农村建设】</w:t>
      </w:r>
    </w:p>
    <w:p w14:paraId="5B76E65C">
      <w:pPr>
        <w:bidi w:val="0"/>
        <w:rPr>
          <w:rFonts w:hint="eastAsia"/>
          <w:lang w:val="zh-CN"/>
        </w:rPr>
      </w:pPr>
      <w:r>
        <w:rPr>
          <w:rFonts w:hint="eastAsia"/>
          <w:lang w:val="zh-CN"/>
        </w:rPr>
        <w:t>江头镇有64个省定贫困自然村，2018年总开工建设村数有51个，其中有35个自然村已完成新农村初步建设，进场率为79.69%，完工率为68.63%。未进场13个，其中空心村7个。2018年打造涌溪官田村、元甫李峰山村等2个新农村示范村，以及大汉滑石水精品村。其中滑石水新农村成功申报广东十大美丽乡村之一，入围广东十大美丽乡村精品路线。</w:t>
      </w:r>
    </w:p>
    <w:p w14:paraId="70E4C10E">
      <w:pPr>
        <w:pStyle w:val="4"/>
        <w:bidi w:val="0"/>
        <w:rPr>
          <w:rFonts w:hint="eastAsia"/>
          <w:lang w:val="zh-CN"/>
        </w:rPr>
      </w:pPr>
      <w:r>
        <w:rPr>
          <w:rFonts w:hint="eastAsia"/>
          <w:lang w:val="zh-CN"/>
        </w:rPr>
        <w:t>【精准扶贫】</w:t>
      </w:r>
    </w:p>
    <w:p w14:paraId="422803CA">
      <w:pPr>
        <w:bidi w:val="0"/>
        <w:rPr>
          <w:rFonts w:hint="eastAsia"/>
          <w:lang w:val="zh-CN"/>
        </w:rPr>
      </w:pPr>
      <w:r>
        <w:rPr>
          <w:rFonts w:hint="eastAsia"/>
          <w:lang w:val="zh-CN"/>
        </w:rPr>
        <w:t>江头镇新时期精准扶贫精准脱贫建档立卡贫困户有322户860人，2018年累计完成脱贫302户813人，脱贫率94.5%。帮助全镇151名贫困户在校子女领取教育补助，实施医疗救助167人次、救助资金31.85万元，完成危房改造106户。为9个村149户贫困户发放三黄鸡苗合计9380只。完成农田水利项目3个，道路桥梁项目3个，民生设施项目3个。</w:t>
      </w:r>
    </w:p>
    <w:p w14:paraId="65E8F262">
      <w:pPr>
        <w:pStyle w:val="4"/>
        <w:bidi w:val="0"/>
        <w:rPr>
          <w:rFonts w:hint="eastAsia"/>
          <w:lang w:val="zh-CN"/>
        </w:rPr>
      </w:pPr>
      <w:r>
        <w:rPr>
          <w:rFonts w:hint="eastAsia"/>
          <w:lang w:val="zh-CN"/>
        </w:rPr>
        <w:t>【平安创建】</w:t>
      </w:r>
    </w:p>
    <w:p w14:paraId="7251ABD2">
      <w:pPr>
        <w:bidi w:val="0"/>
        <w:rPr>
          <w:rFonts w:hint="eastAsia"/>
          <w:lang w:val="zh-CN"/>
        </w:rPr>
      </w:pPr>
      <w:r>
        <w:rPr>
          <w:rFonts w:hint="eastAsia"/>
          <w:lang w:val="zh-CN"/>
        </w:rPr>
        <w:t>加强社会综合治理工作，2018年调处邻里、土地确权、山林纠纷等各类矛盾纠纷52件，调处成功率100%，全部达成书面协议。深入开展扫黑除恶专项斗争，2018年排查出4宗线索，上级交办1宗线索。严格落实社区矫正对象接收、管理、考核、解除矫正等制度，促进社区矫正工作制度化、规范化、法制化发展。全面开展“一村（社区）一法律顾问工作”，向顾问村（社区）提供法律咨询服务120件，服务对象500人次。实施“雪亮工程”，投入50万元完善村级视频监控系统。2018年完成4个平原村的视频监控系统建设，还有4个山区村在建。</w:t>
      </w:r>
    </w:p>
    <w:p w14:paraId="545BC906">
      <w:pPr>
        <w:pStyle w:val="4"/>
        <w:bidi w:val="0"/>
        <w:rPr>
          <w:rFonts w:hint="eastAsia"/>
          <w:lang w:val="zh-CN"/>
        </w:rPr>
      </w:pPr>
      <w:r>
        <w:rPr>
          <w:rFonts w:hint="eastAsia"/>
          <w:lang w:val="zh-CN"/>
        </w:rPr>
        <w:t>【各村委会（社区）基本情况】</w:t>
      </w:r>
    </w:p>
    <w:p w14:paraId="33AEDCB1">
      <w:pPr>
        <w:bidi w:val="0"/>
        <w:rPr>
          <w:rFonts w:hint="eastAsia"/>
          <w:lang w:val="zh-CN"/>
        </w:rPr>
      </w:pPr>
      <w:r>
        <w:rPr>
          <w:rFonts w:hint="eastAsia"/>
          <w:b/>
          <w:bCs/>
          <w:lang w:val="zh-CN"/>
        </w:rPr>
        <w:t>坪岗村</w:t>
      </w:r>
      <w:r>
        <w:rPr>
          <w:rFonts w:hint="eastAsia"/>
          <w:b/>
          <w:bCs/>
          <w:lang w:val="en-US" w:eastAsia="zh-CN"/>
        </w:rPr>
        <w:t xml:space="preserve">   </w:t>
      </w:r>
      <w:r>
        <w:rPr>
          <w:rFonts w:hint="eastAsia"/>
          <w:lang w:val="zh-CN"/>
        </w:rPr>
        <w:t>距镇政府6千米，有大村一、大村二、大村三、大村四、社背地、塘窝、山塘尾、山下林屋、山下吴屋、上小涌、下小涌、学坝等12个自然村。全村有429户1548人，耕地面积125.8公顷，以种植水稻、花生、黄烟为主。</w:t>
      </w:r>
    </w:p>
    <w:p w14:paraId="1CF1B7AD">
      <w:pPr>
        <w:bidi w:val="0"/>
        <w:rPr>
          <w:rFonts w:hint="eastAsia"/>
          <w:lang w:val="zh-CN"/>
        </w:rPr>
      </w:pPr>
      <w:r>
        <w:rPr>
          <w:rFonts w:hint="eastAsia"/>
          <w:b/>
          <w:bCs/>
          <w:lang w:val="zh-CN"/>
        </w:rPr>
        <w:t>涌溪村</w:t>
      </w:r>
      <w:r>
        <w:rPr>
          <w:rFonts w:hint="eastAsia"/>
          <w:b/>
          <w:bCs/>
          <w:lang w:val="en-US" w:eastAsia="zh-CN"/>
        </w:rPr>
        <w:t xml:space="preserve">   </w:t>
      </w:r>
      <w:r>
        <w:rPr>
          <w:rFonts w:hint="eastAsia"/>
          <w:lang w:val="zh-CN"/>
        </w:rPr>
        <w:t>距镇政府5千米，有上吴屋、中吴屋、下吴屋、上竹园、下竹园、邱屋、祠堂、大坪山、大水边、官田、老园等11个自然村。全村有453户1648人，耕地面积121.33公顷，以种植水稻、花生、黄烟为主。</w:t>
      </w:r>
    </w:p>
    <w:p w14:paraId="75608DEF">
      <w:pPr>
        <w:bidi w:val="0"/>
        <w:rPr>
          <w:rFonts w:hint="eastAsia"/>
          <w:lang w:val="zh-CN"/>
        </w:rPr>
      </w:pPr>
      <w:r>
        <w:rPr>
          <w:rFonts w:hint="eastAsia"/>
          <w:b/>
          <w:bCs/>
          <w:lang w:val="zh-CN"/>
        </w:rPr>
        <w:t>元甫村</w:t>
      </w:r>
      <w:r>
        <w:rPr>
          <w:rFonts w:hint="eastAsia"/>
          <w:b/>
          <w:bCs/>
          <w:lang w:val="en-US" w:eastAsia="zh-CN"/>
        </w:rPr>
        <w:t xml:space="preserve">   </w:t>
      </w:r>
      <w:r>
        <w:rPr>
          <w:rFonts w:hint="eastAsia"/>
          <w:lang w:val="zh-CN"/>
        </w:rPr>
        <w:t>距镇政府2千米，有井头边、鹅塘、瑶山、吐珠岭、李峰山、茶子园、沙坋、白花潭、亚公门前、中一、中二、西林水等12个自然村。全村有424户1493人，耕地面积145.6公顷，以种植水稻、花生、黄烟为主。</w:t>
      </w:r>
    </w:p>
    <w:p w14:paraId="466513BE">
      <w:pPr>
        <w:bidi w:val="0"/>
        <w:rPr>
          <w:rFonts w:hint="eastAsia"/>
          <w:lang w:val="zh-CN"/>
        </w:rPr>
      </w:pPr>
      <w:r>
        <w:rPr>
          <w:rFonts w:hint="eastAsia"/>
          <w:b/>
          <w:bCs/>
          <w:lang w:val="zh-CN"/>
        </w:rPr>
        <w:t>江头村</w:t>
      </w:r>
      <w:r>
        <w:rPr>
          <w:rFonts w:hint="eastAsia"/>
          <w:b/>
          <w:bCs/>
          <w:lang w:val="en-US" w:eastAsia="zh-CN"/>
        </w:rPr>
        <w:t xml:space="preserve">   </w:t>
      </w:r>
      <w:r>
        <w:rPr>
          <w:rFonts w:hint="eastAsia"/>
          <w:lang w:val="zh-CN"/>
        </w:rPr>
        <w:t>距镇政府0.2千米，有温屋、王屋、巫屋、邓屋、黄坑、蚊坑、旱和地、田洞、江头圩、杨屋、饭岭、沙湾等12个自然村。全村有413户1421人，耕地面积132.27公顷，以种植水稻、花生为主。</w:t>
      </w:r>
    </w:p>
    <w:p w14:paraId="15505F8B">
      <w:pPr>
        <w:bidi w:val="0"/>
        <w:rPr>
          <w:rFonts w:hint="eastAsia"/>
          <w:lang w:val="zh-CN"/>
        </w:rPr>
      </w:pPr>
      <w:r>
        <w:rPr>
          <w:rFonts w:hint="eastAsia"/>
          <w:b/>
          <w:bCs/>
          <w:lang w:val="zh-CN"/>
        </w:rPr>
        <w:t>鱼仙村</w:t>
      </w:r>
      <w:r>
        <w:rPr>
          <w:rFonts w:hint="eastAsia"/>
          <w:b/>
          <w:bCs/>
          <w:lang w:val="en-US" w:eastAsia="zh-CN"/>
        </w:rPr>
        <w:t xml:space="preserve">   </w:t>
      </w:r>
      <w:r>
        <w:rPr>
          <w:rFonts w:hint="eastAsia"/>
          <w:lang w:val="zh-CN"/>
        </w:rPr>
        <w:t>距镇政府7千米，有井头、五坵田、河背、王屋、钟屋、林屋、夹水口、枫树坑、兰屋排、鱼仙、上洞、上东坑、下东坑、芒东坑等14个自然村。全村有365户1279人，耕地面积73.33公顷，以种植水稻、花生、竹木为主。</w:t>
      </w:r>
    </w:p>
    <w:p w14:paraId="0385089A">
      <w:pPr>
        <w:bidi w:val="0"/>
        <w:rPr>
          <w:rFonts w:hint="eastAsia"/>
          <w:lang w:val="zh-CN"/>
        </w:rPr>
      </w:pPr>
      <w:r>
        <w:rPr>
          <w:rFonts w:hint="eastAsia"/>
          <w:b/>
          <w:bCs/>
          <w:lang w:val="zh-CN"/>
        </w:rPr>
        <w:t>大汉村</w:t>
      </w:r>
      <w:r>
        <w:rPr>
          <w:rFonts w:hint="eastAsia"/>
          <w:b/>
          <w:bCs/>
          <w:lang w:val="en-US" w:eastAsia="zh-CN"/>
        </w:rPr>
        <w:t xml:space="preserve">   </w:t>
      </w:r>
      <w:r>
        <w:rPr>
          <w:rFonts w:hint="eastAsia"/>
          <w:lang w:val="zh-CN"/>
        </w:rPr>
        <w:t>距镇政府13千米，有滑石水、山望岗、上队、望龙丘、下队、小汉、天瑶地等7个自然村。全村有209户749人，耕地面积67.33公顷，以种植水稻、花生为主。</w:t>
      </w:r>
    </w:p>
    <w:p w14:paraId="4B4317B0">
      <w:pPr>
        <w:bidi w:val="0"/>
        <w:rPr>
          <w:rFonts w:hint="eastAsia"/>
          <w:lang w:val="zh-CN"/>
        </w:rPr>
      </w:pPr>
      <w:r>
        <w:rPr>
          <w:rFonts w:hint="eastAsia"/>
          <w:b/>
          <w:bCs/>
          <w:lang w:val="zh-CN"/>
        </w:rPr>
        <w:t>南甫村</w:t>
      </w:r>
      <w:r>
        <w:rPr>
          <w:rFonts w:hint="eastAsia"/>
          <w:b/>
          <w:bCs/>
          <w:lang w:val="en-US" w:eastAsia="zh-CN"/>
        </w:rPr>
        <w:t xml:space="preserve">   </w:t>
      </w:r>
      <w:r>
        <w:rPr>
          <w:rFonts w:hint="eastAsia"/>
          <w:lang w:val="zh-CN"/>
        </w:rPr>
        <w:t>距镇政府15千米，有下湖、白泥坑、上塘、井坑、新屋下、井头、豆岗、新塘坑、水口坝、里塘坑、南浦圩等11个自然村。全村有337户1256人，耕地面积65.87公顷，以种植水稻、花生为主。</w:t>
      </w:r>
    </w:p>
    <w:p w14:paraId="1A4BD9FA">
      <w:pPr>
        <w:bidi w:val="0"/>
        <w:rPr>
          <w:rFonts w:hint="eastAsia"/>
          <w:lang w:val="zh-CN"/>
        </w:rPr>
      </w:pPr>
      <w:r>
        <w:rPr>
          <w:rFonts w:hint="eastAsia"/>
          <w:b/>
          <w:bCs/>
          <w:lang w:val="zh-CN"/>
        </w:rPr>
        <w:t>武岭村</w:t>
      </w:r>
      <w:r>
        <w:rPr>
          <w:rFonts w:hint="eastAsia"/>
          <w:b/>
          <w:bCs/>
          <w:lang w:val="en-US" w:eastAsia="zh-CN"/>
        </w:rPr>
        <w:t xml:space="preserve">   </w:t>
      </w:r>
      <w:r>
        <w:rPr>
          <w:rFonts w:hint="eastAsia"/>
          <w:lang w:val="zh-CN"/>
        </w:rPr>
        <w:t>距镇政府14千米，有三联、中心、新屋、九光前、石底下、南坪、老屋、新筑塘、新围、田心、岭排等11个自然村。全村有391户1411人，耕地面积105.33公顷，以种植水稻、花生、果树为主。</w:t>
      </w:r>
    </w:p>
    <w:p w14:paraId="31073DCD">
      <w:pPr>
        <w:bidi w:val="0"/>
        <w:rPr>
          <w:rFonts w:hint="eastAsia"/>
          <w:lang w:val="zh-CN"/>
        </w:rPr>
      </w:pPr>
      <w:r>
        <w:rPr>
          <w:rFonts w:hint="eastAsia"/>
          <w:b/>
          <w:bCs/>
          <w:lang w:val="zh-CN"/>
        </w:rPr>
        <w:t>小竹村</w:t>
      </w:r>
      <w:r>
        <w:rPr>
          <w:rFonts w:hint="eastAsia"/>
          <w:b/>
          <w:bCs/>
          <w:lang w:val="en-US" w:eastAsia="zh-CN"/>
        </w:rPr>
        <w:t xml:space="preserve">   </w:t>
      </w:r>
      <w:r>
        <w:rPr>
          <w:rFonts w:hint="eastAsia"/>
          <w:lang w:val="zh-CN"/>
        </w:rPr>
        <w:t>距镇政府12千米，有大丘麻、黄坪、乌高塘红一、乌高塘红二、乌石洞、小泷头、小竹、张屋等8个自然村。全村有309户1136人，耕地面积94公顷，以种植水稻、花生、竹木为主。</w:t>
      </w:r>
    </w:p>
    <w:p w14:paraId="60F52C1C">
      <w:pPr>
        <w:bidi w:val="0"/>
        <w:rPr>
          <w:rFonts w:hint="eastAsia"/>
          <w:lang w:val="zh-CN"/>
        </w:rPr>
      </w:pPr>
      <w:r>
        <w:rPr>
          <w:rFonts w:hint="eastAsia"/>
          <w:b/>
          <w:bCs/>
          <w:lang w:val="zh-CN"/>
        </w:rPr>
        <w:t>江头社区</w:t>
      </w:r>
      <w:r>
        <w:rPr>
          <w:rFonts w:hint="eastAsia"/>
          <w:b/>
          <w:bCs/>
          <w:lang w:val="en-US" w:eastAsia="zh-CN"/>
        </w:rPr>
        <w:t xml:space="preserve">   </w:t>
      </w:r>
      <w:r>
        <w:rPr>
          <w:rFonts w:hint="eastAsia"/>
          <w:lang w:val="zh-CN"/>
        </w:rPr>
        <w:t>与镇政府相邻，有居民383户，634人。</w:t>
      </w:r>
    </w:p>
    <w:p w14:paraId="271EB61E">
      <w:pPr>
        <w:bidi w:val="0"/>
        <w:jc w:val="right"/>
        <w:rPr>
          <w:rFonts w:hint="eastAsia"/>
          <w:b/>
          <w:bCs/>
          <w:lang w:val="zh-CN"/>
        </w:rPr>
      </w:pPr>
      <w:r>
        <w:rPr>
          <w:rFonts w:hint="eastAsia"/>
          <w:b/>
          <w:bCs/>
          <w:lang w:val="zh-CN"/>
        </w:rPr>
        <w:t>（叶诗妍）</w:t>
      </w:r>
    </w:p>
    <w:p w14:paraId="4F477080">
      <w:pPr>
        <w:pStyle w:val="11"/>
        <w:bidi w:val="0"/>
        <w:rPr>
          <w:rFonts w:hint="eastAsia"/>
          <w:b/>
          <w:bCs/>
          <w:lang w:val="zh-CN"/>
        </w:rPr>
      </w:pPr>
      <w:r>
        <w:rPr>
          <w:rFonts w:hint="eastAsia"/>
          <w:b/>
          <w:bCs/>
          <w:lang w:val="zh-CN"/>
        </w:rPr>
        <w:t>附：2018年江头镇领导班子成员名单</w:t>
      </w:r>
    </w:p>
    <w:p w14:paraId="5A35E478">
      <w:pPr>
        <w:pStyle w:val="11"/>
        <w:bidi w:val="0"/>
        <w:rPr>
          <w:rFonts w:hint="eastAsia"/>
          <w:lang w:val="zh-CN"/>
        </w:rPr>
      </w:pPr>
      <w:r>
        <w:rPr>
          <w:rFonts w:hint="eastAsia"/>
          <w:b/>
          <w:bCs/>
          <w:lang w:val="zh-CN"/>
        </w:rPr>
        <w:t>党委书记：</w:t>
      </w:r>
      <w:r>
        <w:rPr>
          <w:rFonts w:hint="eastAsia"/>
          <w:lang w:val="zh-CN"/>
        </w:rPr>
        <w:t>钟爱莲</w:t>
      </w:r>
    </w:p>
    <w:p w14:paraId="725385A7">
      <w:pPr>
        <w:pStyle w:val="11"/>
        <w:bidi w:val="0"/>
        <w:rPr>
          <w:rFonts w:hint="eastAsia"/>
          <w:lang w:val="zh-CN"/>
        </w:rPr>
      </w:pPr>
      <w:r>
        <w:rPr>
          <w:rFonts w:hint="eastAsia"/>
          <w:b/>
          <w:bCs/>
          <w:lang w:val="zh-CN"/>
        </w:rPr>
        <w:t>党委副书记、镇长：</w:t>
      </w:r>
      <w:r>
        <w:rPr>
          <w:rFonts w:hint="eastAsia"/>
          <w:lang w:val="zh-CN"/>
        </w:rPr>
        <w:t>袁</w:t>
      </w:r>
      <w:r>
        <w:rPr>
          <w:rFonts w:hint="eastAsia"/>
          <w:lang w:val="en-US" w:eastAsia="zh-CN"/>
        </w:rPr>
        <w:t xml:space="preserve">  </w:t>
      </w:r>
      <w:r>
        <w:rPr>
          <w:rFonts w:hint="eastAsia"/>
          <w:lang w:val="zh-CN"/>
        </w:rPr>
        <w:t>斌</w:t>
      </w:r>
    </w:p>
    <w:p w14:paraId="639C65BD">
      <w:pPr>
        <w:pStyle w:val="11"/>
        <w:bidi w:val="0"/>
        <w:rPr>
          <w:rFonts w:hint="eastAsia"/>
          <w:lang w:val="zh-CN"/>
        </w:rPr>
      </w:pPr>
      <w:r>
        <w:rPr>
          <w:rFonts w:hint="eastAsia"/>
          <w:b/>
          <w:bCs/>
          <w:lang w:val="zh-CN"/>
        </w:rPr>
        <w:t>人大主席：</w:t>
      </w:r>
      <w:r>
        <w:rPr>
          <w:rFonts w:hint="eastAsia"/>
          <w:lang w:val="zh-CN"/>
        </w:rPr>
        <w:t>陶景晖</w:t>
      </w:r>
    </w:p>
    <w:p w14:paraId="24F9EE44">
      <w:pPr>
        <w:pStyle w:val="11"/>
        <w:bidi w:val="0"/>
        <w:rPr>
          <w:rFonts w:hint="default" w:eastAsia="宋体"/>
          <w:lang w:val="en-US" w:eastAsia="zh-CN"/>
        </w:rPr>
      </w:pPr>
      <w:r>
        <w:rPr>
          <w:rFonts w:hint="eastAsia"/>
          <w:b/>
          <w:bCs/>
          <w:lang w:val="zh-CN"/>
        </w:rPr>
        <w:t>党委副书记（党建）：</w:t>
      </w:r>
      <w:r>
        <w:rPr>
          <w:rFonts w:hint="eastAsia"/>
          <w:lang w:val="zh-CN"/>
        </w:rPr>
        <w:t>潘</w:t>
      </w:r>
      <w:r>
        <w:rPr>
          <w:rFonts w:hint="eastAsia"/>
          <w:lang w:val="en-US" w:eastAsia="zh-CN"/>
        </w:rPr>
        <w:t xml:space="preserve">  </w:t>
      </w:r>
      <w:r>
        <w:rPr>
          <w:rFonts w:hint="eastAsia"/>
          <w:lang w:val="zh-CN"/>
        </w:rPr>
        <w:t>粤</w:t>
      </w:r>
    </w:p>
    <w:p w14:paraId="6979CAEC">
      <w:pPr>
        <w:pStyle w:val="11"/>
        <w:bidi w:val="0"/>
        <w:rPr>
          <w:rFonts w:hint="eastAsia"/>
          <w:lang w:val="zh-CN"/>
        </w:rPr>
      </w:pPr>
      <w:r>
        <w:rPr>
          <w:rFonts w:hint="eastAsia"/>
          <w:b/>
          <w:bCs/>
          <w:lang w:val="zh-CN"/>
        </w:rPr>
        <w:t>党委副书记（综治）：</w:t>
      </w:r>
      <w:r>
        <w:rPr>
          <w:rFonts w:hint="eastAsia"/>
          <w:lang w:val="zh-CN"/>
        </w:rPr>
        <w:t>刘仙华</w:t>
      </w:r>
    </w:p>
    <w:p w14:paraId="7B836344">
      <w:pPr>
        <w:pStyle w:val="11"/>
        <w:bidi w:val="0"/>
        <w:rPr>
          <w:rFonts w:hint="eastAsia"/>
          <w:lang w:val="zh-CN"/>
        </w:rPr>
      </w:pPr>
      <w:r>
        <w:rPr>
          <w:rFonts w:hint="eastAsia"/>
          <w:b/>
          <w:bCs/>
          <w:lang w:val="zh-CN"/>
        </w:rPr>
        <w:t>党委委员、纪委书记：</w:t>
      </w:r>
      <w:r>
        <w:rPr>
          <w:rFonts w:hint="eastAsia"/>
          <w:lang w:val="zh-CN"/>
        </w:rPr>
        <w:t>张朝强</w:t>
      </w:r>
    </w:p>
    <w:p w14:paraId="4BAB1474">
      <w:pPr>
        <w:pStyle w:val="11"/>
        <w:bidi w:val="0"/>
        <w:rPr>
          <w:rFonts w:hint="eastAsia"/>
          <w:lang w:val="zh-CN"/>
        </w:rPr>
      </w:pPr>
      <w:r>
        <w:rPr>
          <w:rFonts w:hint="eastAsia"/>
          <w:b/>
          <w:bCs/>
          <w:lang w:val="zh-CN"/>
        </w:rPr>
        <w:t>党委组织委员：</w:t>
      </w:r>
      <w:r>
        <w:rPr>
          <w:rFonts w:hint="eastAsia"/>
          <w:lang w:val="zh-CN"/>
        </w:rPr>
        <w:t>吴滟明</w:t>
      </w:r>
    </w:p>
    <w:p w14:paraId="2C8DCDFE">
      <w:pPr>
        <w:pStyle w:val="11"/>
        <w:bidi w:val="0"/>
        <w:rPr>
          <w:rFonts w:hint="eastAsia"/>
          <w:lang w:val="zh-CN"/>
        </w:rPr>
      </w:pPr>
      <w:r>
        <w:rPr>
          <w:rFonts w:hint="eastAsia"/>
          <w:b/>
          <w:bCs/>
          <w:lang w:val="zh-CN"/>
        </w:rPr>
        <w:t>党委宣传委员：</w:t>
      </w:r>
      <w:r>
        <w:rPr>
          <w:rFonts w:hint="eastAsia"/>
          <w:lang w:val="zh-CN"/>
        </w:rPr>
        <w:t>王竹生</w:t>
      </w:r>
    </w:p>
    <w:p w14:paraId="6D75D7BE">
      <w:pPr>
        <w:pStyle w:val="11"/>
        <w:bidi w:val="0"/>
        <w:rPr>
          <w:rFonts w:hint="eastAsia"/>
          <w:lang w:val="zh-CN"/>
        </w:rPr>
      </w:pPr>
      <w:r>
        <w:rPr>
          <w:rFonts w:hint="eastAsia"/>
          <w:b/>
          <w:bCs/>
          <w:lang w:val="zh-CN"/>
        </w:rPr>
        <w:t>党委委员、武装部部长：</w:t>
      </w:r>
      <w:r>
        <w:rPr>
          <w:rFonts w:hint="eastAsia"/>
          <w:lang w:val="zh-CN"/>
        </w:rPr>
        <w:t>曾</w:t>
      </w:r>
      <w:r>
        <w:rPr>
          <w:rFonts w:hint="eastAsia"/>
          <w:lang w:val="en-US" w:eastAsia="zh-CN"/>
        </w:rPr>
        <w:t xml:space="preserve">  </w:t>
      </w:r>
      <w:r>
        <w:rPr>
          <w:rFonts w:hint="eastAsia"/>
          <w:lang w:val="zh-CN"/>
        </w:rPr>
        <w:t>辉</w:t>
      </w:r>
    </w:p>
    <w:p w14:paraId="7D145163">
      <w:pPr>
        <w:pStyle w:val="11"/>
        <w:bidi w:val="0"/>
        <w:rPr>
          <w:rFonts w:hint="eastAsia"/>
          <w:b/>
          <w:bCs/>
          <w:lang w:val="zh-CN"/>
        </w:rPr>
      </w:pPr>
      <w:r>
        <w:rPr>
          <w:rFonts w:hint="eastAsia"/>
          <w:b/>
          <w:bCs/>
          <w:lang w:val="zh-CN"/>
        </w:rPr>
        <w:t>党委委员、副镇长：</w:t>
      </w:r>
    </w:p>
    <w:p w14:paraId="512DD03A">
      <w:pPr>
        <w:pStyle w:val="11"/>
        <w:bidi w:val="0"/>
        <w:ind w:leftChars="400"/>
        <w:rPr>
          <w:rFonts w:hint="eastAsia"/>
          <w:lang w:val="zh-CN"/>
        </w:rPr>
      </w:pPr>
      <w:r>
        <w:rPr>
          <w:rFonts w:hint="eastAsia"/>
          <w:lang w:val="zh-CN"/>
        </w:rPr>
        <w:t>谭章洪（任至1月）</w:t>
      </w:r>
    </w:p>
    <w:p w14:paraId="5EBA6284">
      <w:pPr>
        <w:pStyle w:val="11"/>
        <w:bidi w:val="0"/>
        <w:ind w:leftChars="400"/>
        <w:rPr>
          <w:rFonts w:hint="eastAsia"/>
          <w:lang w:val="zh-CN"/>
        </w:rPr>
      </w:pPr>
      <w:r>
        <w:rPr>
          <w:rFonts w:hint="eastAsia"/>
          <w:lang w:val="zh-CN"/>
        </w:rPr>
        <w:t>叶常祖（2月任职）</w:t>
      </w:r>
    </w:p>
    <w:p w14:paraId="6E13A05B">
      <w:pPr>
        <w:pStyle w:val="11"/>
        <w:bidi w:val="0"/>
        <w:rPr>
          <w:rFonts w:hint="eastAsia"/>
          <w:lang w:val="zh-CN"/>
        </w:rPr>
      </w:pPr>
      <w:r>
        <w:rPr>
          <w:rFonts w:hint="eastAsia"/>
          <w:b/>
          <w:bCs/>
          <w:lang w:val="zh-CN"/>
        </w:rPr>
        <w:t>副镇长：</w:t>
      </w:r>
      <w:r>
        <w:rPr>
          <w:rFonts w:hint="eastAsia"/>
          <w:lang w:val="zh-CN"/>
        </w:rPr>
        <w:t>黄志东</w:t>
      </w:r>
      <w:r>
        <w:rPr>
          <w:rFonts w:hint="eastAsia"/>
          <w:lang w:val="en-US" w:eastAsia="zh-CN"/>
        </w:rPr>
        <w:t xml:space="preserve">   </w:t>
      </w:r>
      <w:r>
        <w:rPr>
          <w:rFonts w:hint="eastAsia"/>
          <w:lang w:val="zh-CN"/>
        </w:rPr>
        <w:t>张燕琼</w:t>
      </w:r>
    </w:p>
    <w:p w14:paraId="4637E167">
      <w:pPr>
        <w:pStyle w:val="3"/>
        <w:bidi w:val="0"/>
        <w:rPr>
          <w:rFonts w:hint="eastAsia"/>
          <w:lang w:val="zh-CN"/>
        </w:rPr>
      </w:pPr>
      <w:r>
        <w:rPr>
          <w:rFonts w:hint="eastAsia"/>
          <w:lang w:val="zh-CN"/>
        </w:rPr>
        <w:t>南亩镇</w:t>
      </w:r>
    </w:p>
    <w:p w14:paraId="41E234F1">
      <w:pPr>
        <w:pStyle w:val="4"/>
        <w:bidi w:val="0"/>
        <w:rPr>
          <w:rFonts w:hint="eastAsia"/>
          <w:lang w:val="zh-CN"/>
        </w:rPr>
      </w:pPr>
      <w:r>
        <w:rPr>
          <w:rFonts w:hint="eastAsia"/>
          <w:lang w:val="zh-CN"/>
        </w:rPr>
        <w:t>【概况】</w:t>
      </w:r>
    </w:p>
    <w:p w14:paraId="13096631">
      <w:pPr>
        <w:bidi w:val="0"/>
        <w:rPr>
          <w:rFonts w:hint="eastAsia"/>
          <w:lang w:val="zh-CN"/>
        </w:rPr>
      </w:pPr>
      <w:r>
        <w:rPr>
          <w:rFonts w:hint="eastAsia"/>
          <w:lang w:val="zh-CN"/>
        </w:rPr>
        <w:t>南亩镇是广东省南雄市下辖镇，位于南雄市东南部，地处半山区丘陵地带，距南雄市区30千米，东邻坪田镇，北接乌迳镇、黄坑镇，西连水口镇，南与江西省全南县陂头镇交界。全镇下辖11个行政村和1个居委会，104个村小组，总户数3996户，总人口1.69万人，其中农业人口1.59万人。全镇土地总面积110.3平方千米，其中山地7767公顷，耕地904.47公顷，林地面积12.1万公顷。全镇下辖11个村委会和1个居委会，辖区有住户4460户，1.6万人，其中农业人口1.52万人。境内气候湿润，具有丰富的山地、竹木和稀土资源，经济产业以种养业为主，素有“油茶之乡”“水果之乡”“茶叶之乡”美誉。农业主产水稻、黄烟、花生，经济作物主要有茶油、茶叶、白果、板栗、青梅、奈李。南亩镇旅游资源丰富，境内有芙蓉邓坑古银杏群、千年罗汉松、鱼鲜古村落、花林古寺、官田仙桃石、山与山间茶园等景点。</w:t>
      </w:r>
    </w:p>
    <w:p w14:paraId="238758CD">
      <w:pPr>
        <w:pStyle w:val="4"/>
        <w:bidi w:val="0"/>
        <w:rPr>
          <w:rFonts w:hint="eastAsia"/>
          <w:lang w:val="zh-CN"/>
        </w:rPr>
      </w:pPr>
      <w:r>
        <w:rPr>
          <w:rFonts w:hint="eastAsia"/>
          <w:lang w:val="zh-CN"/>
        </w:rPr>
        <w:t>【经济发展】</w:t>
      </w:r>
    </w:p>
    <w:p w14:paraId="7D5C6B26">
      <w:pPr>
        <w:bidi w:val="0"/>
        <w:rPr>
          <w:rFonts w:hint="eastAsia"/>
          <w:lang w:val="zh-CN"/>
        </w:rPr>
      </w:pPr>
      <w:r>
        <w:rPr>
          <w:rFonts w:hint="eastAsia"/>
          <w:lang w:val="zh-CN"/>
        </w:rPr>
        <w:t>2018年，全镇国民生产总值3.03亿元，同比增长7.1%；畜牧业生产响应节能减排号召，实现生猪出栏68714头，同比增长-1.2%；粮食种植面积1410.8公顷，同比增长1.7%。</w:t>
      </w:r>
    </w:p>
    <w:p w14:paraId="3B7D2527">
      <w:pPr>
        <w:pStyle w:val="4"/>
        <w:bidi w:val="0"/>
        <w:rPr>
          <w:rFonts w:hint="eastAsia"/>
          <w:lang w:val="zh-CN"/>
        </w:rPr>
      </w:pPr>
      <w:r>
        <w:rPr>
          <w:rFonts w:hint="eastAsia"/>
          <w:lang w:val="zh-CN"/>
        </w:rPr>
        <w:t>【文教事业】</w:t>
      </w:r>
    </w:p>
    <w:p w14:paraId="773FA375">
      <w:pPr>
        <w:bidi w:val="0"/>
        <w:rPr>
          <w:rFonts w:hint="eastAsia"/>
          <w:lang w:val="zh-CN"/>
        </w:rPr>
      </w:pPr>
      <w:r>
        <w:rPr>
          <w:rFonts w:hint="eastAsia"/>
          <w:lang w:val="zh-CN"/>
        </w:rPr>
        <w:t>1所九年一贯制学校（南亩学校）、1所非完全小学（中寺小学）、1个村级教学点（芙蓉教学点），1所公办幼儿园（南亩镇中心幼儿园）和吉利、启慧2所民办幼儿园，以及1所成人文化技术学校、1所党校。其中南亩学校通过“广东省教育强镇”复评检查。2018年，南亩学校女子足球队获2018U点五人足球争霸赛（南雄）女子组第一名，南亩学校男子篮球队获南雄市2018年第二届中小学生篮球赛小学男子乙组第四名，南亩学校文艺队节日《畲山春》获2018年南雄市中小学（幼儿园）文艺竞赛民族舞蹈乡镇小学组二等奖。</w:t>
      </w:r>
    </w:p>
    <w:p w14:paraId="55BE1201">
      <w:pPr>
        <w:pStyle w:val="4"/>
        <w:bidi w:val="0"/>
        <w:rPr>
          <w:rFonts w:hint="eastAsia"/>
          <w:lang w:val="zh-CN"/>
        </w:rPr>
      </w:pPr>
      <w:r>
        <w:rPr>
          <w:rFonts w:hint="eastAsia"/>
          <w:lang w:val="zh-CN"/>
        </w:rPr>
        <w:t>【社会保障】</w:t>
      </w:r>
    </w:p>
    <w:p w14:paraId="7B54D094">
      <w:pPr>
        <w:bidi w:val="0"/>
        <w:rPr>
          <w:rFonts w:hint="eastAsia"/>
          <w:lang w:val="zh-CN"/>
        </w:rPr>
      </w:pPr>
      <w:r>
        <w:rPr>
          <w:rFonts w:hint="eastAsia"/>
          <w:lang w:val="zh-CN"/>
        </w:rPr>
        <w:t>2018年全镇城乡居民养老保险缴费人数4163人，占分配任务数的102.79%；城乡居民医疗保险完成缴费14605人，占分配任务数的100.03%；社保跨面工作完成25人，占分配任务数的125%，征收金额40.89万元，占任务数的389.44%；新增就业71人，占任务数的101.43%；完成就业困难人员认定10人。</w:t>
      </w:r>
    </w:p>
    <w:p w14:paraId="24DD281A">
      <w:pPr>
        <w:pStyle w:val="4"/>
        <w:bidi w:val="0"/>
        <w:rPr>
          <w:rFonts w:hint="eastAsia"/>
          <w:lang w:val="zh-CN"/>
        </w:rPr>
      </w:pPr>
      <w:r>
        <w:rPr>
          <w:rFonts w:hint="eastAsia"/>
          <w:lang w:val="zh-CN"/>
        </w:rPr>
        <w:t>【精准扶贫】</w:t>
      </w:r>
    </w:p>
    <w:p w14:paraId="31CB152B">
      <w:pPr>
        <w:bidi w:val="0"/>
        <w:rPr>
          <w:rFonts w:hint="eastAsia"/>
          <w:lang w:val="zh-CN"/>
        </w:rPr>
      </w:pPr>
      <w:r>
        <w:rPr>
          <w:rFonts w:hint="eastAsia"/>
          <w:lang w:val="zh-CN"/>
        </w:rPr>
        <w:t>省定相对贫困村为樟屋村、南亩村，分别由韶钢集团及东莞市常平镇帮扶，其余为面上贫困村，由水务局（牵头单位）、市气象局、市编办、市交通局、市残联、南亩镇人民政府及南雄市第二中学帮扶。2018年，建档立卡贫困户230户615人，其中无劳动能力户98户160人，有劳动能力户132户455人；一般贫困户106户376人，低保贫困户107户222人，五保贫困户17户17人。2018年为37户贫困户申报危房改造，其中17户新建，20户修缮；统筹资金624.41万元，投资南雄市山与山间农业综合开发有限公司，委托该公司经营。公司每年按投资金额的8.5%给投资方投资收益。2018年发放以奖代补58.58万元，发放贫困户生产物资14.76万元，重点村发展产业36万元。2018年为11户贫困户发放1710株油茶苗。</w:t>
      </w:r>
    </w:p>
    <w:p w14:paraId="5ABF1E16">
      <w:pPr>
        <w:pStyle w:val="4"/>
        <w:bidi w:val="0"/>
        <w:rPr>
          <w:rFonts w:hint="eastAsia"/>
          <w:lang w:val="zh-CN"/>
        </w:rPr>
      </w:pPr>
      <w:r>
        <w:rPr>
          <w:rFonts w:hint="eastAsia"/>
          <w:lang w:val="zh-CN"/>
        </w:rPr>
        <w:t>【新农村建设】</w:t>
      </w:r>
    </w:p>
    <w:p w14:paraId="344BE03D">
      <w:pPr>
        <w:bidi w:val="0"/>
        <w:rPr>
          <w:rFonts w:hint="eastAsia"/>
          <w:lang w:val="zh-CN"/>
        </w:rPr>
      </w:pPr>
      <w:r>
        <w:rPr>
          <w:rFonts w:hint="eastAsia"/>
          <w:lang w:val="zh-CN"/>
        </w:rPr>
        <w:t>2018年，南亩镇累计拆除废弃猪牛栏、危旧房屋966间，面积2.6万平方米。重点贫困村全部村小组新农村建设入场施工，进场率100%，其中13个基本完工，完工率65%。累计完成投资近2000万元，累计完成村道建设10.6千米，排水沟8.8千米，污水管网12.4千米，建设小停车场8个，公厕3个。面上村全面启动“三清三拆”工作，其中有25个村小组开展“三清三拆”工作，17个村小组基本完成“三清三拆”工作。</w:t>
      </w:r>
    </w:p>
    <w:p w14:paraId="51810FD9">
      <w:pPr>
        <w:pStyle w:val="4"/>
        <w:bidi w:val="0"/>
        <w:rPr>
          <w:rFonts w:hint="eastAsia"/>
          <w:lang w:val="zh-CN"/>
        </w:rPr>
      </w:pPr>
      <w:r>
        <w:rPr>
          <w:rFonts w:hint="eastAsia"/>
          <w:lang w:val="zh-CN"/>
        </w:rPr>
        <w:t>【民生项目】</w:t>
      </w:r>
    </w:p>
    <w:p w14:paraId="0702A283">
      <w:pPr>
        <w:bidi w:val="0"/>
        <w:rPr>
          <w:rFonts w:hint="eastAsia"/>
          <w:lang w:val="zh-CN"/>
        </w:rPr>
      </w:pPr>
      <w:r>
        <w:rPr>
          <w:rFonts w:hint="eastAsia"/>
          <w:lang w:val="zh-CN"/>
        </w:rPr>
        <w:t>推进农村生活垃圾整治工作。完善水利设施建设，2018年，病险山塘加固工程项目第二标段（南亩村竹仂坑山塘、水塘村大山背山塘）分部工程完工并通过验收，进一步巩固强化镇防汛抗旱设施基础。南亩镇村村通自来水工程（第一期）所在的岭下、官田村顺利完工并通过验收，安全饮水惠及超过1200人。另外，列入南雄市2018—2020年项目清单中涉及芙蓉水、中边水、水塘水流经的7个村中小河流治理工程也顺利完工，治理河道长度达16余千米，覆盖流域面积50余平方千米，大大减少沿河的洪涝灾害，生态环境也得到改善。落实各项抚恤优待政策，按时足额调整发放各项抚恤定补。全年为老复员军人等优抚对象发放优抚金29.4万元；开展为优抚对象献爱心结对帮扶活动和军民共建活动，一年来慰问军烈属和优抚对象35人，发放慰问金近5000元；完成救灾粮发放工作，发放大米3000斤，棉被40张，涉及困难户56户。认真实施困难居民大病医疗救助政策，为50多名大病患者申请医疗救助；对低保户信息进行核查，按时完成2018年农村低保复查工作；为451名老人投保“银龄安康”。</w:t>
      </w:r>
    </w:p>
    <w:p w14:paraId="374639CA">
      <w:pPr>
        <w:pStyle w:val="4"/>
        <w:bidi w:val="0"/>
        <w:rPr>
          <w:rFonts w:hint="eastAsia"/>
          <w:lang w:val="zh-CN"/>
        </w:rPr>
      </w:pPr>
      <w:r>
        <w:rPr>
          <w:rFonts w:hint="eastAsia"/>
          <w:lang w:val="zh-CN"/>
        </w:rPr>
        <w:t>【计划生育】</w:t>
      </w:r>
    </w:p>
    <w:p w14:paraId="41AD57CF">
      <w:pPr>
        <w:bidi w:val="0"/>
        <w:rPr>
          <w:rFonts w:hint="eastAsia"/>
          <w:lang w:val="zh-CN"/>
        </w:rPr>
      </w:pPr>
      <w:r>
        <w:rPr>
          <w:rFonts w:hint="eastAsia"/>
          <w:lang w:val="zh-CN"/>
        </w:rPr>
        <w:t>2018年一孩出生数为72人，二孩出生数为110人，三孩及以上出生数为21人。其中一孩政策外出生0人，二孩政策外出生4人，三孩及以上政策外出生8人。政策生育率91.63%，性别比120.65，政策外多孩率6.4%，互联互通平台录入及时率100%。</w:t>
      </w:r>
    </w:p>
    <w:p w14:paraId="701F78C9">
      <w:pPr>
        <w:pStyle w:val="4"/>
        <w:bidi w:val="0"/>
        <w:rPr>
          <w:rFonts w:hint="eastAsia"/>
          <w:lang w:val="zh-CN"/>
        </w:rPr>
      </w:pPr>
      <w:r>
        <w:rPr>
          <w:rFonts w:hint="eastAsia"/>
          <w:lang w:val="zh-CN"/>
        </w:rPr>
        <w:t>【生态林业】</w:t>
      </w:r>
    </w:p>
    <w:p w14:paraId="18052130">
      <w:pPr>
        <w:bidi w:val="0"/>
        <w:rPr>
          <w:rFonts w:hint="eastAsia"/>
          <w:lang w:val="zh-CN"/>
        </w:rPr>
      </w:pPr>
      <w:r>
        <w:rPr>
          <w:rFonts w:hint="eastAsia"/>
          <w:lang w:val="zh-CN"/>
        </w:rPr>
        <w:t>2018年全镇参加植树6720人，义务植树尽责率80%；义务植树株数2.02万株，人均完成植树3株。新建义务植树示范基地2处，道路绿化2处，四旁绿化10处，面积达26.67公顷。悬挂森林防火宣传横幅52幅，设置森林防火警示牌33个，设置生态管护责任牌11个，张贴森林防火村规民约牌104个，下发宣传单9000多份，设立清明期间森林防火临时检查站11个。</w:t>
      </w:r>
    </w:p>
    <w:p w14:paraId="31F59D9F">
      <w:pPr>
        <w:pStyle w:val="4"/>
        <w:bidi w:val="0"/>
        <w:rPr>
          <w:rFonts w:hint="eastAsia"/>
          <w:lang w:val="zh-CN"/>
        </w:rPr>
      </w:pPr>
      <w:r>
        <w:rPr>
          <w:rFonts w:hint="eastAsia"/>
          <w:lang w:val="zh-CN"/>
        </w:rPr>
        <w:t>【安全生产和食品药品管理】</w:t>
      </w:r>
    </w:p>
    <w:p w14:paraId="0D6202C6">
      <w:pPr>
        <w:bidi w:val="0"/>
        <w:rPr>
          <w:rFonts w:hint="eastAsia"/>
          <w:lang w:val="zh-CN"/>
        </w:rPr>
      </w:pPr>
      <w:r>
        <w:rPr>
          <w:rFonts w:hint="eastAsia"/>
          <w:lang w:val="zh-CN"/>
        </w:rPr>
        <w:t>分别与学校、企业签订安全生产和消防责任书75份，新安装5个消防栓，组织3场宣传教育活动，发放安全生产宣传资料等300多份，安全隐患排查50家次，下发责令整改通知书8份。2018年，全镇未发生一起食品药品安全事故。南亩镇及水口食药监中心所合作出动食品药品执法检查220余人次，检查单位21家92次，其中药品20家次，餐饮服务单位20家次，学校食堂12家次，食品经营单位32家次，医疗机构8次。</w:t>
      </w:r>
    </w:p>
    <w:p w14:paraId="45FC5265">
      <w:pPr>
        <w:pStyle w:val="4"/>
        <w:bidi w:val="0"/>
        <w:rPr>
          <w:rFonts w:hint="eastAsia"/>
          <w:lang w:val="zh-CN"/>
        </w:rPr>
      </w:pPr>
      <w:r>
        <w:rPr>
          <w:rFonts w:hint="eastAsia"/>
          <w:lang w:val="zh-CN"/>
        </w:rPr>
        <w:t>【社会综合治理】</w:t>
      </w:r>
    </w:p>
    <w:p w14:paraId="311A8FCA">
      <w:pPr>
        <w:bidi w:val="0"/>
        <w:rPr>
          <w:rFonts w:hint="eastAsia"/>
          <w:lang w:val="zh-CN"/>
        </w:rPr>
      </w:pPr>
      <w:r>
        <w:rPr>
          <w:rFonts w:hint="eastAsia"/>
          <w:lang w:val="zh-CN"/>
        </w:rPr>
        <w:t>2018年排查各类矛盾纠纷25起，调解成功25起，调解成功率达100%，其中镇干部参与调处25件。</w:t>
      </w:r>
    </w:p>
    <w:p w14:paraId="6BC88EEA">
      <w:pPr>
        <w:pStyle w:val="4"/>
        <w:bidi w:val="0"/>
        <w:rPr>
          <w:rFonts w:hint="eastAsia"/>
          <w:lang w:val="zh-CN"/>
        </w:rPr>
      </w:pPr>
      <w:r>
        <w:rPr>
          <w:rFonts w:hint="eastAsia"/>
          <w:lang w:val="zh-CN"/>
        </w:rPr>
        <w:t>【党建工作】</w:t>
      </w:r>
    </w:p>
    <w:p w14:paraId="74BB5EFD">
      <w:pPr>
        <w:bidi w:val="0"/>
        <w:rPr>
          <w:rFonts w:hint="eastAsia"/>
          <w:lang w:val="zh-CN"/>
        </w:rPr>
      </w:pPr>
      <w:r>
        <w:rPr>
          <w:rFonts w:hint="eastAsia"/>
          <w:lang w:val="zh-CN"/>
        </w:rPr>
        <w:t>2018年，投入财力重点提升岭下、长洞2个阵地建设达标党支部。其中投入80余万元在长洞村小学旧址重建长洞村党建阵地，面积约400平方米；投入近70万元修缮岭下村小学作为村办公大楼，面积约600平方米。投入近10万元完善镇党委、各个村（居）党员活动室的综合服务功能、政务公开栏等设施，通过推进“有场所、有设施、有标志、有党旗、有书报、有制度”的“六有”党员活动室建设，不断提升支部党建活力。严抓党风廉政建设。2018年以来，受理群众来信来访21件次，全都得到妥善处理；上级交办信访件12起，全都按期办结上报；协助南雄市纪委办案2起、办结信访件4件；完成自办案1起。</w:t>
      </w:r>
    </w:p>
    <w:p w14:paraId="7BB9B417">
      <w:pPr>
        <w:pStyle w:val="4"/>
        <w:bidi w:val="0"/>
        <w:rPr>
          <w:rFonts w:hint="eastAsia"/>
          <w:lang w:val="zh-CN"/>
        </w:rPr>
      </w:pPr>
      <w:r>
        <w:rPr>
          <w:rFonts w:hint="eastAsia"/>
          <w:lang w:val="zh-CN"/>
        </w:rPr>
        <w:t>【各村委会（社区）基本情况】</w:t>
      </w:r>
    </w:p>
    <w:p w14:paraId="4A81B2D0">
      <w:pPr>
        <w:bidi w:val="0"/>
        <w:rPr>
          <w:rFonts w:hint="eastAsia"/>
          <w:lang w:val="zh-CN"/>
        </w:rPr>
      </w:pPr>
      <w:r>
        <w:rPr>
          <w:rFonts w:hint="eastAsia"/>
          <w:b/>
          <w:bCs/>
          <w:lang w:val="zh-CN"/>
        </w:rPr>
        <w:t>南亩社区</w:t>
      </w:r>
      <w:r>
        <w:rPr>
          <w:rFonts w:hint="eastAsia"/>
          <w:b/>
          <w:bCs/>
          <w:lang w:val="en-US" w:eastAsia="zh-CN"/>
        </w:rPr>
        <w:t xml:space="preserve">   </w:t>
      </w:r>
      <w:r>
        <w:rPr>
          <w:rFonts w:hint="eastAsia"/>
          <w:lang w:val="zh-CN"/>
        </w:rPr>
        <w:t>位于南亩镇圩，面积1平方千米，有461户1001人，党员17人，经济来源主要依靠劳务输出。</w:t>
      </w:r>
    </w:p>
    <w:p w14:paraId="14931AB3">
      <w:pPr>
        <w:bidi w:val="0"/>
        <w:rPr>
          <w:rFonts w:hint="eastAsia"/>
          <w:lang w:val="zh-CN"/>
        </w:rPr>
      </w:pPr>
      <w:r>
        <w:rPr>
          <w:rFonts w:hint="eastAsia"/>
          <w:b/>
          <w:bCs/>
          <w:lang w:val="zh-CN"/>
        </w:rPr>
        <w:t>长洞村</w:t>
      </w:r>
      <w:r>
        <w:rPr>
          <w:rFonts w:hint="eastAsia"/>
          <w:b/>
          <w:bCs/>
          <w:lang w:val="en-US" w:eastAsia="zh-CN"/>
        </w:rPr>
        <w:t xml:space="preserve">   </w:t>
      </w:r>
      <w:r>
        <w:rPr>
          <w:rFonts w:hint="eastAsia"/>
          <w:lang w:val="zh-CN"/>
        </w:rPr>
        <w:t>与江西省全南县社迳、陂头镇相邻，距南亩镇政府19千米，属边远山区贫困村，全村土地总面积21平方千米，其中山地面积1166.67公顷，耕地面积61.73公顷，下辖9个村小组，全村289户1282人，党员30人。以种植水稻、花生、小辣椒、油茶和毛竹等为主。</w:t>
      </w:r>
    </w:p>
    <w:p w14:paraId="773A1AA8">
      <w:pPr>
        <w:bidi w:val="0"/>
        <w:rPr>
          <w:rFonts w:hint="eastAsia"/>
          <w:lang w:val="zh-CN"/>
        </w:rPr>
      </w:pPr>
      <w:r>
        <w:rPr>
          <w:rFonts w:hint="eastAsia"/>
          <w:b/>
          <w:bCs/>
          <w:lang w:val="zh-CN"/>
        </w:rPr>
        <w:t>水塘村</w:t>
      </w:r>
      <w:r>
        <w:rPr>
          <w:rFonts w:hint="eastAsia"/>
          <w:b/>
          <w:bCs/>
          <w:lang w:val="en-US" w:eastAsia="zh-CN"/>
        </w:rPr>
        <w:t xml:space="preserve">   </w:t>
      </w:r>
      <w:r>
        <w:rPr>
          <w:rFonts w:hint="eastAsia"/>
          <w:lang w:val="zh-CN"/>
        </w:rPr>
        <w:t>下辖8个村小组，全村232户936人，党员29人。全村土地面积527.13公顷，其中耕地45.2公顷，林地474.53公顷，竹林面积7.33公顷。主要以种植水稻、花生、小辣椒、油茶和毛竹等为主。</w:t>
      </w:r>
    </w:p>
    <w:p w14:paraId="115CEE31">
      <w:pPr>
        <w:bidi w:val="0"/>
        <w:rPr>
          <w:rFonts w:hint="eastAsia"/>
          <w:lang w:val="zh-CN"/>
        </w:rPr>
      </w:pPr>
      <w:r>
        <w:rPr>
          <w:rFonts w:hint="eastAsia"/>
          <w:b/>
          <w:bCs/>
          <w:lang w:val="zh-CN"/>
        </w:rPr>
        <w:t>中寺村</w:t>
      </w:r>
      <w:r>
        <w:rPr>
          <w:rFonts w:hint="eastAsia"/>
          <w:b/>
          <w:bCs/>
          <w:lang w:val="en-US" w:eastAsia="zh-CN"/>
        </w:rPr>
        <w:t xml:space="preserve">   </w:t>
      </w:r>
      <w:r>
        <w:rPr>
          <w:rFonts w:hint="eastAsia"/>
          <w:lang w:val="zh-CN"/>
        </w:rPr>
        <w:t>典型的边远山区，海拔</w:t>
      </w:r>
      <w:bookmarkStart w:id="0" w:name="_GoBack"/>
      <w:bookmarkEnd w:id="0"/>
      <w:r>
        <w:rPr>
          <w:rFonts w:hint="eastAsia"/>
          <w:lang w:val="zh-CN"/>
        </w:rPr>
        <w:t>600多米，是革命老区村，下辖15个村小组，全村428户1707人，党员36人。全村土地面积1314公顷，其中耕地107.2公顷，林地1090公顷，竹林面积200公顷。主要以种植水稻、花生、小辣椒、油茶和毛竹等为主，经济收入主要靠种养业和劳务收入。</w:t>
      </w:r>
    </w:p>
    <w:p w14:paraId="01E1E8F8">
      <w:pPr>
        <w:bidi w:val="0"/>
        <w:rPr>
          <w:rFonts w:hint="eastAsia"/>
          <w:lang w:val="zh-CN"/>
        </w:rPr>
      </w:pPr>
      <w:r>
        <w:rPr>
          <w:rFonts w:hint="eastAsia"/>
          <w:b/>
          <w:bCs/>
          <w:lang w:val="zh-CN"/>
        </w:rPr>
        <w:t>岭下村</w:t>
      </w:r>
      <w:r>
        <w:rPr>
          <w:rFonts w:hint="eastAsia"/>
          <w:b/>
          <w:bCs/>
          <w:lang w:val="en-US" w:eastAsia="zh-CN"/>
        </w:rPr>
        <w:t xml:space="preserve">   </w:t>
      </w:r>
      <w:r>
        <w:rPr>
          <w:rFonts w:hint="eastAsia"/>
          <w:lang w:val="zh-CN"/>
        </w:rPr>
        <w:t>距镇政府6千米，下辖9个村小组，全村320户1306人，党员31人。山林面积1025.33公顷，耕地面积54.33公顷，属革命老区村，也是贫困村。主要农作物以种植水稻、花生、小辣椒、油茶和毛竹等为主，经济来源主要靠种养和劳务收入。</w:t>
      </w:r>
    </w:p>
    <w:p w14:paraId="342A4C1A">
      <w:pPr>
        <w:bidi w:val="0"/>
        <w:rPr>
          <w:rFonts w:hint="eastAsia"/>
          <w:lang w:val="zh-CN"/>
        </w:rPr>
      </w:pPr>
      <w:r>
        <w:rPr>
          <w:rFonts w:hint="eastAsia"/>
          <w:b/>
          <w:bCs/>
          <w:lang w:val="zh-CN"/>
        </w:rPr>
        <w:t>中岭村</w:t>
      </w:r>
      <w:r>
        <w:rPr>
          <w:rFonts w:hint="eastAsia"/>
          <w:b/>
          <w:bCs/>
          <w:lang w:val="en-US" w:eastAsia="zh-CN"/>
        </w:rPr>
        <w:t xml:space="preserve">   </w:t>
      </w:r>
      <w:r>
        <w:rPr>
          <w:rFonts w:hint="eastAsia"/>
          <w:lang w:val="zh-CN"/>
        </w:rPr>
        <w:t>距镇政府12千米，辖7个村民小组，全村191户727人，党员21人。全村土地面积633公顷，山林面积576.2公顷、耕地面积50.13公顷，其中旱地面积5.4公顷。村民主要经济来源是种养业和劳务输出。主要经济作物以种植水稻、花生、小辣椒、油茶和毛竹等。</w:t>
      </w:r>
    </w:p>
    <w:p w14:paraId="607E3A42">
      <w:pPr>
        <w:bidi w:val="0"/>
        <w:rPr>
          <w:rFonts w:hint="eastAsia"/>
          <w:lang w:val="zh-CN"/>
        </w:rPr>
      </w:pPr>
      <w:r>
        <w:rPr>
          <w:rFonts w:hint="eastAsia"/>
          <w:b/>
          <w:bCs/>
          <w:lang w:val="zh-CN"/>
        </w:rPr>
        <w:t>水尾村</w:t>
      </w:r>
      <w:r>
        <w:rPr>
          <w:rFonts w:hint="eastAsia"/>
          <w:b/>
          <w:bCs/>
          <w:lang w:val="en-US" w:eastAsia="zh-CN"/>
        </w:rPr>
        <w:t xml:space="preserve">   </w:t>
      </w:r>
      <w:r>
        <w:rPr>
          <w:rFonts w:hint="eastAsia"/>
          <w:lang w:val="zh-CN"/>
        </w:rPr>
        <w:t>距镇政府8千米，属革命老区，全村下辖7个村小组，全村289户1282人，党员22人。全村土地面积54.8公顷，其中旱地5.07公顷，水田49.73公顷，林地926公顷。村主要经济来源是种养和劳务输出，经济作物以种植水稻、花生、甜玉米、大豆、油茶和蔬菜为主。</w:t>
      </w:r>
    </w:p>
    <w:p w14:paraId="11541287">
      <w:pPr>
        <w:bidi w:val="0"/>
        <w:rPr>
          <w:rFonts w:hint="eastAsia"/>
          <w:lang w:val="zh-CN"/>
        </w:rPr>
      </w:pPr>
      <w:r>
        <w:rPr>
          <w:rFonts w:hint="eastAsia"/>
          <w:b/>
          <w:bCs/>
          <w:lang w:val="zh-CN"/>
        </w:rPr>
        <w:t>芙蓉村</w:t>
      </w:r>
      <w:r>
        <w:rPr>
          <w:rFonts w:hint="eastAsia"/>
          <w:b/>
          <w:bCs/>
          <w:lang w:val="en-US" w:eastAsia="zh-CN"/>
        </w:rPr>
        <w:t xml:space="preserve">   </w:t>
      </w:r>
      <w:r>
        <w:rPr>
          <w:rFonts w:hint="eastAsia"/>
          <w:lang w:val="zh-CN"/>
        </w:rPr>
        <w:t>下辖6个村民小组，全村1338人328户，党员25人。主要经济来源以种养和劳务输出为主，种植方面有优质稻、甜玉米、小辣椒、花生、油茶、毛竹等。</w:t>
      </w:r>
    </w:p>
    <w:p w14:paraId="185E9841">
      <w:pPr>
        <w:bidi w:val="0"/>
        <w:rPr>
          <w:rFonts w:hint="eastAsia"/>
          <w:lang w:val="zh-CN"/>
        </w:rPr>
      </w:pPr>
      <w:r>
        <w:rPr>
          <w:rFonts w:hint="eastAsia"/>
          <w:b/>
          <w:bCs/>
          <w:lang w:val="zh-CN"/>
        </w:rPr>
        <w:t>鱼鲜村</w:t>
      </w:r>
      <w:r>
        <w:rPr>
          <w:rFonts w:hint="eastAsia"/>
          <w:b/>
          <w:bCs/>
          <w:lang w:val="en-US" w:eastAsia="zh-CN"/>
        </w:rPr>
        <w:t xml:space="preserve">   </w:t>
      </w:r>
      <w:r>
        <w:rPr>
          <w:rFonts w:hint="eastAsia"/>
          <w:lang w:val="zh-CN"/>
        </w:rPr>
        <w:t>下辖11个村小组，全村546户2330人，党员55人。全村耕地面积1133.73公顷，其中耕地面积120.4公顷，林地面积1013.33公顷。境内有座花林寺，建于元代，属重点保护文物。鱼鲜村2008年被评为省级“古村落”。全村农作物种植主要以水稻、花生、黄烟、大豆、水果、油茶和蔬菜为主。</w:t>
      </w:r>
    </w:p>
    <w:p w14:paraId="0591F197">
      <w:pPr>
        <w:bidi w:val="0"/>
        <w:rPr>
          <w:rFonts w:hint="eastAsia"/>
          <w:lang w:val="zh-CN"/>
        </w:rPr>
      </w:pPr>
      <w:r>
        <w:rPr>
          <w:rFonts w:hint="eastAsia"/>
          <w:b/>
          <w:bCs/>
          <w:lang w:val="zh-CN"/>
        </w:rPr>
        <w:t>南亩村</w:t>
      </w:r>
      <w:r>
        <w:rPr>
          <w:rFonts w:hint="eastAsia"/>
          <w:b/>
          <w:bCs/>
          <w:lang w:val="en-US" w:eastAsia="zh-CN"/>
        </w:rPr>
        <w:t xml:space="preserve">   </w:t>
      </w:r>
      <w:r>
        <w:rPr>
          <w:rFonts w:hint="eastAsia"/>
          <w:lang w:val="zh-CN"/>
        </w:rPr>
        <w:t>革命老区村，辖11个村民小组，全村486户2189人，党员45人。全村土地面积685公顷，其中山林面积573.33公顷、耕地面积111.67公顷，全村农作物种植主要以水稻、花生、黄烟、大豆、水果油茶和蔬菜为主。</w:t>
      </w:r>
    </w:p>
    <w:p w14:paraId="0509993F">
      <w:pPr>
        <w:bidi w:val="0"/>
        <w:rPr>
          <w:rFonts w:hint="eastAsia"/>
          <w:lang w:val="zh-CN"/>
        </w:rPr>
      </w:pPr>
      <w:r>
        <w:rPr>
          <w:rFonts w:hint="eastAsia"/>
          <w:b/>
          <w:bCs/>
          <w:lang w:val="zh-CN"/>
        </w:rPr>
        <w:t>樟屋村</w:t>
      </w:r>
      <w:r>
        <w:rPr>
          <w:rFonts w:hint="eastAsia"/>
          <w:b/>
          <w:bCs/>
          <w:lang w:val="en-US" w:eastAsia="zh-CN"/>
        </w:rPr>
        <w:t xml:space="preserve">   </w:t>
      </w:r>
      <w:r>
        <w:rPr>
          <w:rFonts w:hint="eastAsia"/>
          <w:lang w:val="zh-CN"/>
        </w:rPr>
        <w:t>距镇政府2.5千米，辖9个村民小组，全村420户1815人，党员39人。山林面积487.13公顷，耕地面积160公顷。全村农作物种植主要以水稻、花生、黄烟、大豆、水果、油茶和蔬菜为主。</w:t>
      </w:r>
    </w:p>
    <w:p w14:paraId="1B8AF169">
      <w:pPr>
        <w:bidi w:val="0"/>
        <w:rPr>
          <w:rFonts w:hint="eastAsia"/>
          <w:lang w:val="zh-CN"/>
        </w:rPr>
      </w:pPr>
      <w:r>
        <w:rPr>
          <w:rFonts w:hint="eastAsia"/>
          <w:b/>
          <w:bCs/>
          <w:lang w:val="zh-CN"/>
        </w:rPr>
        <w:t>官田村</w:t>
      </w:r>
      <w:r>
        <w:rPr>
          <w:rFonts w:hint="eastAsia"/>
          <w:b/>
          <w:bCs/>
          <w:lang w:val="en-US" w:eastAsia="zh-CN"/>
        </w:rPr>
        <w:t xml:space="preserve">   </w:t>
      </w:r>
      <w:r>
        <w:rPr>
          <w:rFonts w:hint="eastAsia"/>
          <w:lang w:val="zh-CN"/>
        </w:rPr>
        <w:t>距镇政府3.5千米，下辖12个村民小组，总户数410户1530人，党员37人。现有耕地面积74.13公顷（其中旱地8.87公顷，水田65.26公顷），林地463.33公顷。全村农作物种植主要以水稻、花生、黄烟、大豆、水果、油茶和蔬菜为主。</w:t>
      </w:r>
    </w:p>
    <w:p w14:paraId="3D0FE71D">
      <w:pPr>
        <w:pStyle w:val="11"/>
        <w:bidi w:val="0"/>
        <w:rPr>
          <w:rFonts w:hint="eastAsia"/>
          <w:b/>
          <w:bCs/>
          <w:lang w:val="zh-CN"/>
        </w:rPr>
      </w:pPr>
      <w:r>
        <w:rPr>
          <w:rFonts w:hint="eastAsia"/>
          <w:b/>
          <w:bCs/>
          <w:lang w:val="zh-CN"/>
        </w:rPr>
        <w:t>附：2018年南亩镇领导班子成员名单</w:t>
      </w:r>
    </w:p>
    <w:p w14:paraId="225F46DF">
      <w:pPr>
        <w:pStyle w:val="11"/>
        <w:bidi w:val="0"/>
        <w:rPr>
          <w:rFonts w:hint="eastAsia"/>
          <w:lang w:val="zh-CN"/>
        </w:rPr>
      </w:pPr>
      <w:r>
        <w:rPr>
          <w:rFonts w:hint="eastAsia"/>
          <w:b/>
          <w:bCs/>
          <w:lang w:val="zh-CN"/>
        </w:rPr>
        <w:t>党委书记：</w:t>
      </w:r>
      <w:r>
        <w:rPr>
          <w:rFonts w:hint="eastAsia"/>
          <w:lang w:val="zh-CN"/>
        </w:rPr>
        <w:t>池宏安</w:t>
      </w:r>
    </w:p>
    <w:p w14:paraId="7677B2B6">
      <w:pPr>
        <w:pStyle w:val="11"/>
        <w:bidi w:val="0"/>
        <w:rPr>
          <w:rFonts w:hint="eastAsia"/>
          <w:lang w:val="zh-CN"/>
        </w:rPr>
      </w:pPr>
      <w:r>
        <w:rPr>
          <w:rFonts w:hint="eastAsia"/>
          <w:b/>
          <w:bCs/>
          <w:lang w:val="zh-CN"/>
        </w:rPr>
        <w:t>党委副书记、镇长：</w:t>
      </w:r>
      <w:r>
        <w:rPr>
          <w:rFonts w:hint="eastAsia"/>
          <w:lang w:val="zh-CN"/>
        </w:rPr>
        <w:t>赖建志</w:t>
      </w:r>
    </w:p>
    <w:p w14:paraId="5E35B821">
      <w:pPr>
        <w:pStyle w:val="11"/>
        <w:bidi w:val="0"/>
        <w:rPr>
          <w:rFonts w:hint="eastAsia"/>
          <w:lang w:val="zh-CN"/>
        </w:rPr>
      </w:pPr>
      <w:r>
        <w:rPr>
          <w:rFonts w:hint="eastAsia"/>
          <w:b/>
          <w:bCs/>
          <w:lang w:val="zh-CN"/>
        </w:rPr>
        <w:t>人大主席：</w:t>
      </w:r>
      <w:r>
        <w:rPr>
          <w:rFonts w:hint="eastAsia"/>
          <w:lang w:val="zh-CN"/>
        </w:rPr>
        <w:t>罗青山</w:t>
      </w:r>
    </w:p>
    <w:p w14:paraId="37C34E48">
      <w:pPr>
        <w:pStyle w:val="11"/>
        <w:bidi w:val="0"/>
        <w:rPr>
          <w:rFonts w:hint="eastAsia"/>
          <w:lang w:val="zh-CN"/>
        </w:rPr>
      </w:pPr>
      <w:r>
        <w:rPr>
          <w:rFonts w:hint="eastAsia"/>
          <w:b/>
          <w:bCs/>
          <w:lang w:val="zh-CN"/>
        </w:rPr>
        <w:t>党委副书记（党建）：</w:t>
      </w:r>
      <w:r>
        <w:rPr>
          <w:rFonts w:hint="eastAsia"/>
          <w:lang w:val="zh-CN"/>
        </w:rPr>
        <w:t>潘希荣</w:t>
      </w:r>
    </w:p>
    <w:p w14:paraId="4B2E55ED">
      <w:pPr>
        <w:pStyle w:val="11"/>
        <w:bidi w:val="0"/>
        <w:rPr>
          <w:rFonts w:hint="eastAsia"/>
          <w:lang w:val="zh-CN"/>
        </w:rPr>
      </w:pPr>
      <w:r>
        <w:rPr>
          <w:rFonts w:hint="eastAsia"/>
          <w:b/>
          <w:bCs/>
          <w:lang w:val="zh-CN"/>
        </w:rPr>
        <w:t>党委副书记（综治）：</w:t>
      </w:r>
      <w:r>
        <w:rPr>
          <w:rFonts w:hint="eastAsia"/>
          <w:lang w:val="zh-CN"/>
        </w:rPr>
        <w:t>伍国亮</w:t>
      </w:r>
    </w:p>
    <w:p w14:paraId="04F76117">
      <w:pPr>
        <w:pStyle w:val="11"/>
        <w:bidi w:val="0"/>
        <w:rPr>
          <w:rFonts w:hint="eastAsia"/>
          <w:lang w:val="zh-CN"/>
        </w:rPr>
      </w:pPr>
      <w:r>
        <w:rPr>
          <w:rFonts w:hint="eastAsia"/>
          <w:b/>
          <w:bCs/>
          <w:lang w:val="zh-CN"/>
        </w:rPr>
        <w:t>党委委员、纪委书记：</w:t>
      </w:r>
      <w:r>
        <w:rPr>
          <w:rFonts w:hint="eastAsia"/>
          <w:lang w:val="zh-CN"/>
        </w:rPr>
        <w:t>陈碧霞</w:t>
      </w:r>
    </w:p>
    <w:p w14:paraId="657A6EBC">
      <w:pPr>
        <w:pStyle w:val="11"/>
        <w:bidi w:val="0"/>
        <w:rPr>
          <w:rFonts w:hint="eastAsia"/>
          <w:lang w:val="zh-CN"/>
        </w:rPr>
      </w:pPr>
      <w:r>
        <w:rPr>
          <w:rFonts w:hint="eastAsia"/>
          <w:b/>
          <w:bCs/>
          <w:lang w:val="zh-CN"/>
        </w:rPr>
        <w:t>党委组织委员：</w:t>
      </w:r>
      <w:r>
        <w:rPr>
          <w:rFonts w:hint="eastAsia"/>
          <w:lang w:val="zh-CN"/>
        </w:rPr>
        <w:t>彭</w:t>
      </w:r>
      <w:r>
        <w:rPr>
          <w:rFonts w:hint="eastAsia"/>
          <w:lang w:val="en-US" w:eastAsia="zh-CN"/>
        </w:rPr>
        <w:t xml:space="preserve">  </w:t>
      </w:r>
      <w:r>
        <w:rPr>
          <w:rFonts w:hint="eastAsia"/>
          <w:lang w:val="zh-CN"/>
        </w:rPr>
        <w:t>维（任至8月）</w:t>
      </w:r>
    </w:p>
    <w:p w14:paraId="49988B8A">
      <w:pPr>
        <w:pStyle w:val="11"/>
        <w:bidi w:val="0"/>
        <w:rPr>
          <w:rFonts w:hint="eastAsia"/>
          <w:lang w:val="zh-CN"/>
        </w:rPr>
      </w:pPr>
      <w:r>
        <w:rPr>
          <w:rFonts w:hint="eastAsia"/>
          <w:b/>
          <w:bCs/>
          <w:lang w:val="zh-CN"/>
        </w:rPr>
        <w:t>党委宣传委员：</w:t>
      </w:r>
      <w:r>
        <w:rPr>
          <w:rFonts w:hint="eastAsia"/>
          <w:lang w:val="zh-CN"/>
        </w:rPr>
        <w:t>欧阳锋</w:t>
      </w:r>
    </w:p>
    <w:p w14:paraId="7A996BC2">
      <w:pPr>
        <w:pStyle w:val="11"/>
        <w:bidi w:val="0"/>
        <w:rPr>
          <w:rFonts w:hint="eastAsia"/>
          <w:lang w:val="zh-CN"/>
        </w:rPr>
      </w:pPr>
      <w:r>
        <w:rPr>
          <w:rFonts w:hint="eastAsia"/>
          <w:b/>
          <w:bCs/>
          <w:lang w:val="zh-CN"/>
        </w:rPr>
        <w:t>党委委员、武装部部长：</w:t>
      </w:r>
      <w:r>
        <w:rPr>
          <w:rFonts w:hint="eastAsia"/>
          <w:lang w:val="zh-CN"/>
        </w:rPr>
        <w:t>钟礼来</w:t>
      </w:r>
    </w:p>
    <w:p w14:paraId="606CB08F">
      <w:pPr>
        <w:pStyle w:val="11"/>
        <w:bidi w:val="0"/>
        <w:rPr>
          <w:rFonts w:hint="eastAsia"/>
          <w:lang w:val="zh-CN"/>
        </w:rPr>
      </w:pPr>
      <w:r>
        <w:rPr>
          <w:rFonts w:hint="eastAsia"/>
          <w:b/>
          <w:bCs/>
          <w:lang w:val="zh-CN"/>
        </w:rPr>
        <w:t>党委委员、副镇长：</w:t>
      </w:r>
      <w:r>
        <w:rPr>
          <w:rFonts w:hint="eastAsia"/>
          <w:lang w:val="zh-CN"/>
        </w:rPr>
        <w:t>杨</w:t>
      </w:r>
      <w:r>
        <w:rPr>
          <w:rFonts w:hint="eastAsia"/>
          <w:lang w:val="en-US" w:eastAsia="zh-CN"/>
        </w:rPr>
        <w:t xml:space="preserve">  </w:t>
      </w:r>
      <w:r>
        <w:rPr>
          <w:rFonts w:hint="eastAsia"/>
          <w:lang w:val="zh-CN"/>
        </w:rPr>
        <w:t>拓</w:t>
      </w:r>
    </w:p>
    <w:p w14:paraId="3B29B07C">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镇</w:t>
      </w:r>
      <w:r>
        <w:rPr>
          <w:rFonts w:hint="eastAsia"/>
          <w:b/>
          <w:bCs/>
          <w:lang w:val="en-US" w:eastAsia="zh-CN"/>
        </w:rPr>
        <w:t xml:space="preserve">  </w:t>
      </w:r>
      <w:r>
        <w:rPr>
          <w:rFonts w:hint="eastAsia"/>
          <w:b/>
          <w:bCs/>
          <w:lang w:val="zh-CN"/>
        </w:rPr>
        <w:t>长：</w:t>
      </w:r>
      <w:r>
        <w:rPr>
          <w:rFonts w:hint="eastAsia"/>
          <w:lang w:val="zh-CN"/>
        </w:rPr>
        <w:t>黄林峰</w:t>
      </w:r>
      <w:r>
        <w:rPr>
          <w:rFonts w:hint="eastAsia"/>
          <w:lang w:val="en-US" w:eastAsia="zh-CN"/>
        </w:rPr>
        <w:t xml:space="preserve">   </w:t>
      </w:r>
      <w:r>
        <w:rPr>
          <w:rFonts w:hint="eastAsia"/>
          <w:lang w:val="zh-CN"/>
        </w:rPr>
        <w:t>谢利冬</w:t>
      </w:r>
    </w:p>
    <w:p w14:paraId="1E522853">
      <w:pPr>
        <w:pStyle w:val="11"/>
        <w:bidi w:val="0"/>
        <w:rPr>
          <w:rFonts w:hint="eastAsia"/>
          <w:lang w:val="zh-CN"/>
        </w:rPr>
      </w:pPr>
      <w:r>
        <w:rPr>
          <w:rFonts w:hint="eastAsia"/>
          <w:b/>
          <w:bCs/>
          <w:lang w:val="zh-CN"/>
        </w:rPr>
        <w:t>人大副主席：</w:t>
      </w:r>
      <w:r>
        <w:rPr>
          <w:rFonts w:hint="eastAsia"/>
          <w:lang w:val="zh-CN"/>
        </w:rPr>
        <w:t>李小全（7月任职）</w:t>
      </w:r>
    </w:p>
    <w:p w14:paraId="12677D3C">
      <w:pPr>
        <w:pStyle w:val="3"/>
        <w:bidi w:val="0"/>
        <w:rPr>
          <w:rFonts w:hint="eastAsia"/>
          <w:lang w:val="zh-CN"/>
        </w:rPr>
      </w:pPr>
      <w:r>
        <w:rPr>
          <w:rFonts w:hint="eastAsia"/>
          <w:lang w:val="zh-CN"/>
        </w:rPr>
        <w:t>界址镇</w:t>
      </w:r>
    </w:p>
    <w:p w14:paraId="626A89E8">
      <w:pPr>
        <w:pStyle w:val="4"/>
        <w:bidi w:val="0"/>
        <w:rPr>
          <w:rFonts w:hint="eastAsia"/>
          <w:lang w:val="zh-CN"/>
        </w:rPr>
      </w:pPr>
      <w:r>
        <w:rPr>
          <w:rFonts w:hint="eastAsia"/>
          <w:lang w:val="zh-CN"/>
        </w:rPr>
        <w:t>【概况】</w:t>
      </w:r>
    </w:p>
    <w:p w14:paraId="496E1CBE">
      <w:pPr>
        <w:bidi w:val="0"/>
        <w:rPr>
          <w:rFonts w:hint="eastAsia"/>
          <w:lang w:val="zh-CN"/>
        </w:rPr>
      </w:pPr>
      <w:r>
        <w:rPr>
          <w:rFonts w:hint="eastAsia"/>
          <w:lang w:val="zh-CN"/>
        </w:rPr>
        <w:t>界址，原名界至，因处在广东省与江西省交界地带而得名。位于广东省南雄市东北部，东部和北部与江西信丰毗邻，南部与坪田接壤，西部与乌迳交界，境内交通四通八达，距南雄市区47千米，省道S342线穿越其中，东距粤赣高速公路22千米，仅距105国道和京九铁路25千米。界址地处珠江水系和长江水系的交界线上，是中国工农红军在广东境内长征路上的起始地。</w:t>
      </w:r>
    </w:p>
    <w:p w14:paraId="1597DFD4">
      <w:pPr>
        <w:bidi w:val="0"/>
        <w:rPr>
          <w:rFonts w:hint="eastAsia"/>
          <w:lang w:val="zh-CN"/>
        </w:rPr>
      </w:pPr>
      <w:r>
        <w:rPr>
          <w:rFonts w:hint="eastAsia"/>
          <w:lang w:val="zh-CN"/>
        </w:rPr>
        <w:t>民国18年（1929）废约建乡，属第六区崇化乡、大坊乡。1950年设立界址乡，属第三区（乌迳）。1958年人民公社化，属乌迳人民公社。1962年设立界址人民公社。1980年实行政社分开，改为界址区。1986年设立界址镇至今。</w:t>
      </w:r>
    </w:p>
    <w:p w14:paraId="1C9AC417">
      <w:pPr>
        <w:bidi w:val="0"/>
        <w:rPr>
          <w:rFonts w:hint="eastAsia"/>
          <w:lang w:val="zh-CN"/>
        </w:rPr>
      </w:pPr>
      <w:r>
        <w:rPr>
          <w:rFonts w:hint="eastAsia"/>
          <w:lang w:val="zh-CN"/>
        </w:rPr>
        <w:t>全镇辖有8个村委会和1个社区居委会，69个村民小组。辖区总面积62.5平方千米，其中耕地面积1362.27公顷，山林面积4396公顷，总户籍人口1.59万人，其中常住人口9500人。经济作物以水稻、花生为主，矿产资源丰富，有锰、铁、铀、金、稀土等矿物。</w:t>
      </w:r>
    </w:p>
    <w:p w14:paraId="4D9782D5">
      <w:pPr>
        <w:bidi w:val="0"/>
        <w:rPr>
          <w:rFonts w:hint="eastAsia"/>
          <w:lang w:val="zh-CN"/>
        </w:rPr>
      </w:pPr>
      <w:r>
        <w:rPr>
          <w:rFonts w:hint="eastAsia"/>
          <w:lang w:val="zh-CN"/>
        </w:rPr>
        <w:t>界址镇人民政府是南雄市委直属的乡科级正职单位。内设5个机构：党政办、综合治理办、农办、计生办、人大办。下设7个机构，分别为：计划生育工作队、林业工作站（生态公益林管理站）、文化广播服务中心、农业技术推广站、畜牧兽医水产站、敬老院、人力资源和社会保障所。有在编公务员25人，事业编制7人。</w:t>
      </w:r>
    </w:p>
    <w:p w14:paraId="493828FA">
      <w:pPr>
        <w:pStyle w:val="4"/>
        <w:bidi w:val="0"/>
        <w:rPr>
          <w:rFonts w:hint="eastAsia"/>
          <w:lang w:val="zh-CN"/>
        </w:rPr>
      </w:pPr>
      <w:r>
        <w:rPr>
          <w:rFonts w:hint="eastAsia"/>
          <w:lang w:val="zh-CN"/>
        </w:rPr>
        <w:t>【农村人居环境整治】</w:t>
      </w:r>
    </w:p>
    <w:p w14:paraId="02ACA6FA">
      <w:pPr>
        <w:bidi w:val="0"/>
        <w:rPr>
          <w:rFonts w:hint="eastAsia"/>
          <w:lang w:val="zh-CN"/>
        </w:rPr>
      </w:pPr>
      <w:r>
        <w:rPr>
          <w:rFonts w:hint="eastAsia"/>
          <w:lang w:val="zh-CN"/>
        </w:rPr>
        <w:t>2018年，68个村小组都成立党群理事会，16个自然村开展“三清三拆三整治”工作，拆除危旧房、废旧猪牛栏及露天厕所1892间3.03万平方米，完成生活垃圾整治68处、生活污水整治17处、水体污染整治4处，新建文体广场1个。每个自然村均配备一名保洁员，北控保洁实现全覆盖，全镇卫生情况显著改善。</w:t>
      </w:r>
    </w:p>
    <w:p w14:paraId="23EC531A">
      <w:pPr>
        <w:pStyle w:val="4"/>
        <w:bidi w:val="0"/>
        <w:rPr>
          <w:rFonts w:hint="eastAsia"/>
          <w:lang w:val="zh-CN"/>
        </w:rPr>
      </w:pPr>
      <w:r>
        <w:rPr>
          <w:rFonts w:hint="eastAsia"/>
          <w:lang w:val="zh-CN"/>
        </w:rPr>
        <w:t>【精准扶贫】</w:t>
      </w:r>
    </w:p>
    <w:p w14:paraId="2CF9B947">
      <w:pPr>
        <w:bidi w:val="0"/>
        <w:rPr>
          <w:rFonts w:hint="eastAsia"/>
          <w:lang w:val="zh-CN"/>
        </w:rPr>
      </w:pPr>
      <w:r>
        <w:rPr>
          <w:rFonts w:hint="eastAsia"/>
          <w:lang w:val="zh-CN"/>
        </w:rPr>
        <w:t>全镇有贫困户154户381人，2018年度新增贫困户25户67人，其中因病致贫2户4人、因残致贫2户4人、因学致贫13户46人、年迈无劳力致贫8户13人，2018年脱贫12户55人，其中无劳动能力兜底4户11人，有劳动能力户就业、产业脱贫8户44人；整合8个村人均2万元共计99.55万元，入股市浈江光伏发电公司光伏发电项目；落实“三保障”等扶贫政策，符合条件的贫困户100%纳入医疗保险和大病救助，落实奖补资金20万元。</w:t>
      </w:r>
    </w:p>
    <w:p w14:paraId="38456383">
      <w:pPr>
        <w:pStyle w:val="4"/>
        <w:bidi w:val="0"/>
        <w:rPr>
          <w:rFonts w:hint="eastAsia"/>
          <w:lang w:val="zh-CN"/>
        </w:rPr>
      </w:pPr>
      <w:r>
        <w:rPr>
          <w:rFonts w:hint="eastAsia"/>
          <w:lang w:val="zh-CN"/>
        </w:rPr>
        <w:t>【亮点工作】</w:t>
      </w:r>
    </w:p>
    <w:p w14:paraId="7C32FDDD">
      <w:pPr>
        <w:bidi w:val="0"/>
        <w:rPr>
          <w:rFonts w:hint="eastAsia"/>
          <w:lang w:val="zh-CN"/>
        </w:rPr>
      </w:pPr>
      <w:r>
        <w:rPr>
          <w:rFonts w:hint="eastAsia"/>
          <w:lang w:val="zh-CN"/>
        </w:rPr>
        <w:t>打造特色农业品牌，重点发展脐橙、丹参、猕猴桃和莪术等特色农业，种植66.67公顷脐橙基地预计2019年年初完成。统筹发展“两个市场”，大坊边贸城于1月2日开圩，并定于每月农历三、六、九为逢圩日。</w:t>
      </w:r>
    </w:p>
    <w:p w14:paraId="55FF445C">
      <w:pPr>
        <w:pStyle w:val="4"/>
        <w:bidi w:val="0"/>
        <w:rPr>
          <w:rFonts w:hint="eastAsia"/>
          <w:lang w:val="zh-CN"/>
        </w:rPr>
      </w:pPr>
      <w:r>
        <w:rPr>
          <w:rFonts w:hint="eastAsia"/>
          <w:lang w:val="zh-CN"/>
        </w:rPr>
        <w:t>【林业工作】</w:t>
      </w:r>
    </w:p>
    <w:p w14:paraId="4E1FE62F">
      <w:pPr>
        <w:bidi w:val="0"/>
        <w:rPr>
          <w:rFonts w:hint="eastAsia"/>
          <w:lang w:val="zh-CN"/>
        </w:rPr>
      </w:pPr>
      <w:r>
        <w:rPr>
          <w:rFonts w:hint="eastAsia"/>
          <w:lang w:val="zh-CN"/>
        </w:rPr>
        <w:t>2018年悬挂护林防火横幅18条，张贴“南雄市人民政府禁火令”3000份，张贴森林防火标语180份。加强巡山护林力度，建立85人以上组成的打火队伍，防火期间实行24小时值班制度，各村通过设立森林防火临时检查站，对进山扫墓人员进行登记造册、劝导，确保清明期间山林“零火灾”。开展造林工作，种植1万多株阔叶树。</w:t>
      </w:r>
    </w:p>
    <w:p w14:paraId="32B30964">
      <w:pPr>
        <w:pStyle w:val="4"/>
        <w:bidi w:val="0"/>
        <w:rPr>
          <w:rFonts w:hint="eastAsia"/>
          <w:lang w:val="zh-CN"/>
        </w:rPr>
      </w:pPr>
      <w:r>
        <w:rPr>
          <w:rFonts w:hint="eastAsia"/>
          <w:lang w:val="zh-CN"/>
        </w:rPr>
        <w:t>【民生保障】</w:t>
      </w:r>
    </w:p>
    <w:p w14:paraId="1ADE0AAE">
      <w:pPr>
        <w:bidi w:val="0"/>
        <w:rPr>
          <w:rFonts w:hint="eastAsia"/>
          <w:lang w:val="zh-CN"/>
        </w:rPr>
      </w:pPr>
      <w:r>
        <w:rPr>
          <w:rFonts w:hint="eastAsia"/>
          <w:lang w:val="zh-CN"/>
        </w:rPr>
        <w:t>完成城乡基本养老保险3752人，1.3万人参加城乡居民医疗保险；社保扩面21人，完成比例105%；基金征收10.64万元，完成比例101%。民生工作稳步推进，对全镇低保户进行核查，剔除名册中不符合条件的37人，落实低保救济469人，计173万元，五保（含孤残）供养支出37.7万元。开展敬老院整改和管理工作，筹集近15万元资金，完成住宿条件改造，严格落实定期清洁消毒、食堂安全管理、卫生部门上门巡诊等制度，全方位保障入院老人的衣、食、住、行、医疗、安全需求。</w:t>
      </w:r>
    </w:p>
    <w:p w14:paraId="10FB1931">
      <w:pPr>
        <w:pStyle w:val="4"/>
        <w:bidi w:val="0"/>
        <w:rPr>
          <w:rFonts w:hint="eastAsia"/>
          <w:lang w:val="zh-CN"/>
        </w:rPr>
      </w:pPr>
      <w:r>
        <w:rPr>
          <w:rFonts w:hint="eastAsia"/>
          <w:lang w:val="zh-CN"/>
        </w:rPr>
        <w:t>【计划生育】</w:t>
      </w:r>
    </w:p>
    <w:p w14:paraId="468D2772">
      <w:pPr>
        <w:bidi w:val="0"/>
        <w:rPr>
          <w:rFonts w:hint="eastAsia"/>
          <w:lang w:val="zh-CN"/>
        </w:rPr>
      </w:pPr>
      <w:r>
        <w:rPr>
          <w:rFonts w:hint="eastAsia"/>
          <w:lang w:val="zh-CN"/>
        </w:rPr>
        <w:t>2018年，全镇出生167人，计划生育率85.63%，性别比为111.39，人口出生率10.47‰，自然增长率6.65‰。</w:t>
      </w:r>
    </w:p>
    <w:p w14:paraId="1AB7A139">
      <w:pPr>
        <w:pStyle w:val="4"/>
        <w:bidi w:val="0"/>
        <w:rPr>
          <w:rFonts w:hint="eastAsia"/>
          <w:lang w:val="zh-CN"/>
        </w:rPr>
      </w:pPr>
      <w:r>
        <w:rPr>
          <w:rFonts w:hint="eastAsia"/>
          <w:lang w:val="zh-CN"/>
        </w:rPr>
        <w:t>【社会综合治理】</w:t>
      </w:r>
    </w:p>
    <w:p w14:paraId="422EF12D">
      <w:pPr>
        <w:bidi w:val="0"/>
        <w:rPr>
          <w:rFonts w:hint="eastAsia"/>
          <w:lang w:val="zh-CN"/>
        </w:rPr>
      </w:pPr>
      <w:r>
        <w:rPr>
          <w:rFonts w:hint="eastAsia"/>
          <w:lang w:val="zh-CN"/>
        </w:rPr>
        <w:t>开展扫黑除恶专项工作，累计向村民派发500多份宣传单，接受咨询40余人次，收到群众举报扫黑除恶线索10条，查处3条。综治维稳工作开展有力。镇综治维稳保障中心接待来访群众22宗46人次，排查矛盾纠纷44件，成功化解40件，化解成功率90.9%，2018年全镇没有出现进京到省上访事件，进一步夯实平安界址的社会基础。</w:t>
      </w:r>
    </w:p>
    <w:p w14:paraId="5CCD5BE5">
      <w:pPr>
        <w:pStyle w:val="4"/>
        <w:bidi w:val="0"/>
        <w:rPr>
          <w:rFonts w:hint="eastAsia"/>
          <w:lang w:val="zh-CN"/>
        </w:rPr>
      </w:pPr>
      <w:r>
        <w:rPr>
          <w:rFonts w:hint="eastAsia"/>
          <w:lang w:val="zh-CN"/>
        </w:rPr>
        <w:t>【各村委会（社区）基本情况】</w:t>
      </w:r>
    </w:p>
    <w:p w14:paraId="44E58F79">
      <w:pPr>
        <w:bidi w:val="0"/>
        <w:rPr>
          <w:rFonts w:hint="eastAsia"/>
          <w:lang w:val="zh-CN"/>
        </w:rPr>
      </w:pPr>
      <w:r>
        <w:rPr>
          <w:rFonts w:hint="eastAsia"/>
          <w:b/>
          <w:bCs/>
          <w:lang w:val="zh-CN"/>
        </w:rPr>
        <w:t>居委会社区</w:t>
      </w:r>
      <w:r>
        <w:rPr>
          <w:rFonts w:hint="eastAsia"/>
          <w:b/>
          <w:bCs/>
          <w:lang w:val="en-US" w:eastAsia="zh-CN"/>
        </w:rPr>
        <w:t xml:space="preserve">   </w:t>
      </w:r>
      <w:r>
        <w:rPr>
          <w:rFonts w:hint="eastAsia"/>
          <w:lang w:val="zh-CN"/>
        </w:rPr>
        <w:t>下辖居民小组2个，总户数512户，人口703人，村民主要经济来源是靠商铺经营和劳务输出。辖区内有农贸市场，主要为村居民提供日常生活用品、医疗服务、农产品交易等功能。</w:t>
      </w:r>
    </w:p>
    <w:p w14:paraId="4149F651">
      <w:pPr>
        <w:bidi w:val="0"/>
        <w:rPr>
          <w:rFonts w:hint="eastAsia"/>
          <w:lang w:val="zh-CN"/>
        </w:rPr>
      </w:pPr>
      <w:r>
        <w:rPr>
          <w:rFonts w:hint="eastAsia"/>
          <w:b/>
          <w:bCs/>
          <w:lang w:val="zh-CN"/>
        </w:rPr>
        <w:t>下屋村</w:t>
      </w:r>
      <w:r>
        <w:rPr>
          <w:rFonts w:hint="eastAsia"/>
          <w:b/>
          <w:bCs/>
          <w:lang w:val="en-US" w:eastAsia="zh-CN"/>
        </w:rPr>
        <w:t xml:space="preserve">   </w:t>
      </w:r>
      <w:r>
        <w:rPr>
          <w:rFonts w:hint="eastAsia"/>
          <w:lang w:val="zh-CN"/>
        </w:rPr>
        <w:t>下辖村民小组9个，总户数306户，总人口1259人，山地面积453.33公顷，耕地面积63.33公顷，其中旱地3.33公顷，水地60公顷。以种植水稻为主，经济作物主要有花生、大豆等。集体经济项目有上伞林场、鱼塘等。</w:t>
      </w:r>
    </w:p>
    <w:p w14:paraId="1B26FB7B">
      <w:pPr>
        <w:bidi w:val="0"/>
        <w:rPr>
          <w:rFonts w:hint="eastAsia"/>
          <w:lang w:val="zh-CN"/>
        </w:rPr>
      </w:pPr>
      <w:r>
        <w:rPr>
          <w:rFonts w:hint="eastAsia"/>
          <w:b/>
          <w:bCs/>
          <w:lang w:val="zh-CN"/>
        </w:rPr>
        <w:t>崇化村</w:t>
      </w:r>
      <w:r>
        <w:rPr>
          <w:rFonts w:hint="eastAsia"/>
          <w:b/>
          <w:bCs/>
          <w:lang w:val="en-US" w:eastAsia="zh-CN"/>
        </w:rPr>
        <w:t xml:space="preserve">   </w:t>
      </w:r>
      <w:r>
        <w:rPr>
          <w:rFonts w:hint="eastAsia"/>
          <w:lang w:val="zh-CN"/>
        </w:rPr>
        <w:t>下辖村民小组5个，总户数546户，总人口2073人，耕地面积384.83公顷，其中旱地16.67公顷，水地94.53公顷，林地271.63公顷，其他2公顷。以种植水稻为主，经济作物主要有花生、大豆等。</w:t>
      </w:r>
    </w:p>
    <w:p w14:paraId="6618D2BA">
      <w:pPr>
        <w:bidi w:val="0"/>
        <w:rPr>
          <w:rFonts w:hint="eastAsia"/>
          <w:lang w:val="zh-CN"/>
        </w:rPr>
      </w:pPr>
      <w:r>
        <w:rPr>
          <w:rFonts w:hint="eastAsia"/>
          <w:b/>
          <w:bCs/>
          <w:lang w:val="zh-CN"/>
        </w:rPr>
        <w:t>赵屋村</w:t>
      </w:r>
      <w:r>
        <w:rPr>
          <w:rFonts w:hint="eastAsia"/>
          <w:b/>
          <w:bCs/>
          <w:lang w:val="en-US" w:eastAsia="zh-CN"/>
        </w:rPr>
        <w:t xml:space="preserve">   </w:t>
      </w:r>
      <w:r>
        <w:rPr>
          <w:rFonts w:hint="eastAsia"/>
          <w:lang w:val="zh-CN"/>
        </w:rPr>
        <w:t>下辖村民小组6个，总户数532户，人口2453人，耕地面积129.73公顷，其中旱地20.93公顷，水田78.2公顷，林地480.07公顷，其他14公顷。以种植水稻为主，经济作物主要有花生、大豆等。</w:t>
      </w:r>
    </w:p>
    <w:p w14:paraId="6C81277A">
      <w:pPr>
        <w:bidi w:val="0"/>
        <w:rPr>
          <w:rFonts w:hint="eastAsia"/>
          <w:lang w:val="zh-CN"/>
        </w:rPr>
      </w:pPr>
      <w:r>
        <w:rPr>
          <w:rFonts w:hint="eastAsia"/>
          <w:b/>
          <w:bCs/>
          <w:lang w:val="zh-CN"/>
        </w:rPr>
        <w:t>界址村</w:t>
      </w:r>
      <w:r>
        <w:rPr>
          <w:rFonts w:hint="eastAsia"/>
          <w:b/>
          <w:bCs/>
          <w:lang w:val="en-US" w:eastAsia="zh-CN"/>
        </w:rPr>
        <w:t xml:space="preserve">   </w:t>
      </w:r>
      <w:r>
        <w:rPr>
          <w:rFonts w:hint="eastAsia"/>
          <w:lang w:val="zh-CN"/>
        </w:rPr>
        <w:t>下辖村民小组12个，总户数607户，人口2707人。耕地面积129.73公顷，其中旱地21.87公顷，水田107.87公顷。以种植水稻为主，经济作物主要有花生、大豆等。集体经济项目有鱼塘、门店等。</w:t>
      </w:r>
    </w:p>
    <w:p w14:paraId="5D0A6B68">
      <w:pPr>
        <w:bidi w:val="0"/>
        <w:rPr>
          <w:rFonts w:hint="eastAsia"/>
          <w:lang w:val="zh-CN"/>
        </w:rPr>
      </w:pPr>
      <w:r>
        <w:rPr>
          <w:rFonts w:hint="eastAsia"/>
          <w:b/>
          <w:bCs/>
          <w:lang w:val="zh-CN"/>
        </w:rPr>
        <w:t>百罗村</w:t>
      </w:r>
      <w:r>
        <w:rPr>
          <w:rFonts w:hint="eastAsia"/>
          <w:b/>
          <w:bCs/>
          <w:lang w:val="en-US" w:eastAsia="zh-CN"/>
        </w:rPr>
        <w:t xml:space="preserve">   </w:t>
      </w:r>
      <w:r>
        <w:rPr>
          <w:rFonts w:hint="eastAsia"/>
          <w:lang w:val="zh-CN"/>
        </w:rPr>
        <w:t>下辖村民小组8个，总户数295户，人口1410人。耕地面积55公顷，其中旱地14.33公顷，水田40.67公顷。</w:t>
      </w:r>
    </w:p>
    <w:p w14:paraId="25589E3B">
      <w:pPr>
        <w:bidi w:val="0"/>
        <w:rPr>
          <w:rFonts w:hint="eastAsia"/>
          <w:lang w:val="zh-CN"/>
        </w:rPr>
      </w:pPr>
      <w:r>
        <w:rPr>
          <w:rFonts w:hint="eastAsia"/>
          <w:b/>
          <w:bCs/>
          <w:lang w:val="zh-CN"/>
        </w:rPr>
        <w:t>大坑村</w:t>
      </w:r>
      <w:r>
        <w:rPr>
          <w:rFonts w:hint="eastAsia"/>
          <w:b/>
          <w:bCs/>
          <w:lang w:val="en-US" w:eastAsia="zh-CN"/>
        </w:rPr>
        <w:t xml:space="preserve">   </w:t>
      </w:r>
      <w:r>
        <w:rPr>
          <w:rFonts w:hint="eastAsia"/>
          <w:lang w:val="zh-CN"/>
        </w:rPr>
        <w:t>地势较高，地形多为山地丘陵，以种养业为传统，是革命老区村。下辖村民小组7个，总户数457户，人口1909人。全村耕地面积74.33公顷，其中旱地17.07公顷，林地509.8公顷。</w:t>
      </w:r>
    </w:p>
    <w:p w14:paraId="40F98A94">
      <w:pPr>
        <w:bidi w:val="0"/>
        <w:rPr>
          <w:rFonts w:hint="eastAsia"/>
          <w:lang w:val="zh-CN"/>
        </w:rPr>
      </w:pPr>
      <w:r>
        <w:rPr>
          <w:rFonts w:hint="eastAsia"/>
          <w:b/>
          <w:bCs/>
          <w:lang w:val="zh-CN"/>
        </w:rPr>
        <w:t>大坊村</w:t>
      </w:r>
      <w:r>
        <w:rPr>
          <w:rFonts w:hint="eastAsia"/>
          <w:b/>
          <w:bCs/>
          <w:lang w:val="en-US" w:eastAsia="zh-CN"/>
        </w:rPr>
        <w:t xml:space="preserve">   </w:t>
      </w:r>
      <w:r>
        <w:rPr>
          <w:rFonts w:hint="eastAsia"/>
          <w:lang w:val="zh-CN"/>
        </w:rPr>
        <w:t>下辖村民小组12个，总户数468户，总人口2285人。全村土地面积800公顷，其中旱地27公顷，水田74.33公顷，林地566.67公顷，其他132公顷。</w:t>
      </w:r>
    </w:p>
    <w:p w14:paraId="723D6118">
      <w:pPr>
        <w:bidi w:val="0"/>
        <w:rPr>
          <w:rFonts w:hint="eastAsia"/>
          <w:lang w:val="zh-CN"/>
        </w:rPr>
      </w:pPr>
      <w:r>
        <w:rPr>
          <w:rFonts w:hint="eastAsia"/>
          <w:b/>
          <w:bCs/>
          <w:lang w:val="zh-CN"/>
        </w:rPr>
        <w:t>马芫村</w:t>
      </w:r>
      <w:r>
        <w:rPr>
          <w:rFonts w:hint="eastAsia"/>
          <w:b/>
          <w:bCs/>
          <w:lang w:val="en-US" w:eastAsia="zh-CN"/>
        </w:rPr>
        <w:t xml:space="preserve">   </w:t>
      </w:r>
      <w:r>
        <w:rPr>
          <w:rFonts w:hint="eastAsia"/>
          <w:lang w:val="zh-CN"/>
        </w:rPr>
        <w:t>下辖村民小组10个，总户数305户，总人口1171人。全村耕地面积29.33公顷，其中旱地23.33公顷，水田6公顷，以种植水稻为主，经济作物主要有花生、大豆等。集体经济项目有南方电网股份分红等。</w:t>
      </w:r>
    </w:p>
    <w:p w14:paraId="2228337D">
      <w:pPr>
        <w:pStyle w:val="11"/>
        <w:bidi w:val="0"/>
        <w:rPr>
          <w:rFonts w:hint="eastAsia"/>
          <w:b/>
          <w:bCs/>
          <w:lang w:val="zh-CN"/>
        </w:rPr>
      </w:pPr>
      <w:r>
        <w:rPr>
          <w:rFonts w:hint="eastAsia"/>
          <w:b/>
          <w:bCs/>
          <w:lang w:val="zh-CN"/>
        </w:rPr>
        <w:t>附：2018年界址镇领导班子成员名单</w:t>
      </w:r>
    </w:p>
    <w:p w14:paraId="6BDFCD32">
      <w:pPr>
        <w:pStyle w:val="11"/>
        <w:bidi w:val="0"/>
        <w:rPr>
          <w:rFonts w:hint="eastAsia"/>
          <w:lang w:val="zh-CN"/>
        </w:rPr>
      </w:pPr>
      <w:r>
        <w:rPr>
          <w:rFonts w:hint="eastAsia"/>
          <w:b/>
          <w:bCs/>
          <w:lang w:val="zh-CN"/>
        </w:rPr>
        <w:t>党委书记：</w:t>
      </w:r>
      <w:r>
        <w:rPr>
          <w:rFonts w:hint="eastAsia"/>
          <w:lang w:val="zh-CN"/>
        </w:rPr>
        <w:t>蔡庆娟</w:t>
      </w:r>
    </w:p>
    <w:p w14:paraId="0F4AE03A">
      <w:pPr>
        <w:pStyle w:val="11"/>
        <w:bidi w:val="0"/>
        <w:rPr>
          <w:rFonts w:hint="eastAsia"/>
          <w:lang w:val="zh-CN"/>
        </w:rPr>
      </w:pPr>
      <w:r>
        <w:rPr>
          <w:rFonts w:hint="eastAsia"/>
          <w:b/>
          <w:bCs/>
          <w:lang w:val="zh-CN"/>
        </w:rPr>
        <w:t>党委副书记、镇长：</w:t>
      </w:r>
      <w:r>
        <w:rPr>
          <w:rFonts w:hint="eastAsia"/>
          <w:lang w:val="zh-CN"/>
        </w:rPr>
        <w:t>李见宏</w:t>
      </w:r>
    </w:p>
    <w:p w14:paraId="1164627B">
      <w:pPr>
        <w:pStyle w:val="11"/>
        <w:bidi w:val="0"/>
        <w:rPr>
          <w:rFonts w:hint="eastAsia"/>
          <w:lang w:val="zh-CN"/>
        </w:rPr>
      </w:pPr>
      <w:r>
        <w:rPr>
          <w:rFonts w:hint="eastAsia"/>
          <w:b/>
          <w:bCs/>
          <w:lang w:val="zh-CN"/>
        </w:rPr>
        <w:t>人大主席：</w:t>
      </w:r>
      <w:r>
        <w:rPr>
          <w:rFonts w:hint="eastAsia"/>
          <w:lang w:val="zh-CN"/>
        </w:rPr>
        <w:t>李绍林</w:t>
      </w:r>
    </w:p>
    <w:p w14:paraId="7622DC2A">
      <w:pPr>
        <w:pStyle w:val="11"/>
        <w:bidi w:val="0"/>
        <w:rPr>
          <w:rFonts w:hint="eastAsia"/>
          <w:lang w:val="zh-CN"/>
        </w:rPr>
      </w:pPr>
      <w:r>
        <w:rPr>
          <w:rFonts w:hint="eastAsia"/>
          <w:b/>
          <w:bCs/>
          <w:lang w:val="zh-CN"/>
        </w:rPr>
        <w:t>党委副书记（党建）：</w:t>
      </w:r>
      <w:r>
        <w:rPr>
          <w:rFonts w:hint="eastAsia"/>
          <w:lang w:val="zh-CN"/>
        </w:rPr>
        <w:t>钟兴华</w:t>
      </w:r>
    </w:p>
    <w:p w14:paraId="0D9BDBE5">
      <w:pPr>
        <w:pStyle w:val="11"/>
        <w:bidi w:val="0"/>
        <w:rPr>
          <w:rFonts w:hint="eastAsia"/>
          <w:lang w:val="zh-CN"/>
        </w:rPr>
      </w:pPr>
      <w:r>
        <w:rPr>
          <w:rFonts w:hint="eastAsia"/>
          <w:b/>
          <w:bCs/>
          <w:lang w:val="zh-CN"/>
        </w:rPr>
        <w:t>党委副书记（综治）：</w:t>
      </w:r>
      <w:r>
        <w:rPr>
          <w:rFonts w:hint="eastAsia"/>
          <w:lang w:val="zh-CN"/>
        </w:rPr>
        <w:t>郭亿华</w:t>
      </w:r>
    </w:p>
    <w:p w14:paraId="464FC1CD">
      <w:pPr>
        <w:pStyle w:val="11"/>
        <w:bidi w:val="0"/>
        <w:rPr>
          <w:rFonts w:hint="eastAsia"/>
          <w:lang w:val="zh-CN"/>
        </w:rPr>
      </w:pPr>
      <w:r>
        <w:rPr>
          <w:rFonts w:hint="eastAsia"/>
          <w:b/>
          <w:bCs/>
          <w:lang w:val="zh-CN"/>
        </w:rPr>
        <w:t>党委委员、纪委书记：</w:t>
      </w:r>
      <w:r>
        <w:rPr>
          <w:rFonts w:hint="eastAsia"/>
          <w:lang w:val="zh-CN"/>
        </w:rPr>
        <w:t>黄</w:t>
      </w:r>
      <w:r>
        <w:rPr>
          <w:rFonts w:hint="eastAsia"/>
          <w:lang w:val="en-US" w:eastAsia="zh-CN"/>
        </w:rPr>
        <w:t xml:space="preserve">  </w:t>
      </w:r>
      <w:r>
        <w:rPr>
          <w:rFonts w:hint="eastAsia"/>
          <w:lang w:val="zh-CN"/>
        </w:rPr>
        <w:t>平</w:t>
      </w:r>
    </w:p>
    <w:p w14:paraId="0E524944">
      <w:pPr>
        <w:pStyle w:val="11"/>
        <w:bidi w:val="0"/>
        <w:rPr>
          <w:rFonts w:hint="eastAsia"/>
          <w:lang w:val="zh-CN"/>
        </w:rPr>
      </w:pPr>
      <w:r>
        <w:rPr>
          <w:rFonts w:hint="eastAsia"/>
          <w:b/>
          <w:bCs/>
          <w:lang w:val="zh-CN"/>
        </w:rPr>
        <w:t>党委组织委员：</w:t>
      </w:r>
      <w:r>
        <w:rPr>
          <w:rFonts w:hint="eastAsia"/>
          <w:lang w:val="zh-CN"/>
        </w:rPr>
        <w:t>谢永路</w:t>
      </w:r>
    </w:p>
    <w:p w14:paraId="39C97D40">
      <w:pPr>
        <w:pStyle w:val="11"/>
        <w:bidi w:val="0"/>
        <w:rPr>
          <w:rFonts w:hint="eastAsia"/>
          <w:lang w:val="zh-CN"/>
        </w:rPr>
      </w:pPr>
      <w:r>
        <w:rPr>
          <w:rFonts w:hint="eastAsia"/>
          <w:b/>
          <w:bCs/>
          <w:lang w:val="zh-CN"/>
        </w:rPr>
        <w:t>党委宣传委员：</w:t>
      </w:r>
      <w:r>
        <w:rPr>
          <w:rFonts w:hint="eastAsia"/>
          <w:lang w:val="zh-CN"/>
        </w:rPr>
        <w:t>严会莲</w:t>
      </w:r>
    </w:p>
    <w:p w14:paraId="0306CBAC">
      <w:pPr>
        <w:pStyle w:val="11"/>
        <w:bidi w:val="0"/>
        <w:rPr>
          <w:rFonts w:hint="eastAsia"/>
          <w:lang w:val="zh-CN"/>
        </w:rPr>
      </w:pPr>
      <w:r>
        <w:rPr>
          <w:rFonts w:hint="eastAsia"/>
          <w:b/>
          <w:bCs/>
          <w:lang w:val="zh-CN"/>
        </w:rPr>
        <w:t>党委委员、武装部长：</w:t>
      </w:r>
      <w:r>
        <w:rPr>
          <w:rFonts w:hint="eastAsia"/>
          <w:lang w:val="zh-CN"/>
        </w:rPr>
        <w:t>刘宏赣</w:t>
      </w:r>
    </w:p>
    <w:p w14:paraId="0E79BBE8">
      <w:pPr>
        <w:pStyle w:val="11"/>
        <w:bidi w:val="0"/>
        <w:rPr>
          <w:rFonts w:hint="eastAsia"/>
          <w:lang w:val="zh-CN"/>
        </w:rPr>
      </w:pPr>
      <w:r>
        <w:rPr>
          <w:rFonts w:hint="eastAsia"/>
          <w:b/>
          <w:bCs/>
          <w:lang w:val="zh-CN"/>
        </w:rPr>
        <w:t>党委委员、副镇长：</w:t>
      </w:r>
      <w:r>
        <w:rPr>
          <w:rFonts w:hint="eastAsia"/>
          <w:lang w:val="zh-CN"/>
        </w:rPr>
        <w:t>朱兆协</w:t>
      </w:r>
    </w:p>
    <w:p w14:paraId="491DC82F">
      <w:pPr>
        <w:pStyle w:val="11"/>
        <w:bidi w:val="0"/>
        <w:rPr>
          <w:rFonts w:hint="eastAsia"/>
          <w:lang w:val="zh-CN"/>
        </w:rPr>
      </w:pPr>
      <w:r>
        <w:rPr>
          <w:rFonts w:hint="eastAsia"/>
          <w:b/>
          <w:bCs/>
          <w:lang w:val="zh-CN"/>
        </w:rPr>
        <w:t>副镇长：</w:t>
      </w:r>
      <w:r>
        <w:rPr>
          <w:rFonts w:hint="eastAsia"/>
          <w:lang w:val="zh-CN"/>
        </w:rPr>
        <w:t>杨庆安</w:t>
      </w:r>
      <w:r>
        <w:rPr>
          <w:rFonts w:hint="eastAsia"/>
          <w:lang w:val="en-US" w:eastAsia="zh-CN"/>
        </w:rPr>
        <w:t xml:space="preserve">   </w:t>
      </w:r>
      <w:r>
        <w:rPr>
          <w:rFonts w:hint="eastAsia"/>
          <w:lang w:val="zh-CN"/>
        </w:rPr>
        <w:t>蓝善富</w:t>
      </w:r>
    </w:p>
    <w:p w14:paraId="329B99EC">
      <w:pPr>
        <w:pStyle w:val="3"/>
        <w:bidi w:val="0"/>
        <w:rPr>
          <w:rFonts w:hint="eastAsia"/>
          <w:lang w:val="zh-CN"/>
        </w:rPr>
      </w:pPr>
      <w:r>
        <w:rPr>
          <w:rFonts w:hint="eastAsia"/>
          <w:lang w:val="zh-CN"/>
        </w:rPr>
        <w:t>湖口镇</w:t>
      </w:r>
    </w:p>
    <w:p w14:paraId="26B0F9E4">
      <w:pPr>
        <w:pStyle w:val="4"/>
        <w:bidi w:val="0"/>
        <w:rPr>
          <w:rFonts w:hint="eastAsia"/>
          <w:lang w:val="zh-CN"/>
        </w:rPr>
      </w:pPr>
      <w:r>
        <w:rPr>
          <w:rFonts w:hint="eastAsia"/>
          <w:lang w:val="zh-CN"/>
        </w:rPr>
        <w:t>【概况】</w:t>
      </w:r>
    </w:p>
    <w:p w14:paraId="41E4F365">
      <w:pPr>
        <w:bidi w:val="0"/>
        <w:rPr>
          <w:rFonts w:hint="eastAsia"/>
          <w:lang w:val="zh-CN"/>
        </w:rPr>
      </w:pPr>
      <w:r>
        <w:rPr>
          <w:rFonts w:hint="eastAsia"/>
          <w:lang w:val="zh-CN"/>
        </w:rPr>
        <w:t>湖口镇政府驻湖口墟，位于北纬25°10'14''，东经114°23'59''。镇辖区在南雄市区之东，省道S342线和县道X342线穿墟镇而过，东邻黄坑镇，南与水口、雄州街道为界，西与珠玑、市区接壤，北界邓坊镇。相传此地原为湖泊的出口处，故名湖口。湖口镇明代属惠杨鸟源都，清咸丰四年（1854年）废都建约，民国属南雄第二区长平乡。1951年划分为湖口、里和、长市、新湖、承平、太和等小乡，1956年合并为湖口乡。1958年属红旗人民公社。1961年建立湖口人民公社。1984年改为区。1986年改为镇。</w:t>
      </w:r>
    </w:p>
    <w:p w14:paraId="1BBC223D">
      <w:pPr>
        <w:bidi w:val="0"/>
        <w:rPr>
          <w:rFonts w:hint="eastAsia"/>
          <w:lang w:val="zh-CN"/>
        </w:rPr>
      </w:pPr>
      <w:r>
        <w:rPr>
          <w:rFonts w:hint="eastAsia"/>
          <w:lang w:val="zh-CN"/>
        </w:rPr>
        <w:t>2018年年末辖湖口、太和、承平、里和、三角、积塔、三水、长市、新湖、新迳、矿石、岗围12个村委会和1个居委会（社区），有98个自然村，194个村小组，总人口为3.69万人，其中农业人口3.51万人。辖区内以丘陵地貌为主，总面积73.6平方千米，耕地面积2427公顷，林地面积1550公顷。</w:t>
      </w:r>
    </w:p>
    <w:p w14:paraId="74F800E2">
      <w:pPr>
        <w:bidi w:val="0"/>
        <w:rPr>
          <w:rFonts w:hint="eastAsia"/>
          <w:lang w:val="zh-CN"/>
        </w:rPr>
      </w:pPr>
      <w:r>
        <w:rPr>
          <w:rFonts w:hint="eastAsia"/>
          <w:lang w:val="zh-CN"/>
        </w:rPr>
        <w:t>全镇经济产业以农业为主，形成上造种黄烟下造种水稻的生产模式，湖口黄烟名扬广东，素有“广东金叶第一镇”的美誉。湖口农贸市场占地面积1.3万平方米，每逢单日为集市日，辐射城区、南亩、水口、邓坊等地，是一个繁荣的农副产品交易集散地。工业有建材、粮食加工、塑料制品等厂。</w:t>
      </w:r>
    </w:p>
    <w:p w14:paraId="1704F16B">
      <w:pPr>
        <w:bidi w:val="0"/>
        <w:rPr>
          <w:rFonts w:hint="eastAsia"/>
          <w:lang w:val="zh-CN"/>
        </w:rPr>
      </w:pPr>
      <w:r>
        <w:rPr>
          <w:rFonts w:hint="eastAsia"/>
          <w:lang w:val="zh-CN"/>
        </w:rPr>
        <w:t>境内罗佛寨一带是南雄“红层”古生物化石的典型地段，地质学家以罗佛寨群命名，代表盆地中有古新统沉积物。非物质文化遗产有承平村下洋汾村磨地狮。以双狮为对，较多采用矮步、蹲步，舞姿精彩，灵巧活泼，步伐矫健，气氛热烈，不时低头亲吻大地、表达劳动人民热爱土地，企盼丰收和太平的愿望。</w:t>
      </w:r>
    </w:p>
    <w:p w14:paraId="3E553E41">
      <w:pPr>
        <w:pStyle w:val="4"/>
        <w:bidi w:val="0"/>
        <w:rPr>
          <w:rFonts w:hint="eastAsia"/>
          <w:lang w:val="zh-CN"/>
        </w:rPr>
      </w:pPr>
      <w:r>
        <w:rPr>
          <w:rFonts w:hint="eastAsia"/>
          <w:lang w:val="zh-CN"/>
        </w:rPr>
        <w:t>【经济建设】</w:t>
      </w:r>
    </w:p>
    <w:p w14:paraId="2075B240">
      <w:pPr>
        <w:bidi w:val="0"/>
        <w:rPr>
          <w:rFonts w:hint="eastAsia"/>
          <w:lang w:val="zh-CN"/>
        </w:rPr>
      </w:pPr>
      <w:r>
        <w:rPr>
          <w:rFonts w:hint="eastAsia"/>
          <w:lang w:val="zh-CN"/>
        </w:rPr>
        <w:t>2018年农村经济总收入7.74亿元；固定资产投资1.02亿元；农民人均纯收入1.26万元；城镇登记失业率在3%以内。全年种植黄烟550.67公顷，交售9684.77吨，收购金额达2401.8万元。种植水稻2293.33公顷，98%以上是优质稻，完成水稻保险投保50万元。年底生猪存栏3.3万头，家禽存栏7.9万羽，畜禽免疫率达到100%。发展农民专业合作社和家庭农场项目，创建湖口、太和、承平3个村面积达68公顷的水稻绿色高产高效项目，对接58户科技示范户种植杂交稻新品种五优珍丝苗，辐射周边农户约500户，促使农民普遍增收。</w:t>
      </w:r>
    </w:p>
    <w:p w14:paraId="5F92899C">
      <w:pPr>
        <w:pStyle w:val="4"/>
        <w:bidi w:val="0"/>
        <w:rPr>
          <w:rFonts w:hint="eastAsia"/>
          <w:lang w:val="zh-CN"/>
        </w:rPr>
      </w:pPr>
      <w:r>
        <w:rPr>
          <w:rFonts w:hint="eastAsia"/>
          <w:lang w:val="zh-CN"/>
        </w:rPr>
        <w:t>【农业建设】</w:t>
      </w:r>
    </w:p>
    <w:p w14:paraId="02C0D7EA">
      <w:pPr>
        <w:bidi w:val="0"/>
        <w:rPr>
          <w:rFonts w:hint="eastAsia"/>
          <w:lang w:val="zh-CN"/>
        </w:rPr>
      </w:pPr>
      <w:r>
        <w:rPr>
          <w:rFonts w:hint="eastAsia"/>
          <w:lang w:val="zh-CN"/>
        </w:rPr>
        <w:t>加快推进灌渠改造、山塘加固等水利设施建设，完成承平火炼山和积塔西门口山塘加固工程。加快高标准农田建设进程，涉及湖口、岗围、矿石、积塔4村831.44公顷的高标准农田建设稳步推进。三角村道改造3.8千米，新迳道路改造8.6千米已经全面完成。稳步推进土地确权登记发证工作，2018年颁发土地确权登记证7772本，切实维护农民权益、促进农村社会和谐稳定的发展需要。</w:t>
      </w:r>
    </w:p>
    <w:p w14:paraId="102EE986">
      <w:pPr>
        <w:pStyle w:val="4"/>
        <w:bidi w:val="0"/>
        <w:rPr>
          <w:rFonts w:hint="eastAsia"/>
          <w:lang w:val="zh-CN"/>
        </w:rPr>
      </w:pPr>
      <w:r>
        <w:rPr>
          <w:rFonts w:hint="eastAsia"/>
          <w:lang w:val="zh-CN"/>
        </w:rPr>
        <w:t>【重点项目】</w:t>
      </w:r>
    </w:p>
    <w:p w14:paraId="54563985">
      <w:pPr>
        <w:bidi w:val="0"/>
        <w:rPr>
          <w:rFonts w:hint="eastAsia"/>
          <w:lang w:val="zh-CN"/>
        </w:rPr>
      </w:pPr>
      <w:r>
        <w:rPr>
          <w:rFonts w:hint="eastAsia"/>
          <w:b/>
          <w:bCs/>
          <w:lang w:val="zh-CN"/>
        </w:rPr>
        <w:t>中央彩票公益</w:t>
      </w:r>
      <w:r>
        <w:rPr>
          <w:rFonts w:hint="eastAsia"/>
          <w:b/>
          <w:bCs/>
          <w:lang w:val="en-US" w:eastAsia="zh-CN"/>
        </w:rPr>
        <w:t xml:space="preserve">   </w:t>
      </w:r>
      <w:r>
        <w:rPr>
          <w:rFonts w:hint="eastAsia"/>
          <w:lang w:val="zh-CN"/>
        </w:rPr>
        <w:t>金通过申请2019年中央彩票公益金，争取资金2000万元，用于支持湖口镇5个省定贫困村实施扶贫项目，为贫困革命老区县进行小型生产性公益设施建设，如水渠“三面光”、排灌站、铺设机耕道、山塘除险加固等农田水利基础设施工程，扶持和完善革命老区贫困村生产性公益设施建设，助推特色农业发展，提高村民生产积极性和贫困人口收入，为实施乡村振兴战略打好基础。</w:t>
      </w:r>
    </w:p>
    <w:p w14:paraId="5B8D634C">
      <w:pPr>
        <w:bidi w:val="0"/>
        <w:rPr>
          <w:rFonts w:hint="eastAsia"/>
          <w:lang w:val="zh-CN"/>
        </w:rPr>
      </w:pPr>
      <w:r>
        <w:rPr>
          <w:rFonts w:hint="eastAsia"/>
          <w:b/>
          <w:bCs/>
          <w:lang w:val="zh-CN"/>
        </w:rPr>
        <w:t>三变改革</w:t>
      </w:r>
      <w:r>
        <w:rPr>
          <w:rFonts w:hint="eastAsia"/>
          <w:b/>
          <w:bCs/>
          <w:lang w:val="en-US" w:eastAsia="zh-CN"/>
        </w:rPr>
        <w:t xml:space="preserve">   </w:t>
      </w:r>
      <w:r>
        <w:rPr>
          <w:rFonts w:hint="eastAsia"/>
          <w:lang w:val="zh-CN"/>
        </w:rPr>
        <w:t>9月21日，湖口镇张屋村成立了韶关市首个村“三变”改革股份合作社，即资源变资产、资金变股金、农民变股东，盘活“三资”，惠及“三农”，张屋村的每亩旱坡地的租金由50元每年增至160元，水田由300元增至500元，全村每年土地租金和保底分红收入达17万元左右，企业产出后，可产生10%—15%的效益分红，全村每年分红将达12万元以上。湖口张屋村“三变改革”为探索乡村振兴总结好的经验。</w:t>
      </w:r>
    </w:p>
    <w:p w14:paraId="338EFB31">
      <w:pPr>
        <w:pStyle w:val="4"/>
        <w:bidi w:val="0"/>
        <w:rPr>
          <w:rFonts w:hint="eastAsia"/>
          <w:lang w:val="zh-CN"/>
        </w:rPr>
      </w:pPr>
      <w:r>
        <w:rPr>
          <w:rFonts w:hint="eastAsia"/>
          <w:lang w:val="zh-CN"/>
        </w:rPr>
        <w:t>【新农村建设】</w:t>
      </w:r>
    </w:p>
    <w:p w14:paraId="31C52076">
      <w:pPr>
        <w:bidi w:val="0"/>
        <w:rPr>
          <w:rFonts w:hint="eastAsia"/>
          <w:lang w:val="zh-CN"/>
        </w:rPr>
      </w:pPr>
      <w:r>
        <w:rPr>
          <w:rFonts w:hint="eastAsia"/>
          <w:lang w:val="zh-CN"/>
        </w:rPr>
        <w:t>2018年度在人居环境综合整治工作方面，5个省定贫困村（太和、里和、长市、三角、岗围）53个20户以上自然村，全面启动“三清三拆三整治”工作，累计拆除危旧房、废弃猪牛栏及露天厕所等5000余间，拆除面积15万余平方米。7个面上非贫困村（三水、积塔、承平、矿石、湖口、新湖、新迳）启动“三清三拆三整治”工作，累计拆除危旧房、废弃猪牛栏及露天厕所等1300余间，拆除面积2万余平方米。通过开展生活垃圾清理、道路交通整治、“牛皮癣”小广告清理，完成道路两旁建筑垃圾清理，破旧广告牌更新等工作。配备镇级保洁员6名，负责圩镇周围卫生清运，同时各村聘请专职保洁员29人，每周定期组织党员干部开展卫生清洁，配合北控公司进行垃圾清运工作，保证垃圾处理常态化，使镇、村环境卫生得到明显改善。</w:t>
      </w:r>
    </w:p>
    <w:p w14:paraId="7DC0B7C0">
      <w:pPr>
        <w:pStyle w:val="4"/>
        <w:bidi w:val="0"/>
        <w:rPr>
          <w:rFonts w:hint="eastAsia"/>
          <w:lang w:val="zh-CN"/>
        </w:rPr>
      </w:pPr>
      <w:r>
        <w:rPr>
          <w:rFonts w:hint="eastAsia"/>
          <w:lang w:val="zh-CN"/>
        </w:rPr>
        <w:t>【计划生育】</w:t>
      </w:r>
    </w:p>
    <w:p w14:paraId="258FDEA5">
      <w:pPr>
        <w:bidi w:val="0"/>
        <w:rPr>
          <w:rFonts w:hint="eastAsia"/>
          <w:lang w:val="zh-CN"/>
        </w:rPr>
      </w:pPr>
      <w:r>
        <w:rPr>
          <w:rFonts w:hint="eastAsia"/>
          <w:lang w:val="zh-CN"/>
        </w:rPr>
        <w:t>2018年湖口镇人口3.69万人，其中劳动人口2.68万人，全镇出生434人，人口出生率为11.74‰；死亡210人，死亡率5.68‰；自然增长率6.06‰。</w:t>
      </w:r>
    </w:p>
    <w:p w14:paraId="63888AA3">
      <w:pPr>
        <w:pStyle w:val="4"/>
        <w:bidi w:val="0"/>
        <w:rPr>
          <w:rFonts w:hint="eastAsia"/>
          <w:lang w:val="zh-CN"/>
        </w:rPr>
      </w:pPr>
      <w:r>
        <w:rPr>
          <w:rFonts w:hint="eastAsia"/>
          <w:lang w:val="zh-CN"/>
        </w:rPr>
        <w:t>【精准扶贫】</w:t>
      </w:r>
    </w:p>
    <w:p w14:paraId="1797D8D3">
      <w:pPr>
        <w:bidi w:val="0"/>
        <w:rPr>
          <w:rFonts w:hint="eastAsia"/>
          <w:lang w:val="zh-CN"/>
        </w:rPr>
      </w:pPr>
      <w:r>
        <w:rPr>
          <w:rFonts w:hint="eastAsia"/>
          <w:lang w:val="zh-CN"/>
        </w:rPr>
        <w:t>建档立卡贫困户390户999人，其中2018年通过“回头看”新增贫困户20户60人。2018年完成脱贫71户246人，累计完成脱贫364户918人。为230多户贫困户发放以奖代补资金105.28万元，教育资助174人约56.4万元；危房改造83户352.05万元；带领21户贫困户发展油茶种植产业7.56公顷1.02万株。</w:t>
      </w:r>
    </w:p>
    <w:p w14:paraId="4AF0A932">
      <w:pPr>
        <w:pStyle w:val="4"/>
        <w:bidi w:val="0"/>
        <w:rPr>
          <w:rFonts w:hint="eastAsia"/>
          <w:lang w:val="zh-CN"/>
        </w:rPr>
      </w:pPr>
      <w:r>
        <w:rPr>
          <w:rFonts w:hint="eastAsia"/>
          <w:lang w:val="zh-CN"/>
        </w:rPr>
        <w:t>【社会保障】</w:t>
      </w:r>
    </w:p>
    <w:p w14:paraId="24614717">
      <w:pPr>
        <w:bidi w:val="0"/>
        <w:rPr>
          <w:rFonts w:hint="eastAsia"/>
          <w:lang w:val="zh-CN"/>
        </w:rPr>
      </w:pPr>
      <w:r>
        <w:rPr>
          <w:rFonts w:hint="eastAsia"/>
          <w:lang w:val="zh-CN"/>
        </w:rPr>
        <w:t>城乡居民养老保险16至59岁新参保和续费完成8205人，城乡医疗保险参保2.89万人。城镇新增就业人员100人。企业职工社会养老保险扩面征缴完成28人。全面复核上报低保户364户663人，发放资金约197万元，其中城镇低保11户17人，发放资金约9.5万元。动态调整低保户176户221人；敬老院集中供养人员9人，农村分散供养95人；大病医疗救助106人次，发放救助资金约61万元，临时救助24户，发放临时救助资金约6.5万元。</w:t>
      </w:r>
    </w:p>
    <w:p w14:paraId="1737F334">
      <w:pPr>
        <w:pStyle w:val="4"/>
        <w:bidi w:val="0"/>
        <w:rPr>
          <w:rFonts w:hint="eastAsia"/>
          <w:lang w:val="zh-CN"/>
        </w:rPr>
      </w:pPr>
      <w:r>
        <w:rPr>
          <w:rFonts w:hint="eastAsia"/>
          <w:lang w:val="zh-CN"/>
        </w:rPr>
        <w:t>【依法治镇】</w:t>
      </w:r>
    </w:p>
    <w:p w14:paraId="335DD5F7">
      <w:pPr>
        <w:bidi w:val="0"/>
        <w:rPr>
          <w:rFonts w:hint="eastAsia"/>
          <w:lang w:val="zh-CN"/>
        </w:rPr>
      </w:pPr>
      <w:r>
        <w:rPr>
          <w:rFonts w:hint="eastAsia"/>
          <w:lang w:val="zh-CN"/>
        </w:rPr>
        <w:t>开展全民义务植树，完成植树5.5万株，面积48.67公顷；查处林业行政案件3宗，移送市公安森林分局查处1宗，移送市林业资源管护大队查处2宗。投资2830万元建设一座管网，长7.16千米，处理规模每天1000吨的污水处理厂，有效管控生活污水。全年化解、调处各类民事纠纷67件，调解成功67件，调解成功率100%；接收社区矫正对象6名，解除9名，接收安置帮教对象14名。通过明确镇、村的安全生产责任人、工作任务和要求，全年开展专题工作研究6次，进行安全生产检查5次，其中安全生产大检查4次，发放宣传教育资料2000余册。通过常态化、制度化的安全检查，督促企业和责任单位落实安全生产规章制度，确保镇安全生产形势稳定。</w:t>
      </w:r>
    </w:p>
    <w:p w14:paraId="542FB194">
      <w:pPr>
        <w:pStyle w:val="4"/>
        <w:bidi w:val="0"/>
        <w:rPr>
          <w:rFonts w:hint="eastAsia"/>
          <w:lang w:val="zh-CN"/>
        </w:rPr>
      </w:pPr>
      <w:r>
        <w:rPr>
          <w:rFonts w:hint="eastAsia"/>
          <w:lang w:val="zh-CN"/>
        </w:rPr>
        <w:t>【乡风文明】</w:t>
      </w:r>
    </w:p>
    <w:p w14:paraId="7DDBA58E">
      <w:pPr>
        <w:bidi w:val="0"/>
        <w:rPr>
          <w:rFonts w:hint="eastAsia"/>
          <w:lang w:val="zh-CN"/>
        </w:rPr>
      </w:pPr>
      <w:r>
        <w:rPr>
          <w:rFonts w:hint="eastAsia"/>
          <w:lang w:val="zh-CN"/>
        </w:rPr>
        <w:t>举办湖口镇首届乡村乡贤文化艺术节，积极弘扬乡贤文化，推动乡村发展。艺术节筹集到70万余元奖教扶贫资金，加上物资资助、项目资金等约200万元。以加强乡风文明建设作为乡村振兴的“灵魂工程”，积极开展“共筑中国梦”“苏区南雄感恩奋进——学讲话、讲故事、谈感受”“韶关工矿精神”等百姓宣讲活动。成立“湖口镇奖教扶贫助学会”，9月5日举办“奖教助学，桑梓情深”奖教助学活动，对湖口中小学和湖口中心幼儿园进行奖教，使用16.9万元奖教扶贫助学基金对湖口镇2018年考取本科的大学生们和考取大专类院校但家庭比较困难的学生进行助学。</w:t>
      </w:r>
    </w:p>
    <w:p w14:paraId="46B3659F">
      <w:pPr>
        <w:pStyle w:val="4"/>
        <w:bidi w:val="0"/>
        <w:rPr>
          <w:rFonts w:hint="eastAsia"/>
          <w:lang w:val="zh-CN"/>
        </w:rPr>
      </w:pPr>
      <w:r>
        <w:rPr>
          <w:rFonts w:hint="eastAsia"/>
          <w:lang w:val="zh-CN"/>
        </w:rPr>
        <w:t>【产业规划】</w:t>
      </w:r>
    </w:p>
    <w:p w14:paraId="7EFD2254">
      <w:pPr>
        <w:bidi w:val="0"/>
        <w:rPr>
          <w:rFonts w:hint="eastAsia"/>
          <w:lang w:val="zh-CN"/>
        </w:rPr>
      </w:pPr>
      <w:r>
        <w:rPr>
          <w:rFonts w:hint="eastAsia"/>
          <w:lang w:val="zh-CN"/>
        </w:rPr>
        <w:t>湖口镇通过规范土地流转方式，流转土地333.33公顷，引进外来企业投资，规模化发展特色农业，通过构建“合作社（基地）+农户+药材公司”的运营模式，连片打造333.33公顷以上的湖口镇中草药种植产业园。2018年，中草药产业园分别入驻南雄众田中草药种植专业合作社及广东雄牛中草药发展有限公司2家中草药种植企业，完成注册登记。南雄众田中草药种植专业合作社注册资金为4100万元，计划总投资1.5亿元，2018年投入资金4000多万元，完成土地平整备耕200多公顷，机耕道建设约10千米，种植吴茱萸、丹参、射干等中草药近200公顷，投资建设的水肥一体化系统在调试完善中。广东雄牛中草药发展有限公司注册资金为1000万元，计划总投资1亿元，2018年投入资金400多万元，用于流转土地93.33公顷并基本完成平整备耕及机耕道建设，计划种植牛大力、五指毛桃、丹参、紫苏、金银花、吴茱萸等8个中药材品种。同时，在新迳村扶持发展铁皮石斛种植产业。打造太和、湖口特色农业产业园，推动兰花基地、樱花苗木基地等特色产业的发展，力促形成示范效应。同时，壮大微小企业经济，加大对自主创业的服务扶持力度，加快现代农业发展。</w:t>
      </w:r>
    </w:p>
    <w:p w14:paraId="68D4A09E">
      <w:pPr>
        <w:pStyle w:val="4"/>
        <w:bidi w:val="0"/>
        <w:rPr>
          <w:rFonts w:hint="eastAsia"/>
          <w:lang w:val="zh-CN"/>
        </w:rPr>
      </w:pPr>
      <w:r>
        <w:rPr>
          <w:rFonts w:hint="eastAsia"/>
          <w:lang w:val="zh-CN"/>
        </w:rPr>
        <w:t>【旅游资源】</w:t>
      </w:r>
    </w:p>
    <w:p w14:paraId="2981BD61">
      <w:pPr>
        <w:bidi w:val="0"/>
        <w:rPr>
          <w:rFonts w:hint="eastAsia"/>
          <w:lang w:val="zh-CN"/>
        </w:rPr>
      </w:pPr>
      <w:r>
        <w:rPr>
          <w:rFonts w:hint="eastAsia"/>
          <w:b/>
          <w:bCs/>
          <w:lang w:val="zh-CN"/>
        </w:rPr>
        <w:t>罗佛寨</w:t>
      </w:r>
      <w:r>
        <w:rPr>
          <w:rFonts w:hint="eastAsia"/>
          <w:b/>
          <w:bCs/>
          <w:lang w:val="en-US" w:eastAsia="zh-CN"/>
        </w:rPr>
        <w:t xml:space="preserve">   </w:t>
      </w:r>
      <w:r>
        <w:rPr>
          <w:rFonts w:hint="eastAsia"/>
          <w:lang w:val="zh-CN"/>
        </w:rPr>
        <w:t>位于湖口镇太和村，距离城区仅5千米，林地面积175公顷，海拔高度250米，阔叶林覆盖率达70%，其中有广东稀有树种红芍树。罗佛寨是五千万年前形成的地质层，蕴含着丰富的岭南亚兽、罗佛寨兽、粤齿兽、湖口龟和恐龙等化石，是世界上公认的古新世至始新世早期的标准地层——罗佛寨组。</w:t>
      </w:r>
    </w:p>
    <w:p w14:paraId="36AF6575">
      <w:pPr>
        <w:bidi w:val="0"/>
        <w:rPr>
          <w:rFonts w:hint="eastAsia"/>
          <w:lang w:val="zh-CN"/>
        </w:rPr>
      </w:pPr>
      <w:r>
        <w:rPr>
          <w:rFonts w:hint="eastAsia"/>
          <w:b/>
          <w:bCs/>
          <w:lang w:val="zh-CN"/>
        </w:rPr>
        <w:t>中共南雄（中心）县委旧址</w:t>
      </w:r>
      <w:r>
        <w:rPr>
          <w:rFonts w:hint="eastAsia"/>
          <w:b/>
          <w:bCs/>
          <w:lang w:val="en-US" w:eastAsia="zh-CN"/>
        </w:rPr>
        <w:t xml:space="preserve">   </w:t>
      </w:r>
      <w:r>
        <w:rPr>
          <w:rFonts w:hint="eastAsia"/>
          <w:lang w:val="zh-CN"/>
        </w:rPr>
        <w:t>中共南雄（中心）县委在抗日战争初期驻新迳村古坑村民小组，有南雄“小延安”之称。2010年5月南雄被确认为原“中央苏区县”后，市老促会努力争取各方资金，加大对全市革命遗址修复力度，并于2012年、2013年先后拨款近15万元修缮中共南雄（中心）县委旧址遗址，使其成为一处南雄红色旅游新景点。</w:t>
      </w:r>
    </w:p>
    <w:p w14:paraId="12FFA6CB">
      <w:pPr>
        <w:bidi w:val="0"/>
        <w:rPr>
          <w:rFonts w:hint="eastAsia"/>
          <w:lang w:val="zh-CN"/>
        </w:rPr>
      </w:pPr>
      <w:r>
        <w:rPr>
          <w:rFonts w:hint="eastAsia"/>
          <w:b/>
          <w:bCs/>
          <w:lang w:val="zh-CN"/>
        </w:rPr>
        <w:t>李乐天纪念广场</w:t>
      </w:r>
      <w:r>
        <w:rPr>
          <w:rFonts w:hint="eastAsia"/>
          <w:b/>
          <w:bCs/>
          <w:lang w:val="en-US" w:eastAsia="zh-CN"/>
        </w:rPr>
        <w:t xml:space="preserve">   </w:t>
      </w:r>
      <w:r>
        <w:rPr>
          <w:rFonts w:hint="eastAsia"/>
          <w:lang w:val="zh-CN"/>
        </w:rPr>
        <w:t>2018年11月，通过申请上级部门专项资金25万元在烈士李乐天的故乡新迳村，建成李天乐纪念广场，宣传革命烈士事迹，弘扬红色精神。李乐天，原中共南雄县委书记，南方三年游击战争期间被誉为“游击司令”的赣粤边特委书记兼军分区司令员、政委。</w:t>
      </w:r>
    </w:p>
    <w:p w14:paraId="0EEE1714">
      <w:pPr>
        <w:pStyle w:val="4"/>
        <w:bidi w:val="0"/>
        <w:rPr>
          <w:rFonts w:hint="eastAsia"/>
          <w:lang w:val="zh-CN"/>
        </w:rPr>
      </w:pPr>
      <w:r>
        <w:rPr>
          <w:rFonts w:hint="eastAsia"/>
          <w:lang w:val="zh-CN"/>
        </w:rPr>
        <w:t>【党建工作】</w:t>
      </w:r>
    </w:p>
    <w:p w14:paraId="732A8E1C">
      <w:pPr>
        <w:bidi w:val="0"/>
        <w:rPr>
          <w:rFonts w:hint="eastAsia"/>
          <w:lang w:val="zh-CN"/>
        </w:rPr>
      </w:pPr>
      <w:r>
        <w:rPr>
          <w:rFonts w:hint="eastAsia"/>
          <w:lang w:val="zh-CN"/>
        </w:rPr>
        <w:t>全年开展党委中心组理论专题学习11次，镇村党员干部集中学习26次，开展关于习近平新时代中国特色社会主义思想和党的十九大精神学习会、宣讲会、交流研讨会40余次。联系350余名外出党员，建立3个微信群，4月，在符合条件的9个行政村成立党总支，并以自然村或村小组联片的方式成立30个党支部。2018年给予党纪处分3人，开展谈话提醒39人次，排查问题线索9条。镇纪委受理群众举报9次，立案审查3件，党纪处分3人。</w:t>
      </w:r>
    </w:p>
    <w:p w14:paraId="3828676F">
      <w:pPr>
        <w:pStyle w:val="4"/>
        <w:bidi w:val="0"/>
        <w:rPr>
          <w:rFonts w:hint="eastAsia"/>
          <w:lang w:val="zh-CN"/>
        </w:rPr>
      </w:pPr>
      <w:r>
        <w:rPr>
          <w:rFonts w:hint="eastAsia"/>
          <w:lang w:val="zh-CN"/>
        </w:rPr>
        <w:t>【各村委会（社区）基本情况】</w:t>
      </w:r>
    </w:p>
    <w:p w14:paraId="5180F5B2">
      <w:pPr>
        <w:bidi w:val="0"/>
        <w:rPr>
          <w:rFonts w:hint="eastAsia"/>
          <w:lang w:val="zh-CN"/>
        </w:rPr>
      </w:pPr>
      <w:r>
        <w:rPr>
          <w:rFonts w:hint="eastAsia"/>
          <w:b/>
          <w:bCs/>
          <w:lang w:val="zh-CN"/>
        </w:rPr>
        <w:t>居委会</w:t>
      </w:r>
      <w:r>
        <w:rPr>
          <w:rFonts w:hint="eastAsia"/>
          <w:b/>
          <w:bCs/>
          <w:lang w:val="en-US" w:eastAsia="zh-CN"/>
        </w:rPr>
        <w:t xml:space="preserve">   </w:t>
      </w:r>
      <w:r>
        <w:rPr>
          <w:rFonts w:hint="eastAsia"/>
          <w:lang w:val="zh-CN"/>
        </w:rPr>
        <w:t>位于湖口镇进珠玑公路旁。全社区总户数1313户，总人口数1898人，其中劳动力1325人。社区任职干部3人，支部委员3人。全社区党员46人，其中女性10人，大专及以上学历9人。社区总面积100公顷，驻区私营企业4个，个体工商户396个，外出务工1100多人，主要集中在珠三角，主要从事电子、服务、物流等工作。</w:t>
      </w:r>
    </w:p>
    <w:p w14:paraId="0C82086F">
      <w:pPr>
        <w:bidi w:val="0"/>
        <w:rPr>
          <w:rFonts w:hint="eastAsia"/>
          <w:lang w:val="zh-CN"/>
        </w:rPr>
      </w:pPr>
      <w:r>
        <w:rPr>
          <w:rFonts w:hint="eastAsia"/>
          <w:b/>
          <w:bCs/>
          <w:lang w:val="zh-CN"/>
        </w:rPr>
        <w:t>湖口村</w:t>
      </w:r>
      <w:r>
        <w:rPr>
          <w:rFonts w:hint="eastAsia"/>
          <w:b/>
          <w:bCs/>
          <w:lang w:val="en-US" w:eastAsia="zh-CN"/>
        </w:rPr>
        <w:t xml:space="preserve">   </w:t>
      </w:r>
      <w:r>
        <w:rPr>
          <w:rFonts w:hint="eastAsia"/>
          <w:lang w:val="zh-CN"/>
        </w:rPr>
        <w:t>辖自然村5个，村小组22个。全村总户数1569户，总人口数5642人，其中劳动力3529人，外出务工人数1508人。村干部6人，支部委员5人。全村有党员115人，其中女性23人，大专及以上学历18人。全村耕地面积379公顷，林地98公顷。全村主要经济作物，黄烟113.33公顷，水稻191.33公顷，花生72公顷。</w:t>
      </w:r>
    </w:p>
    <w:p w14:paraId="71A47DD9">
      <w:pPr>
        <w:bidi w:val="0"/>
        <w:rPr>
          <w:rFonts w:hint="eastAsia"/>
          <w:lang w:val="zh-CN"/>
        </w:rPr>
      </w:pPr>
      <w:r>
        <w:rPr>
          <w:rFonts w:hint="eastAsia"/>
          <w:b/>
          <w:bCs/>
          <w:lang w:val="zh-CN"/>
        </w:rPr>
        <w:t>承平村</w:t>
      </w:r>
      <w:r>
        <w:rPr>
          <w:rFonts w:hint="eastAsia"/>
          <w:b/>
          <w:bCs/>
          <w:lang w:val="en-US" w:eastAsia="zh-CN"/>
        </w:rPr>
        <w:t xml:space="preserve">   </w:t>
      </w:r>
      <w:r>
        <w:rPr>
          <w:rFonts w:hint="eastAsia"/>
          <w:lang w:val="zh-CN"/>
        </w:rPr>
        <w:t>辖自然村8个，村小组30个。全村总户数1267户，总人口数4616人，其中劳动力2688人，外出务工人数2009人。村干部6人，支部委员3人。全村党员81人，其中女性18人，大专及以上学历13人。全村耕地面积323公顷，林地152公顷。全村主要经济作物，黄烟96公顷，水稻158.67公顷，花生53.33公顷。</w:t>
      </w:r>
    </w:p>
    <w:p w14:paraId="031BA856">
      <w:pPr>
        <w:bidi w:val="0"/>
        <w:rPr>
          <w:rFonts w:hint="eastAsia"/>
          <w:lang w:val="zh-CN"/>
        </w:rPr>
      </w:pPr>
      <w:r>
        <w:rPr>
          <w:rFonts w:hint="eastAsia"/>
          <w:b/>
          <w:bCs/>
          <w:lang w:val="zh-CN"/>
        </w:rPr>
        <w:t>新湖村</w:t>
      </w:r>
      <w:r>
        <w:rPr>
          <w:rFonts w:hint="eastAsia"/>
          <w:b/>
          <w:bCs/>
          <w:lang w:val="en-US" w:eastAsia="zh-CN"/>
        </w:rPr>
        <w:t xml:space="preserve">   </w:t>
      </w:r>
      <w:r>
        <w:rPr>
          <w:rFonts w:hint="eastAsia"/>
          <w:lang w:val="zh-CN"/>
        </w:rPr>
        <w:t>辖自然村6个，村小组20个。全村总户数955户，总人口数3474人，其中劳动力1962人，外出务工人数1655人。村干部6人，支部委员3人。全村党员78人，其中女性13人，大专及以上学历5人。全村耕地面积207公顷，林地199公顷。全村主要经济作物，黄烟11.33公顷，水稻124公顷，花生83.33公顷。</w:t>
      </w:r>
    </w:p>
    <w:p w14:paraId="220CF240">
      <w:pPr>
        <w:bidi w:val="0"/>
        <w:rPr>
          <w:rFonts w:hint="eastAsia"/>
          <w:lang w:val="zh-CN"/>
        </w:rPr>
      </w:pPr>
      <w:r>
        <w:rPr>
          <w:rFonts w:hint="eastAsia"/>
          <w:b/>
          <w:bCs/>
          <w:lang w:val="zh-CN"/>
        </w:rPr>
        <w:t>长市村</w:t>
      </w:r>
      <w:r>
        <w:rPr>
          <w:rFonts w:hint="eastAsia"/>
          <w:b/>
          <w:bCs/>
          <w:lang w:val="en-US" w:eastAsia="zh-CN"/>
        </w:rPr>
        <w:t xml:space="preserve">   </w:t>
      </w:r>
      <w:r>
        <w:rPr>
          <w:rFonts w:hint="eastAsia"/>
          <w:lang w:val="zh-CN"/>
        </w:rPr>
        <w:t>辖自然村9个，村小组24个。全村总户数1195户，总人口数4279人，其中劳动力2755人，外出务工人数1697人。村干部6人，支部委员3人。全村党员86人，其中女性16人，大专及以上学历15人。全村耕地面积283公顷，林地236公顷。全村主要经济作物，黄烟32公顷，水稻198公顷，花生56公顷。</w:t>
      </w:r>
    </w:p>
    <w:p w14:paraId="48552198">
      <w:pPr>
        <w:bidi w:val="0"/>
        <w:rPr>
          <w:rFonts w:hint="eastAsia"/>
          <w:lang w:val="zh-CN"/>
        </w:rPr>
      </w:pPr>
      <w:r>
        <w:rPr>
          <w:rFonts w:hint="eastAsia"/>
          <w:b/>
          <w:bCs/>
          <w:lang w:val="zh-CN"/>
        </w:rPr>
        <w:t>三水村</w:t>
      </w:r>
      <w:r>
        <w:rPr>
          <w:rFonts w:hint="eastAsia"/>
          <w:b/>
          <w:bCs/>
          <w:lang w:val="en-US" w:eastAsia="zh-CN"/>
        </w:rPr>
        <w:t xml:space="preserve">   </w:t>
      </w:r>
      <w:r>
        <w:rPr>
          <w:rFonts w:hint="eastAsia"/>
          <w:lang w:val="zh-CN"/>
        </w:rPr>
        <w:t>辖自然村4个，村小组7个。全村总户数382户，总人口数1330人，其中劳动力867人，外出务工人数402人。村干部5人，支部委员3人。全村党员43人，其中女性6人，大专及以上学历9人。全村耕地面积101公顷，林地25公顷。全村主要经济作物，黄烟5.33公顷，水稻56.67公顷，花生26.67公顷。</w:t>
      </w:r>
    </w:p>
    <w:p w14:paraId="6C136974">
      <w:pPr>
        <w:bidi w:val="0"/>
        <w:rPr>
          <w:rFonts w:hint="eastAsia"/>
          <w:lang w:val="zh-CN"/>
        </w:rPr>
      </w:pPr>
      <w:r>
        <w:rPr>
          <w:rFonts w:hint="eastAsia"/>
          <w:b/>
          <w:bCs/>
          <w:lang w:val="zh-CN"/>
        </w:rPr>
        <w:t>积塔村</w:t>
      </w:r>
      <w:r>
        <w:rPr>
          <w:rFonts w:hint="eastAsia"/>
          <w:b/>
          <w:bCs/>
          <w:lang w:val="en-US" w:eastAsia="zh-CN"/>
        </w:rPr>
        <w:t xml:space="preserve">   </w:t>
      </w:r>
      <w:r>
        <w:rPr>
          <w:rFonts w:hint="eastAsia"/>
          <w:lang w:val="zh-CN"/>
        </w:rPr>
        <w:t>辖自然村5个，村小组7个。全村总户数435户，总人口数1585人，其中劳动力1002人，外出务工人数503人。村干部5人，支部委员3人。全村党员36人，其中女性8人，大专及以上学历6人。全村耕地面积105公顷，林地36公顷。全村主要经济作物，黄烟25.33公顷，水稻70公顷，花生22公顷。</w:t>
      </w:r>
    </w:p>
    <w:p w14:paraId="0BF6850C">
      <w:pPr>
        <w:bidi w:val="0"/>
        <w:rPr>
          <w:rFonts w:hint="eastAsia"/>
          <w:lang w:val="zh-CN"/>
        </w:rPr>
      </w:pPr>
      <w:r>
        <w:rPr>
          <w:rFonts w:hint="eastAsia"/>
          <w:b/>
          <w:bCs/>
          <w:lang w:val="zh-CN"/>
        </w:rPr>
        <w:t>里和村</w:t>
      </w:r>
      <w:r>
        <w:rPr>
          <w:rFonts w:hint="eastAsia"/>
          <w:b/>
          <w:bCs/>
          <w:lang w:val="en-US" w:eastAsia="zh-CN"/>
        </w:rPr>
        <w:t xml:space="preserve">   </w:t>
      </w:r>
      <w:r>
        <w:rPr>
          <w:rFonts w:hint="eastAsia"/>
          <w:lang w:val="zh-CN"/>
        </w:rPr>
        <w:t>辖自然村22个，村小组26个。全村总户数1109户，总人口数4128人，其中劳动力2831人，外出务工人数1660人。村干部6人，支部委员3人。全村党员77人，其中女性17人，大专及以上学历17人。全村耕地面积284公顷，林地353公顷。全村主要经济作物，黄烟158.67公顷，水稻205.33公顷，花生72公顷。</w:t>
      </w:r>
    </w:p>
    <w:p w14:paraId="78A07724">
      <w:pPr>
        <w:bidi w:val="0"/>
        <w:rPr>
          <w:rFonts w:hint="eastAsia"/>
          <w:lang w:val="zh-CN"/>
        </w:rPr>
      </w:pPr>
      <w:r>
        <w:rPr>
          <w:rFonts w:hint="eastAsia"/>
          <w:b/>
          <w:bCs/>
          <w:lang w:val="zh-CN"/>
        </w:rPr>
        <w:t>新迳村</w:t>
      </w:r>
      <w:r>
        <w:rPr>
          <w:rFonts w:hint="eastAsia"/>
          <w:b/>
          <w:bCs/>
          <w:lang w:val="en-US" w:eastAsia="zh-CN"/>
        </w:rPr>
        <w:t xml:space="preserve">   </w:t>
      </w:r>
      <w:r>
        <w:rPr>
          <w:rFonts w:hint="eastAsia"/>
          <w:lang w:val="zh-CN"/>
        </w:rPr>
        <w:t>辖自然村7个，村小组11个。全村总户数662户，总人口数2361人，其中劳动力1666人，外出务工人数1225人。有村干部6人，支部委员3人。全村党员87人，其中女性17人，大专及以上学历17人。全村耕地面积165公顷，林地200公顷。全村主要经济作物，黄烟61.33公顷，水稻120公顷，花生51.33公顷。</w:t>
      </w:r>
    </w:p>
    <w:p w14:paraId="33F6F22A">
      <w:pPr>
        <w:bidi w:val="0"/>
        <w:rPr>
          <w:rFonts w:hint="eastAsia"/>
          <w:lang w:val="zh-CN"/>
        </w:rPr>
      </w:pPr>
      <w:r>
        <w:rPr>
          <w:rFonts w:hint="eastAsia"/>
          <w:b/>
          <w:bCs/>
          <w:lang w:val="zh-CN"/>
        </w:rPr>
        <w:t>三角村</w:t>
      </w:r>
      <w:r>
        <w:rPr>
          <w:rFonts w:hint="eastAsia"/>
          <w:b/>
          <w:bCs/>
          <w:lang w:val="en-US" w:eastAsia="zh-CN"/>
        </w:rPr>
        <w:t xml:space="preserve">   </w:t>
      </w:r>
      <w:r>
        <w:rPr>
          <w:rFonts w:hint="eastAsia"/>
          <w:lang w:val="zh-CN"/>
        </w:rPr>
        <w:t>辖自然村9个，村小组16个。全村总户数641户，总人口数2189人，其中劳动力1318人，外出务工人数698人。有村干部6人，支部委员3人。全村党员71人，其中女性13人，大专及以上学历11人。全村耕地面积174公顷，林地62公顷。全村主要经济作物，黄烟73.33公顷，水稻101.33公顷，花生42公顷。</w:t>
      </w:r>
    </w:p>
    <w:p w14:paraId="7A511B08">
      <w:pPr>
        <w:bidi w:val="0"/>
        <w:rPr>
          <w:rFonts w:hint="eastAsia"/>
          <w:lang w:val="zh-CN"/>
        </w:rPr>
      </w:pPr>
      <w:r>
        <w:rPr>
          <w:rFonts w:hint="eastAsia"/>
          <w:b/>
          <w:bCs/>
          <w:lang w:val="zh-CN"/>
        </w:rPr>
        <w:t>矿石村</w:t>
      </w:r>
      <w:r>
        <w:rPr>
          <w:rFonts w:hint="eastAsia"/>
          <w:b/>
          <w:bCs/>
          <w:lang w:val="en-US" w:eastAsia="zh-CN"/>
        </w:rPr>
        <w:t xml:space="preserve">   </w:t>
      </w:r>
      <w:r>
        <w:rPr>
          <w:rFonts w:hint="eastAsia"/>
          <w:lang w:val="zh-CN"/>
        </w:rPr>
        <w:t>辖自然村9个，村小组9个。全村总户数355户，总人口数1216人，其中劳动力783人，外出务工人数365人。有村干部5人，支部委员3人。全村党员71人，其中女性7人，大专及以上学历7人。全村耕地面积102公顷，林地70公顷。全村主要经济作物，黄烟46公顷，水稻58公顷，花生26公顷。</w:t>
      </w:r>
    </w:p>
    <w:p w14:paraId="3724E908">
      <w:pPr>
        <w:bidi w:val="0"/>
        <w:rPr>
          <w:rFonts w:hint="eastAsia"/>
          <w:lang w:val="zh-CN"/>
        </w:rPr>
      </w:pPr>
      <w:r>
        <w:rPr>
          <w:rFonts w:hint="eastAsia"/>
          <w:b/>
          <w:bCs/>
          <w:lang w:val="zh-CN"/>
        </w:rPr>
        <w:t>岗围村</w:t>
      </w:r>
      <w:r>
        <w:rPr>
          <w:rFonts w:hint="eastAsia"/>
          <w:b/>
          <w:bCs/>
          <w:lang w:val="en-US" w:eastAsia="zh-CN"/>
        </w:rPr>
        <w:t xml:space="preserve">   </w:t>
      </w:r>
      <w:r>
        <w:rPr>
          <w:rFonts w:hint="eastAsia"/>
          <w:lang w:val="zh-CN"/>
        </w:rPr>
        <w:t>辖自然村7个，村小组12个。全村总户数500户，总人口数1846人，其中劳动力898人，外出务工人数422人。有村干部5人，支部委员3人。全村党员54人，其中女性11人，大专及以上学历8人。全村耕地面积112公顷，林地15公顷。全村主要经济作物，黄烟44.67公顷，水稻56公顷，花生26.67公顷。</w:t>
      </w:r>
    </w:p>
    <w:p w14:paraId="7120F855">
      <w:pPr>
        <w:bidi w:val="0"/>
        <w:rPr>
          <w:rFonts w:hint="eastAsia"/>
          <w:lang w:val="zh-CN"/>
        </w:rPr>
      </w:pPr>
      <w:r>
        <w:rPr>
          <w:rFonts w:hint="eastAsia"/>
          <w:b/>
          <w:bCs/>
          <w:lang w:val="zh-CN"/>
        </w:rPr>
        <w:t>太和村</w:t>
      </w:r>
      <w:r>
        <w:rPr>
          <w:rFonts w:hint="eastAsia"/>
          <w:b/>
          <w:bCs/>
          <w:lang w:val="en-US" w:eastAsia="zh-CN"/>
        </w:rPr>
        <w:t xml:space="preserve">   </w:t>
      </w:r>
      <w:r>
        <w:rPr>
          <w:rFonts w:hint="eastAsia"/>
          <w:b w:val="0"/>
          <w:bCs w:val="0"/>
          <w:lang w:val="zh-CN"/>
        </w:rPr>
        <w:t>辖</w:t>
      </w:r>
      <w:r>
        <w:rPr>
          <w:rFonts w:hint="eastAsia"/>
          <w:lang w:val="zh-CN"/>
        </w:rPr>
        <w:t>自然村10个，村小组10个。全村总户数621户，总人口数2306人，其中劳动力1233人，外出务工人数508人。有村干部6人，支部委员3人。全村党员82人，其中女性13人，大专及以上学历16人。全村耕地面积192公顷，林地104公顷。全村主要经济作物，黄烟85.33公顷，水稻67.33公顷，花生31.33公顷。</w:t>
      </w:r>
    </w:p>
    <w:p w14:paraId="49F999B4">
      <w:pPr>
        <w:bidi w:val="0"/>
        <w:jc w:val="right"/>
        <w:rPr>
          <w:rFonts w:hint="eastAsia"/>
          <w:b/>
          <w:bCs/>
          <w:lang w:val="zh-CN"/>
        </w:rPr>
      </w:pPr>
      <w:r>
        <w:rPr>
          <w:rFonts w:hint="eastAsia"/>
          <w:b/>
          <w:bCs/>
          <w:lang w:val="zh-CN"/>
        </w:rPr>
        <w:t>（胡</w:t>
      </w:r>
      <w:r>
        <w:rPr>
          <w:rFonts w:hint="eastAsia"/>
          <w:b/>
          <w:bCs/>
          <w:lang w:val="en-US" w:eastAsia="zh-CN"/>
        </w:rPr>
        <w:t xml:space="preserve">  </w:t>
      </w:r>
      <w:r>
        <w:rPr>
          <w:rFonts w:hint="eastAsia"/>
          <w:b/>
          <w:bCs/>
          <w:lang w:val="zh-CN"/>
        </w:rPr>
        <w:t>伟）</w:t>
      </w:r>
    </w:p>
    <w:p w14:paraId="795174D3">
      <w:pPr>
        <w:bidi w:val="0"/>
        <w:rPr>
          <w:rFonts w:hint="eastAsia"/>
          <w:lang w:val="zh-CN"/>
        </w:rPr>
      </w:pPr>
      <w:r>
        <w:rPr>
          <w:rFonts w:hint="eastAsia"/>
          <w:b/>
          <w:bCs/>
          <w:lang w:val="zh-CN"/>
        </w:rPr>
        <w:t>举办首届乡贤文化艺术节</w:t>
      </w:r>
      <w:r>
        <w:rPr>
          <w:rFonts w:hint="eastAsia"/>
          <w:b/>
          <w:bCs/>
          <w:lang w:val="en-US" w:eastAsia="zh-CN"/>
        </w:rPr>
        <w:t xml:space="preserve"> </w:t>
      </w:r>
      <w:r>
        <w:rPr>
          <w:rFonts w:hint="eastAsia"/>
          <w:lang w:val="en-US" w:eastAsia="zh-CN"/>
        </w:rPr>
        <w:t xml:space="preserve">  </w:t>
      </w:r>
      <w:r>
        <w:rPr>
          <w:rFonts w:hint="eastAsia"/>
          <w:lang w:val="zh-CN"/>
        </w:rPr>
        <w:t>2月18日，湖口镇在湖口文体广场举办主题为“弘扬乡贤文化，促进乡村文明，推动乡村发展，实现乡村振兴”首届乡贤文化艺术节，2000多名乡贤、群众欢聚一起，共庆佳节。南雄市委常委、政法委书记张英宏，南雄市委常委、统战部部长陈志光，珠玑巷联谊会会长张寿康，CBA扣篮王张健豪等作为乡贤代表出席活动。乡贤活动上有地方特色年料推介、舞蹈节目表演、篮球对抗赛等。其中，新湖村下罗田表演了流传近千年的古兵营舞，承平村民带来本地独特舞狮——“磨地狮”，CBA扣篮王张健豪现场表演精彩扣篮。活动中穿插进行乡贤捐赠仪式，现场捐款捐物达200多万元，其中捐助奖教扶贫助学金72万元。2018年，湖口镇以乡村振兴发展战略为指引，以推动湖口经济发展为主线，破解发展难题、增强发展动力、厚植发展优势。这次举办乡村乡贤文化艺术节，希望在弘扬乡村文化的同时，汇聚乡贤力量，共促家乡发展。</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3FDA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FAF03EC">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8710" cy="4040505"/>
                  <wp:effectExtent l="0" t="0" r="2540" b="17145"/>
                  <wp:docPr id="137" name="图片 137" descr="南雄年鉴2019_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南雄年鉴2019_0112"/>
                          <pic:cNvPicPr>
                            <a:picLocks noChangeAspect="1"/>
                          </pic:cNvPicPr>
                        </pic:nvPicPr>
                        <pic:blipFill>
                          <a:blip r:embed="rId124"/>
                          <a:stretch>
                            <a:fillRect/>
                          </a:stretch>
                        </pic:blipFill>
                        <pic:spPr>
                          <a:xfrm>
                            <a:off x="0" y="0"/>
                            <a:ext cx="6188710" cy="4040505"/>
                          </a:xfrm>
                          <a:prstGeom prst="rect">
                            <a:avLst/>
                          </a:prstGeom>
                        </pic:spPr>
                      </pic:pic>
                    </a:graphicData>
                  </a:graphic>
                </wp:inline>
              </w:drawing>
            </w:r>
          </w:p>
        </w:tc>
      </w:tr>
      <w:tr w14:paraId="2418D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000C739">
            <w:pPr>
              <w:bidi w:val="0"/>
              <w:rPr>
                <w:rFonts w:hint="eastAsia"/>
                <w:vertAlign w:val="baseline"/>
                <w:lang w:val="zh-CN"/>
              </w:rPr>
            </w:pPr>
            <w:r>
              <w:rPr>
                <w:rFonts w:hint="eastAsia" w:ascii="FZKTK--GBK1-0" w:hAnsi="FZKTK--GBK1-0" w:eastAsia="FZKTK--GBK1-0"/>
                <w:sz w:val="20"/>
              </w:rPr>
              <w:t>图为活动上表演古兵营舞</w:t>
            </w:r>
          </w:p>
        </w:tc>
      </w:tr>
    </w:tbl>
    <w:p w14:paraId="25F80712">
      <w:pPr>
        <w:pStyle w:val="11"/>
        <w:bidi w:val="0"/>
        <w:rPr>
          <w:rFonts w:hint="eastAsia"/>
          <w:b/>
          <w:bCs/>
          <w:lang w:val="zh-CN"/>
        </w:rPr>
      </w:pPr>
      <w:r>
        <w:rPr>
          <w:rFonts w:hint="eastAsia"/>
          <w:b/>
          <w:bCs/>
          <w:lang w:val="zh-CN"/>
        </w:rPr>
        <w:t>附：2018年湖口镇领导班子成员名单</w:t>
      </w:r>
    </w:p>
    <w:p w14:paraId="52B42AAA">
      <w:pPr>
        <w:pStyle w:val="11"/>
        <w:bidi w:val="0"/>
        <w:rPr>
          <w:rFonts w:hint="eastAsia"/>
          <w:lang w:val="zh-CN"/>
        </w:rPr>
      </w:pPr>
      <w:r>
        <w:rPr>
          <w:rFonts w:hint="eastAsia"/>
          <w:b/>
          <w:bCs/>
          <w:lang w:val="zh-CN"/>
        </w:rPr>
        <w:t>党委书记</w:t>
      </w:r>
      <w:r>
        <w:rPr>
          <w:rFonts w:hint="eastAsia"/>
          <w:lang w:val="zh-CN"/>
        </w:rPr>
        <w:t>：凌生成</w:t>
      </w:r>
    </w:p>
    <w:p w14:paraId="53368244">
      <w:pPr>
        <w:pStyle w:val="11"/>
        <w:bidi w:val="0"/>
        <w:rPr>
          <w:rFonts w:hint="eastAsia"/>
          <w:lang w:val="zh-CN"/>
        </w:rPr>
      </w:pPr>
      <w:r>
        <w:rPr>
          <w:rFonts w:hint="eastAsia"/>
          <w:b/>
          <w:bCs/>
          <w:lang w:val="zh-CN"/>
        </w:rPr>
        <w:t>党委副书记、镇长：</w:t>
      </w:r>
      <w:r>
        <w:rPr>
          <w:rFonts w:hint="eastAsia"/>
          <w:lang w:val="zh-CN"/>
        </w:rPr>
        <w:t>陈华</w:t>
      </w:r>
    </w:p>
    <w:p w14:paraId="06CAB4E3">
      <w:pPr>
        <w:pStyle w:val="11"/>
        <w:bidi w:val="0"/>
        <w:rPr>
          <w:rFonts w:hint="eastAsia"/>
          <w:lang w:val="zh-CN"/>
        </w:rPr>
      </w:pPr>
      <w:r>
        <w:rPr>
          <w:rFonts w:hint="eastAsia"/>
          <w:b/>
          <w:bCs/>
          <w:lang w:val="zh-CN"/>
        </w:rPr>
        <w:t>人大主席：</w:t>
      </w:r>
      <w:r>
        <w:rPr>
          <w:rFonts w:hint="eastAsia"/>
          <w:lang w:val="zh-CN"/>
        </w:rPr>
        <w:t>刘世娣</w:t>
      </w:r>
    </w:p>
    <w:p w14:paraId="5C0CED81">
      <w:pPr>
        <w:pStyle w:val="11"/>
        <w:bidi w:val="0"/>
        <w:rPr>
          <w:rFonts w:hint="eastAsia"/>
          <w:lang w:val="zh-CN"/>
        </w:rPr>
      </w:pPr>
      <w:r>
        <w:rPr>
          <w:rFonts w:hint="eastAsia"/>
          <w:b/>
          <w:bCs/>
          <w:lang w:val="zh-CN"/>
        </w:rPr>
        <w:t>党委副书记（党建）：</w:t>
      </w:r>
      <w:r>
        <w:rPr>
          <w:rFonts w:hint="eastAsia"/>
          <w:lang w:val="zh-CN"/>
        </w:rPr>
        <w:t>崔文佳</w:t>
      </w:r>
    </w:p>
    <w:p w14:paraId="3E1BEE73">
      <w:pPr>
        <w:pStyle w:val="11"/>
        <w:bidi w:val="0"/>
        <w:rPr>
          <w:rFonts w:hint="eastAsia"/>
          <w:lang w:val="zh-CN"/>
        </w:rPr>
      </w:pPr>
      <w:r>
        <w:rPr>
          <w:rFonts w:hint="eastAsia"/>
          <w:b/>
          <w:bCs/>
          <w:lang w:val="zh-CN"/>
        </w:rPr>
        <w:t>党委副书记（综治）：</w:t>
      </w:r>
      <w:r>
        <w:rPr>
          <w:rFonts w:hint="eastAsia"/>
          <w:lang w:val="zh-CN"/>
        </w:rPr>
        <w:t>谢章文</w:t>
      </w:r>
    </w:p>
    <w:p w14:paraId="7A3014F2">
      <w:pPr>
        <w:pStyle w:val="11"/>
        <w:bidi w:val="0"/>
        <w:rPr>
          <w:rFonts w:hint="eastAsia"/>
          <w:b/>
          <w:bCs/>
          <w:lang w:val="zh-CN"/>
        </w:rPr>
      </w:pPr>
      <w:r>
        <w:rPr>
          <w:rFonts w:hint="eastAsia"/>
          <w:b/>
          <w:bCs/>
          <w:lang w:val="zh-CN"/>
        </w:rPr>
        <w:t>党委委员、纪委书记：</w:t>
      </w:r>
    </w:p>
    <w:p w14:paraId="6E62FBC2">
      <w:pPr>
        <w:pStyle w:val="11"/>
        <w:bidi w:val="0"/>
        <w:ind w:leftChars="400"/>
        <w:rPr>
          <w:rFonts w:hint="eastAsia"/>
          <w:lang w:val="zh-CN"/>
        </w:rPr>
      </w:pPr>
      <w:r>
        <w:rPr>
          <w:rFonts w:hint="eastAsia"/>
          <w:lang w:val="zh-CN"/>
        </w:rPr>
        <w:t>梁常荣（任至1月）</w:t>
      </w:r>
    </w:p>
    <w:p w14:paraId="7195CDE8">
      <w:pPr>
        <w:pStyle w:val="11"/>
        <w:bidi w:val="0"/>
        <w:ind w:leftChars="400"/>
        <w:rPr>
          <w:rFonts w:hint="eastAsia"/>
          <w:lang w:val="zh-CN"/>
        </w:rPr>
      </w:pPr>
      <w:r>
        <w:rPr>
          <w:rFonts w:hint="eastAsia"/>
          <w:lang w:val="zh-CN"/>
        </w:rPr>
        <w:t>钟海平（2月任职）</w:t>
      </w:r>
    </w:p>
    <w:p w14:paraId="1C76F13E">
      <w:pPr>
        <w:pStyle w:val="11"/>
        <w:bidi w:val="0"/>
        <w:rPr>
          <w:rFonts w:hint="eastAsia"/>
          <w:b/>
          <w:bCs/>
          <w:lang w:val="zh-CN"/>
        </w:rPr>
      </w:pPr>
      <w:r>
        <w:rPr>
          <w:rFonts w:hint="eastAsia"/>
          <w:b/>
          <w:bCs/>
          <w:lang w:val="zh-CN"/>
        </w:rPr>
        <w:t>党委组织委员：</w:t>
      </w:r>
    </w:p>
    <w:p w14:paraId="35733A7F">
      <w:pPr>
        <w:pStyle w:val="11"/>
        <w:bidi w:val="0"/>
        <w:ind w:leftChars="400"/>
        <w:rPr>
          <w:rFonts w:hint="eastAsia"/>
          <w:lang w:val="zh-CN"/>
        </w:rPr>
      </w:pPr>
      <w:r>
        <w:rPr>
          <w:rFonts w:hint="eastAsia"/>
          <w:lang w:val="zh-CN"/>
        </w:rPr>
        <w:t>王玉杰（任至1月）</w:t>
      </w:r>
    </w:p>
    <w:p w14:paraId="407BFC00">
      <w:pPr>
        <w:pStyle w:val="11"/>
        <w:bidi w:val="0"/>
        <w:ind w:leftChars="400"/>
        <w:rPr>
          <w:rFonts w:hint="eastAsia"/>
          <w:lang w:val="zh-CN"/>
        </w:rPr>
      </w:pPr>
      <w:r>
        <w:rPr>
          <w:rFonts w:hint="eastAsia"/>
          <w:lang w:val="zh-CN"/>
        </w:rPr>
        <w:t>曾</w:t>
      </w:r>
      <w:r>
        <w:rPr>
          <w:rFonts w:hint="eastAsia"/>
          <w:lang w:val="en-US" w:eastAsia="zh-CN"/>
        </w:rPr>
        <w:t xml:space="preserve">  </w:t>
      </w:r>
      <w:r>
        <w:rPr>
          <w:rFonts w:hint="eastAsia"/>
          <w:lang w:val="zh-CN"/>
        </w:rPr>
        <w:t>华（1月任职）</w:t>
      </w:r>
    </w:p>
    <w:p w14:paraId="22F18CA4">
      <w:pPr>
        <w:pStyle w:val="11"/>
        <w:bidi w:val="0"/>
        <w:rPr>
          <w:rFonts w:hint="eastAsia"/>
          <w:lang w:val="zh-CN"/>
        </w:rPr>
      </w:pPr>
      <w:r>
        <w:rPr>
          <w:rFonts w:hint="eastAsia"/>
          <w:b/>
          <w:bCs/>
          <w:lang w:val="zh-CN"/>
        </w:rPr>
        <w:t>党委宣传委员：</w:t>
      </w:r>
      <w:r>
        <w:rPr>
          <w:rFonts w:hint="eastAsia"/>
          <w:lang w:val="zh-CN"/>
        </w:rPr>
        <w:t>吴四串</w:t>
      </w:r>
    </w:p>
    <w:p w14:paraId="16200C5C">
      <w:pPr>
        <w:pStyle w:val="11"/>
        <w:bidi w:val="0"/>
        <w:rPr>
          <w:rFonts w:hint="eastAsia"/>
          <w:lang w:val="zh-CN"/>
        </w:rPr>
      </w:pPr>
      <w:r>
        <w:rPr>
          <w:rFonts w:hint="eastAsia"/>
          <w:b/>
          <w:bCs/>
          <w:lang w:val="zh-CN"/>
        </w:rPr>
        <w:t>党委委员、武装部部长：</w:t>
      </w:r>
      <w:r>
        <w:rPr>
          <w:rFonts w:hint="eastAsia"/>
          <w:lang w:val="zh-CN"/>
        </w:rPr>
        <w:t>陈军良</w:t>
      </w:r>
    </w:p>
    <w:p w14:paraId="0DB6233F">
      <w:pPr>
        <w:pStyle w:val="11"/>
        <w:bidi w:val="0"/>
        <w:rPr>
          <w:rFonts w:hint="eastAsia"/>
          <w:lang w:val="zh-CN"/>
        </w:rPr>
      </w:pPr>
      <w:r>
        <w:rPr>
          <w:rFonts w:hint="eastAsia"/>
          <w:b/>
          <w:bCs/>
          <w:lang w:val="zh-CN"/>
        </w:rPr>
        <w:t>党委委员、副镇长：</w:t>
      </w:r>
      <w:r>
        <w:rPr>
          <w:rFonts w:hint="eastAsia"/>
          <w:lang w:val="zh-CN"/>
        </w:rPr>
        <w:t>陈宗华</w:t>
      </w:r>
    </w:p>
    <w:p w14:paraId="0EBA6702">
      <w:pPr>
        <w:pStyle w:val="11"/>
        <w:bidi w:val="0"/>
        <w:rPr>
          <w:rFonts w:hint="eastAsia"/>
          <w:lang w:val="zh-CN"/>
        </w:rPr>
      </w:pPr>
      <w:r>
        <w:rPr>
          <w:rFonts w:hint="eastAsia"/>
          <w:b/>
          <w:bCs/>
          <w:lang w:val="zh-CN"/>
        </w:rPr>
        <w:t>副镇长：</w:t>
      </w:r>
      <w:r>
        <w:rPr>
          <w:rFonts w:hint="eastAsia"/>
          <w:lang w:val="zh-CN"/>
        </w:rPr>
        <w:t>陈彩红</w:t>
      </w:r>
    </w:p>
    <w:p w14:paraId="53694551">
      <w:pPr>
        <w:pStyle w:val="11"/>
        <w:bidi w:val="0"/>
        <w:ind w:leftChars="400"/>
        <w:rPr>
          <w:rFonts w:hint="eastAsia"/>
          <w:lang w:val="zh-CN"/>
        </w:rPr>
      </w:pPr>
      <w:r>
        <w:rPr>
          <w:rFonts w:hint="eastAsia"/>
          <w:lang w:val="zh-CN"/>
        </w:rPr>
        <w:t>曾</w:t>
      </w:r>
      <w:r>
        <w:rPr>
          <w:rFonts w:hint="eastAsia"/>
          <w:lang w:val="en-US" w:eastAsia="zh-CN"/>
        </w:rPr>
        <w:t xml:space="preserve">  </w:t>
      </w:r>
      <w:r>
        <w:rPr>
          <w:rFonts w:hint="eastAsia"/>
          <w:lang w:val="zh-CN"/>
        </w:rPr>
        <w:t>华（任至1月）</w:t>
      </w:r>
    </w:p>
    <w:p w14:paraId="57B4D688">
      <w:pPr>
        <w:pStyle w:val="11"/>
        <w:bidi w:val="0"/>
        <w:ind w:leftChars="400"/>
        <w:rPr>
          <w:rFonts w:hint="eastAsia"/>
          <w:lang w:val="zh-CN"/>
        </w:rPr>
      </w:pPr>
      <w:r>
        <w:rPr>
          <w:rFonts w:hint="eastAsia"/>
          <w:lang w:val="zh-CN"/>
        </w:rPr>
        <w:t>刘景琼（3月任职）</w:t>
      </w:r>
    </w:p>
    <w:p w14:paraId="1B96328A">
      <w:pPr>
        <w:pStyle w:val="3"/>
        <w:bidi w:val="0"/>
        <w:rPr>
          <w:rFonts w:hint="eastAsia"/>
          <w:lang w:val="zh-CN"/>
        </w:rPr>
      </w:pPr>
      <w:r>
        <w:rPr>
          <w:rFonts w:hint="eastAsia"/>
          <w:lang w:val="zh-CN"/>
        </w:rPr>
        <w:t>全安镇</w:t>
      </w:r>
    </w:p>
    <w:p w14:paraId="564B5856">
      <w:pPr>
        <w:pStyle w:val="4"/>
        <w:bidi w:val="0"/>
        <w:rPr>
          <w:rFonts w:hint="eastAsia"/>
          <w:lang w:val="zh-CN"/>
        </w:rPr>
      </w:pPr>
      <w:r>
        <w:rPr>
          <w:rFonts w:hint="eastAsia"/>
          <w:lang w:val="zh-CN"/>
        </w:rPr>
        <w:t>【概况】</w:t>
      </w:r>
    </w:p>
    <w:p w14:paraId="6712B889">
      <w:pPr>
        <w:bidi w:val="0"/>
        <w:rPr>
          <w:rFonts w:hint="eastAsia"/>
          <w:lang w:val="zh-CN"/>
        </w:rPr>
      </w:pPr>
      <w:r>
        <w:rPr>
          <w:rFonts w:hint="eastAsia"/>
          <w:lang w:val="zh-CN"/>
        </w:rPr>
        <w:t>全安镇位于南雄市区西北部，距市区7千米，毗邻雄州、古市、百顺、澜河、帽子峰、珠玑、始兴县马市镇。下辖13个村委会和1个居委会，189个村民小组。全镇8370户，户籍人口2.93万人。全安镇总面积190.90平方千米，其中耕地1601.21公顷，林地1.42万公顷。全镇农业主要以种植水稻、花生、蔬菜、玉米为主，有丰富的电力、竹木、石材、矿产等自然资源，素有“粮仓”之美称。全安镇交通便利，韶赣高速公路、国道G323线路、省道S342线路和赣韶铁路穿境而过。镇辖区内企业主要有广东华电韶关热电有限公司、广东绿州纸模包装制品有限公司、圣莲红景天保健品公司、苍石竹木制品厂、乐华陶瓷洁具公司、百顺电子公司等。2018年全安镇政府行政编制50名，实际在编人数41人；事业编制30名，实际在编人数24人。</w:t>
      </w:r>
    </w:p>
    <w:p w14:paraId="767DFDCD">
      <w:pPr>
        <w:pStyle w:val="4"/>
        <w:bidi w:val="0"/>
        <w:rPr>
          <w:rFonts w:hint="eastAsia"/>
          <w:lang w:val="zh-CN"/>
        </w:rPr>
      </w:pPr>
      <w:r>
        <w:rPr>
          <w:rFonts w:hint="eastAsia"/>
          <w:lang w:val="zh-CN"/>
        </w:rPr>
        <w:t>【新农村建设】</w:t>
      </w:r>
    </w:p>
    <w:p w14:paraId="569A7F44">
      <w:pPr>
        <w:bidi w:val="0"/>
        <w:rPr>
          <w:rFonts w:hint="eastAsia"/>
          <w:lang w:val="zh-CN"/>
        </w:rPr>
      </w:pPr>
      <w:r>
        <w:rPr>
          <w:rFonts w:hint="eastAsia"/>
          <w:lang w:val="zh-CN"/>
        </w:rPr>
        <w:t>扎实推进“三清三拆三整治”。2018年清理村巷道及生产工具、建筑材料乱堆乱放246条7.19万平方米；清理房前屋后杂草杂物、积存垃圾614处4694吨；清理沟渠池塘溪河淤泥、漂浮物和障碍物68条493余吨；拆除危旧房、废旧猪牛栏及露天厕所1923间5.3万平方米；拆除乱搭乱建、违章建筑20处3029平方米；拆除非法违规商业广告、招牌189处437平方米。其中，面上村完成“三清三拆”自然村8个，拆除面积2.13万平方米。强化基层治理，建立管用有用的理事会，健全村规民约，培育好文明乡风。全镇成立133个党群理事会。建立健全农村保洁体系。在村容村貌整治、环境卫生整体改善方面，制定《全安镇保洁体系建设和生活垃圾清运处理工作方案》，各村20户以上的自然村至少配备1名村庄保洁员。大力发展特色优势产业：章禾洞村以章禾洞四脑合作社为依托，以“贡此时”商标为载体，按照“合作社+基地+农户”的产业化经营模式，辐射带动章禾洞、兰溪、苍石村种植贡柑100多公顷，大力发展亲子自摘活动项目；杨沥村每年种植西瓜亩数达33.33公顷以上，“杨沥西瓜”因肉质脆甜多汁已小有名气；陂头玉米种植渐成规模。积极培育新型农业经营主体，发展壮大村集体经济，加快建设指挥官现代农业田园综合体产业园项目。</w:t>
      </w:r>
    </w:p>
    <w:p w14:paraId="508AC8BB">
      <w:pPr>
        <w:pStyle w:val="4"/>
        <w:bidi w:val="0"/>
        <w:rPr>
          <w:rFonts w:hint="eastAsia"/>
          <w:lang w:val="zh-CN"/>
        </w:rPr>
      </w:pPr>
      <w:r>
        <w:rPr>
          <w:rFonts w:hint="eastAsia"/>
          <w:lang w:val="zh-CN"/>
        </w:rPr>
        <w:t>【产业发展】</w:t>
      </w:r>
    </w:p>
    <w:p w14:paraId="103430E5">
      <w:pPr>
        <w:bidi w:val="0"/>
        <w:rPr>
          <w:rFonts w:hint="eastAsia"/>
          <w:lang w:val="zh-CN"/>
        </w:rPr>
      </w:pPr>
      <w:r>
        <w:rPr>
          <w:rFonts w:hint="eastAsia"/>
          <w:lang w:val="zh-CN"/>
        </w:rPr>
        <w:t>2018年，全镇流转土地约200公顷发展产业。在密下水村流转土地18.67公顷种植黄金百香果，完成滴灌、树桩等基础设施建设，种苗已经栽种完成。杨沥桑葚种植项目：在杨沥、全安村流转土地8.47公顷，种植台湾桑葚。五岭洞油菜花和水稻轮植项目：在全安、河塘、王亭石村流转土地约53.33公顷，进行油菜花、水稻轮植项目。大坪中草药种植项目：在大坪村流转土地约20公顷，进行中草药种植项目。丝苗米农业产业园：在全安、河塘、王亭石、古塘、羊角等村流转土地约66.67公顷，由天润公司进行丝苗米种植及全安镇经济贸易发展总公司进行油菜花轮种项目。章禾洞村以章禾洞四脑合作社为依托，以“贡此时”商标为载体，按照“合作社+基地+农户”的产业化经营模式，辐射带动章禾洞、兰溪、苍石村种植贡柑100多公顷，大力发展采摘业；杨沥村每年种植西瓜亩数可达33.33公顷以上；杨沥岩贡柑、三华李、油桃种植面积86.67公顷，品种优良。</w:t>
      </w:r>
    </w:p>
    <w:p w14:paraId="5A9532E1">
      <w:pPr>
        <w:pStyle w:val="4"/>
        <w:bidi w:val="0"/>
        <w:rPr>
          <w:rFonts w:hint="eastAsia"/>
          <w:lang w:val="zh-CN"/>
        </w:rPr>
      </w:pPr>
      <w:r>
        <w:rPr>
          <w:rFonts w:hint="eastAsia"/>
          <w:lang w:val="zh-CN"/>
        </w:rPr>
        <w:t>【党建工作】</w:t>
      </w:r>
    </w:p>
    <w:p w14:paraId="1854B890">
      <w:pPr>
        <w:bidi w:val="0"/>
        <w:rPr>
          <w:rFonts w:hint="eastAsia"/>
          <w:lang w:val="zh-CN"/>
        </w:rPr>
      </w:pPr>
      <w:r>
        <w:rPr>
          <w:rFonts w:hint="eastAsia"/>
          <w:lang w:val="zh-CN"/>
        </w:rPr>
        <w:t>2018年吸收入党积极分子25名，发展党员15名。杨沥、河塘、密下水、古塘、陂头、苍石、羊角、全安村等8个50名党员人数以上的党支部全部升格为党总支部，下设24个党支部，其他5个行政村党支部补选出10名支委委员，农村党（总）支部委员113名。为进一步加强党建工作力量，全安镇成立67个党小组，133个党群理事会。选取全安、古塘、王亭石等3个村党（总）支部作为全安镇2018年党员评星定级量化管理的试点。为树立典范、加强对先进的学习，全镇设立31个“党员示范岗”。</w:t>
      </w:r>
    </w:p>
    <w:p w14:paraId="1BE3535E">
      <w:pPr>
        <w:pStyle w:val="4"/>
        <w:bidi w:val="0"/>
        <w:rPr>
          <w:rFonts w:hint="eastAsia"/>
          <w:lang w:val="zh-CN"/>
        </w:rPr>
      </w:pPr>
      <w:r>
        <w:rPr>
          <w:rFonts w:hint="eastAsia"/>
          <w:lang w:val="zh-CN"/>
        </w:rPr>
        <w:t>【社会综合治理】</w:t>
      </w:r>
    </w:p>
    <w:p w14:paraId="664A85A9">
      <w:pPr>
        <w:bidi w:val="0"/>
        <w:rPr>
          <w:rFonts w:hint="eastAsia"/>
          <w:lang w:val="zh-CN"/>
        </w:rPr>
      </w:pPr>
      <w:r>
        <w:rPr>
          <w:rFonts w:hint="eastAsia"/>
          <w:lang w:val="zh-CN"/>
        </w:rPr>
        <w:t>全镇每个自然村均配备一个保洁员，配备不少于一个垃圾收集点；落实“门前三包”和“驻村镇干部包村、村干部包片、党员包户”制度；同时在各村选取2—3个自然村进行“卫生清洁户”评比活动试点，鼓励村民积极参与村庄卫生保洁中来。在乡风文明建设方面：要求各村通过完善村规民约、成立红白理事会、推动厚养薄葬、抵制陈规陋习、评选先进典型等行动。切实提升乡风文明水平，破除不良风气。2018年在古塘、河塘、密下水等村开展文明村、文明户、五好家庭、身边好人等先进典型评选创建试点活动。深入推进扫黑除恶专项斗争，通过发动广大人民群众积极举报，2018年排查线索42条，其中市扫黑办交办线索10条，自我排查线索25条，群众来访举报线索2条，群众来信线索4条，群众来电线索1条，已全部办结。2018年镇村调处群众纠纷198起，信访系统收到上级交办信访件36封，答复36封。上级巡视部门交办案件7宗。交办网络问政案件8宗。抓好封山育林、营林造林，2018年全镇参加义务植树1.32万人，义务植树尽责率96%，植树4.14万株。</w:t>
      </w:r>
    </w:p>
    <w:p w14:paraId="29F86A01">
      <w:pPr>
        <w:pStyle w:val="4"/>
        <w:bidi w:val="0"/>
        <w:rPr>
          <w:rFonts w:hint="eastAsia"/>
          <w:lang w:val="zh-CN"/>
        </w:rPr>
      </w:pPr>
      <w:r>
        <w:rPr>
          <w:rFonts w:hint="eastAsia"/>
          <w:lang w:val="zh-CN"/>
        </w:rPr>
        <w:t>【民生保障】</w:t>
      </w:r>
    </w:p>
    <w:p w14:paraId="1B55310B">
      <w:pPr>
        <w:bidi w:val="0"/>
        <w:rPr>
          <w:rFonts w:hint="eastAsia"/>
          <w:lang w:val="zh-CN"/>
        </w:rPr>
      </w:pPr>
      <w:r>
        <w:rPr>
          <w:rFonts w:hint="eastAsia"/>
          <w:lang w:val="zh-CN"/>
        </w:rPr>
        <w:t>2018年全镇新农保缴费人数达5800人；新增职工社会养老保险21人，缴交基金11万多元；贫困户劳动力2018年就业帮扶13人，就业困难人员实现就业人数10人。完善城乡低保救济机制，实行动态管理，应保尽保，累计发放城镇低保金6.53万元，农村低保金223.35万元。做好医疗救助工作，发放临时救助金4.68万元。做好双拥优抚安置工作，发放农村籍退役士兵老年生活补助金128.76万元。做好残联、老龄工作，发放高龄补贴金15.77万元、重度残疾人护理补贴8.8万元。做好救济救灾工作。发放特困人员供养金82.68万元、夏荒救济粮7.5吨、棉被120条、棉衣（裤）120套、运动服（套）120件、毛毯120件、毛巾毯120件，发放贫困户御寒物资棉被54床。</w:t>
      </w:r>
    </w:p>
    <w:p w14:paraId="3AD44DB4">
      <w:pPr>
        <w:pStyle w:val="4"/>
        <w:bidi w:val="0"/>
        <w:rPr>
          <w:rFonts w:hint="eastAsia"/>
          <w:lang w:val="zh-CN"/>
        </w:rPr>
      </w:pPr>
      <w:r>
        <w:rPr>
          <w:rFonts w:hint="eastAsia"/>
          <w:lang w:val="zh-CN"/>
        </w:rPr>
        <w:t>【项目建设】</w:t>
      </w:r>
    </w:p>
    <w:p w14:paraId="1C789A3C">
      <w:pPr>
        <w:bidi w:val="0"/>
        <w:rPr>
          <w:rFonts w:hint="eastAsia"/>
          <w:lang w:val="zh-CN"/>
        </w:rPr>
      </w:pPr>
      <w:r>
        <w:rPr>
          <w:rFonts w:hint="eastAsia"/>
          <w:lang w:val="zh-CN"/>
        </w:rPr>
        <w:t>争取上级资金在密下水等村委会进行高标准基本农田建设；投资60多万元对凌江渠和苍石二队水渠进行修建。中小河流治理，2018年度清淤10千米，建设护岸9千米，完善农业基础设施建设。加快推进农村道路建设。2018年交通道路硬化苍石至龙华山7.4千米、密下水村道8千米、凌华至佳佳林场1.4千米、雄州至黄岭0.6千米，切实改善群众生产生活出行难问题。华电项目2018年新增房屋拆迁10套。全部完成丈量，其中8套已签订拆迁协议并完成拆迁工作，拆迁面积2377.31平方米，发放补偿款557.63万元。华电补给水（供热）管租（征）地项目补给水管线租地面积45.28亩，供热管征地8.66亩，发放补偿金额78.42万元。二期工业园项目完成房屋拆迁面积373.39平方米，发放补偿金额18万元；征地约0.52公顷，发放补偿金额10.36万元。</w:t>
      </w:r>
    </w:p>
    <w:p w14:paraId="3CCEE4FA">
      <w:pPr>
        <w:pStyle w:val="4"/>
        <w:bidi w:val="0"/>
        <w:rPr>
          <w:rFonts w:hint="eastAsia"/>
          <w:lang w:val="zh-CN"/>
        </w:rPr>
      </w:pPr>
      <w:r>
        <w:rPr>
          <w:rFonts w:hint="eastAsia"/>
          <w:lang w:val="zh-CN"/>
        </w:rPr>
        <w:t>【精准扶贫】</w:t>
      </w:r>
    </w:p>
    <w:p w14:paraId="714EAE4D">
      <w:pPr>
        <w:bidi w:val="0"/>
        <w:rPr>
          <w:rFonts w:hint="eastAsia"/>
          <w:lang w:val="zh-CN"/>
        </w:rPr>
      </w:pPr>
      <w:r>
        <w:rPr>
          <w:rFonts w:hint="eastAsia"/>
          <w:lang w:val="zh-CN"/>
        </w:rPr>
        <w:t>2018年全镇脱贫户54户165人，其中政策性保障兜底脱贫数9户12人，非政策性兜底脱贫数43户140人，其中，就业培训脱贫27户88人，种养加产业脱贫18户65人。全镇建档立卡贫困学生153名，九年义务教育阶段入学率100%，无人因贫失学辍学，教育补助落实率100%。全额资助建档立卡贫困户854人参加城乡居民基本医疗保险政策，落实率为100%；贫困户中381人次获得医疗救助，救助金额20多万元，同时对10名经救助后医疗支出仍然较大的贫困户进行临时救助。住房安全保障，危房改造79户，全面竣工验收，并拨付补助资金232.05万元，完成率100%。全镇无劳动能力户153户230人，全部纳入低保范围并提供兜底保障。全镇残疾人数201人，其中重残110人，三、四级残疾91人，所有残疾贫困人口两项补贴均落实到位，完成率100%。在推进全镇特色农业发展的同时，带动贫困户224户565人参与链接到产业项目中，并为贫困户带来资产性收益分红，实现稳定增收。省粮储在河塘村投入30万元打造竹鼠寄养基地，为38户贫困户购进竹鼠种苗，统一管理和销售，实现户均增收1000多元；市供销社利用自身帮扶优势投入扶贫产业项目资金13.2万元，发展甜玉米项目4公顷，并辐射带动周边群众种植甜玉米20公顷。积极组织开展劳动技能培训和转移就业培训，帮助贫困劳动力外出务工联系就业机会，仅镇辖区的绿洲公司、乐华陶瓷等企业就提供稳定就业岗位16个，另有贫困户78人外出务工，并实现稳定就业。2018年除在家务农外，有劳动能力贫困人口就业人数175人，稳定就业人数175人，就业率和稳定就业率均为100%。</w:t>
      </w:r>
    </w:p>
    <w:p w14:paraId="3B223887">
      <w:pPr>
        <w:pStyle w:val="4"/>
        <w:bidi w:val="0"/>
        <w:rPr>
          <w:rFonts w:hint="eastAsia"/>
          <w:lang w:val="zh-CN"/>
        </w:rPr>
      </w:pPr>
      <w:r>
        <w:rPr>
          <w:rFonts w:hint="eastAsia"/>
          <w:lang w:val="zh-CN"/>
        </w:rPr>
        <w:t>【各村委会（社区）基本情况】</w:t>
      </w:r>
    </w:p>
    <w:p w14:paraId="1731B978">
      <w:pPr>
        <w:bidi w:val="0"/>
        <w:rPr>
          <w:rFonts w:hint="eastAsia"/>
          <w:lang w:val="zh-CN"/>
        </w:rPr>
      </w:pPr>
      <w:r>
        <w:rPr>
          <w:rFonts w:hint="eastAsia"/>
          <w:b/>
          <w:bCs/>
          <w:lang w:val="zh-CN"/>
        </w:rPr>
        <w:t>陂头村</w:t>
      </w:r>
      <w:r>
        <w:rPr>
          <w:rFonts w:hint="eastAsia"/>
          <w:b/>
          <w:bCs/>
          <w:lang w:val="en-US" w:eastAsia="zh-CN"/>
        </w:rPr>
        <w:t xml:space="preserve">   </w:t>
      </w:r>
      <w:r>
        <w:rPr>
          <w:rFonts w:hint="eastAsia"/>
          <w:lang w:val="zh-CN"/>
        </w:rPr>
        <w:t>位于全安镇东北方向，距离镇政府8千米，辖区21个村小组，1000户3555人。耕地面积172.53公顷，山林面积2233.33公顷。主要经济作物有水稻、黄烟、花生。</w:t>
      </w:r>
    </w:p>
    <w:p w14:paraId="7C82DC06">
      <w:pPr>
        <w:bidi w:val="0"/>
        <w:rPr>
          <w:rFonts w:hint="eastAsia"/>
          <w:lang w:val="zh-CN"/>
        </w:rPr>
      </w:pPr>
      <w:r>
        <w:rPr>
          <w:rFonts w:hint="eastAsia"/>
          <w:b/>
          <w:bCs/>
          <w:lang w:val="zh-CN"/>
        </w:rPr>
        <w:t>羊角村</w:t>
      </w:r>
      <w:r>
        <w:rPr>
          <w:rFonts w:hint="eastAsia"/>
          <w:b/>
          <w:bCs/>
          <w:lang w:val="en-US" w:eastAsia="zh-CN"/>
        </w:rPr>
        <w:t xml:space="preserve">   </w:t>
      </w:r>
      <w:r>
        <w:rPr>
          <w:rFonts w:hint="eastAsia"/>
          <w:lang w:val="zh-CN"/>
        </w:rPr>
        <w:t>位于全安镇东南方向，距离镇政府1.5千米，辖区22个村小组，1082户4076人。耕地面积214.73公顷，山林面积566.67公顷。主要经济作物有水稻、花生。</w:t>
      </w:r>
    </w:p>
    <w:p w14:paraId="70DFAD0A">
      <w:pPr>
        <w:bidi w:val="0"/>
        <w:rPr>
          <w:rFonts w:hint="eastAsia"/>
          <w:lang w:val="zh-CN"/>
        </w:rPr>
      </w:pPr>
      <w:r>
        <w:rPr>
          <w:rFonts w:hint="eastAsia"/>
          <w:b/>
          <w:bCs/>
          <w:lang w:val="zh-CN"/>
        </w:rPr>
        <w:t>古塘村</w:t>
      </w:r>
      <w:r>
        <w:rPr>
          <w:rFonts w:hint="eastAsia"/>
          <w:b/>
          <w:bCs/>
          <w:lang w:val="en-US" w:eastAsia="zh-CN"/>
        </w:rPr>
        <w:t xml:space="preserve">   </w:t>
      </w:r>
      <w:r>
        <w:rPr>
          <w:rFonts w:hint="eastAsia"/>
          <w:lang w:val="zh-CN"/>
        </w:rPr>
        <w:t>位于全安镇东南方向，距离镇政府1千米，辖区16个村小组，736户2687人。耕地面积147.47公顷，山林面积60公顷。主要经济作物有水稻、花生、蔬菜。</w:t>
      </w:r>
    </w:p>
    <w:p w14:paraId="64AB0023">
      <w:pPr>
        <w:bidi w:val="0"/>
        <w:rPr>
          <w:rFonts w:hint="eastAsia"/>
          <w:lang w:val="zh-CN"/>
        </w:rPr>
      </w:pPr>
      <w:r>
        <w:rPr>
          <w:rFonts w:hint="eastAsia"/>
          <w:b/>
          <w:bCs/>
          <w:lang w:val="zh-CN"/>
        </w:rPr>
        <w:t>全安村</w:t>
      </w:r>
      <w:r>
        <w:rPr>
          <w:rFonts w:hint="eastAsia"/>
          <w:b/>
          <w:bCs/>
          <w:lang w:val="en-US" w:eastAsia="zh-CN"/>
        </w:rPr>
        <w:t xml:space="preserve">   </w:t>
      </w:r>
      <w:r>
        <w:rPr>
          <w:rFonts w:hint="eastAsia"/>
          <w:lang w:val="zh-CN"/>
        </w:rPr>
        <w:t>位于全安镇正西方向，距离镇政府约0.5千米，辖区20个村小组，755户2986人。耕地面积98.53公顷，山林面积8200公顷。主要经济作物有水稻、花生、蔬菜。</w:t>
      </w:r>
    </w:p>
    <w:p w14:paraId="6C29D2CF">
      <w:pPr>
        <w:bidi w:val="0"/>
        <w:rPr>
          <w:rFonts w:hint="eastAsia"/>
          <w:lang w:val="zh-CN"/>
        </w:rPr>
      </w:pPr>
      <w:r>
        <w:rPr>
          <w:rFonts w:hint="eastAsia"/>
          <w:b/>
          <w:bCs/>
          <w:lang w:val="zh-CN"/>
        </w:rPr>
        <w:t>王亭石村</w:t>
      </w:r>
      <w:r>
        <w:rPr>
          <w:rFonts w:hint="eastAsia"/>
          <w:b/>
          <w:bCs/>
          <w:lang w:val="en-US" w:eastAsia="zh-CN"/>
        </w:rPr>
        <w:t xml:space="preserve">   </w:t>
      </w:r>
      <w:r>
        <w:rPr>
          <w:rFonts w:hint="eastAsia"/>
          <w:lang w:val="zh-CN"/>
        </w:rPr>
        <w:t>位于全安镇东北方向，距离镇政府1千米，辖区11个村小组，306户1222人。耕地面积172.53公顷，山林面积2233.33公顷。主要经济作物有黄烟、花生。</w:t>
      </w:r>
    </w:p>
    <w:p w14:paraId="54A44FF3">
      <w:pPr>
        <w:bidi w:val="0"/>
        <w:rPr>
          <w:rFonts w:hint="eastAsia"/>
          <w:lang w:val="zh-CN"/>
        </w:rPr>
      </w:pPr>
      <w:r>
        <w:rPr>
          <w:rFonts w:hint="eastAsia"/>
          <w:b/>
          <w:bCs/>
          <w:lang w:val="zh-CN"/>
        </w:rPr>
        <w:t>河塘村</w:t>
      </w:r>
      <w:r>
        <w:rPr>
          <w:rFonts w:hint="eastAsia"/>
          <w:b/>
          <w:bCs/>
          <w:lang w:val="en-US" w:eastAsia="zh-CN"/>
        </w:rPr>
        <w:t xml:space="preserve">   </w:t>
      </w:r>
      <w:r>
        <w:rPr>
          <w:rFonts w:hint="eastAsia"/>
          <w:lang w:val="zh-CN"/>
        </w:rPr>
        <w:t>位于全安镇东北方向，距离镇政府1千米，辖区13个村小组，686户2461人。耕地面积121.73公顷，山林面积244.67公顷。主要经济作物有水稻、花生。</w:t>
      </w:r>
    </w:p>
    <w:p w14:paraId="52C4C15D">
      <w:pPr>
        <w:bidi w:val="0"/>
        <w:rPr>
          <w:rFonts w:hint="eastAsia"/>
          <w:lang w:val="zh-CN"/>
        </w:rPr>
      </w:pPr>
      <w:r>
        <w:rPr>
          <w:rFonts w:hint="eastAsia"/>
          <w:b/>
          <w:bCs/>
          <w:lang w:val="zh-CN"/>
        </w:rPr>
        <w:t>杨沥村</w:t>
      </w:r>
      <w:r>
        <w:rPr>
          <w:rFonts w:hint="eastAsia"/>
          <w:b/>
          <w:bCs/>
          <w:lang w:val="en-US" w:eastAsia="zh-CN"/>
        </w:rPr>
        <w:t xml:space="preserve">   </w:t>
      </w:r>
      <w:r>
        <w:rPr>
          <w:rFonts w:hint="eastAsia"/>
          <w:lang w:val="zh-CN"/>
        </w:rPr>
        <w:t>位于全安镇西北方向，距离镇政府3千米，辖区15个村小组，640户2454人。耕地面积126.07公顷，山林面积1553.33公顷。主要经济作物有水稻、蔬菜。</w:t>
      </w:r>
    </w:p>
    <w:p w14:paraId="0DB721C2">
      <w:pPr>
        <w:bidi w:val="0"/>
        <w:rPr>
          <w:rFonts w:hint="eastAsia"/>
          <w:lang w:val="zh-CN"/>
        </w:rPr>
      </w:pPr>
      <w:r>
        <w:rPr>
          <w:rFonts w:hint="eastAsia"/>
          <w:b/>
          <w:bCs/>
          <w:lang w:val="zh-CN"/>
        </w:rPr>
        <w:t>荔迳村</w:t>
      </w:r>
      <w:r>
        <w:rPr>
          <w:rFonts w:hint="eastAsia"/>
          <w:b/>
          <w:bCs/>
          <w:lang w:val="en-US" w:eastAsia="zh-CN"/>
        </w:rPr>
        <w:t xml:space="preserve">   </w:t>
      </w:r>
      <w:r>
        <w:rPr>
          <w:rFonts w:hint="eastAsia"/>
          <w:lang w:val="zh-CN"/>
        </w:rPr>
        <w:t>位于全安镇正北方向，距离镇政府7千米，辖区11个村小组，442户1545人。耕地面积81.93公顷，山林面积564.67万公顷。主要经济作物有水稻、花生。</w:t>
      </w:r>
    </w:p>
    <w:p w14:paraId="70D6B727">
      <w:pPr>
        <w:bidi w:val="0"/>
        <w:rPr>
          <w:rFonts w:hint="eastAsia"/>
          <w:lang w:val="zh-CN"/>
        </w:rPr>
      </w:pPr>
      <w:r>
        <w:rPr>
          <w:rFonts w:hint="eastAsia"/>
          <w:b/>
          <w:bCs/>
          <w:lang w:val="zh-CN"/>
        </w:rPr>
        <w:t>密下水村</w:t>
      </w:r>
      <w:r>
        <w:rPr>
          <w:rFonts w:hint="eastAsia"/>
          <w:b/>
          <w:bCs/>
          <w:lang w:val="en-US" w:eastAsia="zh-CN"/>
        </w:rPr>
        <w:t xml:space="preserve">   </w:t>
      </w:r>
      <w:r>
        <w:rPr>
          <w:rFonts w:hint="eastAsia"/>
          <w:lang w:val="zh-CN"/>
        </w:rPr>
        <w:t>位于全安镇正北方向，距离镇政府8千米，辖区21个村小组，597户2214人。耕地面积148.53公顷，山林面积2440公顷。主要经济作物有水稻、花生。</w:t>
      </w:r>
    </w:p>
    <w:p w14:paraId="4A841477">
      <w:pPr>
        <w:bidi w:val="0"/>
        <w:rPr>
          <w:rFonts w:hint="eastAsia"/>
          <w:lang w:val="zh-CN"/>
        </w:rPr>
      </w:pPr>
      <w:r>
        <w:rPr>
          <w:rFonts w:hint="eastAsia"/>
          <w:b/>
          <w:bCs/>
          <w:lang w:val="zh-CN"/>
        </w:rPr>
        <w:t>苍石村</w:t>
      </w:r>
      <w:r>
        <w:rPr>
          <w:rFonts w:hint="eastAsia"/>
          <w:b/>
          <w:bCs/>
          <w:lang w:val="en-US" w:eastAsia="zh-CN"/>
        </w:rPr>
        <w:t xml:space="preserve">   </w:t>
      </w:r>
      <w:r>
        <w:rPr>
          <w:rFonts w:hint="eastAsia"/>
          <w:lang w:val="zh-CN"/>
        </w:rPr>
        <w:t>位于全安镇正北方向，距离镇政府7千米，辖区13个村小组，335户1317人。耕地面积71.53万公顷，山林面积1726.67公顷。主要经济作物有水稻。</w:t>
      </w:r>
    </w:p>
    <w:p w14:paraId="015125CC">
      <w:pPr>
        <w:bidi w:val="0"/>
        <w:rPr>
          <w:rFonts w:hint="eastAsia"/>
          <w:lang w:val="zh-CN"/>
        </w:rPr>
      </w:pPr>
      <w:r>
        <w:rPr>
          <w:rFonts w:hint="eastAsia"/>
          <w:b/>
          <w:bCs/>
          <w:lang w:val="zh-CN"/>
        </w:rPr>
        <w:t>大坪村</w:t>
      </w:r>
      <w:r>
        <w:rPr>
          <w:rFonts w:hint="eastAsia"/>
          <w:b/>
          <w:bCs/>
          <w:lang w:val="en-US" w:eastAsia="zh-CN"/>
        </w:rPr>
        <w:t xml:space="preserve">   </w:t>
      </w:r>
      <w:r>
        <w:rPr>
          <w:rFonts w:hint="eastAsia"/>
          <w:lang w:val="zh-CN"/>
        </w:rPr>
        <w:t>位于全安镇西北方向，距离镇政府约21千米，辖区11个村小组，350户1343人。耕地面积49.67公顷，山林面积2740公顷。主要经济作物有水稻。</w:t>
      </w:r>
    </w:p>
    <w:p w14:paraId="380A6501">
      <w:pPr>
        <w:bidi w:val="0"/>
        <w:rPr>
          <w:rFonts w:hint="eastAsia"/>
          <w:lang w:val="zh-CN"/>
        </w:rPr>
      </w:pPr>
      <w:r>
        <w:rPr>
          <w:rFonts w:hint="eastAsia"/>
          <w:b/>
          <w:bCs/>
          <w:lang w:val="zh-CN"/>
        </w:rPr>
        <w:t>兰溪村</w:t>
      </w:r>
      <w:r>
        <w:rPr>
          <w:rFonts w:hint="eastAsia"/>
          <w:b/>
          <w:bCs/>
          <w:lang w:val="en-US" w:eastAsia="zh-CN"/>
        </w:rPr>
        <w:t xml:space="preserve">   </w:t>
      </w:r>
      <w:r>
        <w:rPr>
          <w:rFonts w:hint="eastAsia"/>
          <w:lang w:val="zh-CN"/>
        </w:rPr>
        <w:t>位于全安镇西北方向，距离镇政府28千米，辖区6个村小组，214户830人。耕地面积29.8万公顷，山林面积773.33公顷。主要经济作物有水稻。</w:t>
      </w:r>
    </w:p>
    <w:p w14:paraId="5AD03E94">
      <w:pPr>
        <w:bidi w:val="0"/>
        <w:rPr>
          <w:rFonts w:hint="eastAsia"/>
          <w:lang w:val="zh-CN"/>
        </w:rPr>
      </w:pPr>
      <w:r>
        <w:rPr>
          <w:rFonts w:hint="eastAsia"/>
          <w:b/>
          <w:bCs/>
          <w:lang w:val="zh-CN"/>
        </w:rPr>
        <w:t>章禾洞村</w:t>
      </w:r>
      <w:r>
        <w:rPr>
          <w:rFonts w:hint="eastAsia"/>
          <w:b/>
          <w:bCs/>
          <w:lang w:val="en-US" w:eastAsia="zh-CN"/>
        </w:rPr>
        <w:t xml:space="preserve">   </w:t>
      </w:r>
      <w:r>
        <w:rPr>
          <w:rFonts w:hint="eastAsia"/>
          <w:lang w:val="zh-CN"/>
        </w:rPr>
        <w:t>位于全安镇西北方向，距离镇政府20千米，辖区9个村小组，231户846人。耕地面积84.4公顷，山林面积1100公顷。主要经济作物有水稻、柑橘。</w:t>
      </w:r>
      <w:r>
        <w:rPr>
          <w:rFonts w:hint="eastAsia"/>
          <w:b/>
          <w:bCs/>
          <w:lang w:val="zh-CN"/>
        </w:rPr>
        <w:t>（钟</w:t>
      </w:r>
      <w:r>
        <w:rPr>
          <w:rFonts w:hint="eastAsia"/>
          <w:b/>
          <w:bCs/>
          <w:lang w:val="en-US" w:eastAsia="zh-CN"/>
        </w:rPr>
        <w:t xml:space="preserve">  </w:t>
      </w:r>
      <w:r>
        <w:rPr>
          <w:rFonts w:hint="eastAsia"/>
          <w:b/>
          <w:bCs/>
          <w:lang w:val="zh-CN"/>
        </w:rPr>
        <w:t>婷）</w:t>
      </w:r>
    </w:p>
    <w:p w14:paraId="43E9BFBF">
      <w:pPr>
        <w:pStyle w:val="11"/>
        <w:bidi w:val="0"/>
        <w:rPr>
          <w:rFonts w:hint="eastAsia"/>
          <w:b/>
          <w:bCs/>
          <w:lang w:val="zh-CN"/>
        </w:rPr>
      </w:pPr>
      <w:r>
        <w:rPr>
          <w:rFonts w:hint="eastAsia"/>
          <w:b/>
          <w:bCs/>
          <w:lang w:val="zh-CN"/>
        </w:rPr>
        <w:t>附：2018年全安镇领导班子成员名单</w:t>
      </w:r>
    </w:p>
    <w:p w14:paraId="12A186FF">
      <w:pPr>
        <w:pStyle w:val="11"/>
        <w:bidi w:val="0"/>
        <w:rPr>
          <w:rFonts w:hint="eastAsia"/>
          <w:lang w:val="zh-CN"/>
        </w:rPr>
      </w:pPr>
      <w:r>
        <w:rPr>
          <w:rFonts w:hint="eastAsia"/>
          <w:b/>
          <w:bCs/>
          <w:lang w:val="zh-CN"/>
        </w:rPr>
        <w:t>党委书记：</w:t>
      </w:r>
      <w:r>
        <w:rPr>
          <w:rFonts w:hint="eastAsia"/>
          <w:lang w:val="zh-CN"/>
        </w:rPr>
        <w:t>潘</w:t>
      </w:r>
      <w:r>
        <w:rPr>
          <w:rFonts w:hint="eastAsia"/>
          <w:lang w:val="en-US" w:eastAsia="zh-CN"/>
        </w:rPr>
        <w:t xml:space="preserve">  </w:t>
      </w:r>
      <w:r>
        <w:rPr>
          <w:rFonts w:hint="eastAsia"/>
          <w:lang w:val="zh-CN"/>
        </w:rPr>
        <w:t>彬</w:t>
      </w:r>
    </w:p>
    <w:p w14:paraId="613E5E26">
      <w:pPr>
        <w:pStyle w:val="11"/>
        <w:bidi w:val="0"/>
        <w:rPr>
          <w:rFonts w:hint="eastAsia"/>
          <w:lang w:val="zh-CN"/>
        </w:rPr>
      </w:pPr>
      <w:r>
        <w:rPr>
          <w:rFonts w:hint="eastAsia"/>
          <w:b/>
          <w:bCs/>
          <w:lang w:val="zh-CN"/>
        </w:rPr>
        <w:t>党委副书记、镇长：</w:t>
      </w:r>
      <w:r>
        <w:rPr>
          <w:rFonts w:hint="eastAsia"/>
          <w:lang w:val="zh-CN"/>
        </w:rPr>
        <w:t>陈汉铭</w:t>
      </w:r>
    </w:p>
    <w:p w14:paraId="411798E2">
      <w:pPr>
        <w:pStyle w:val="11"/>
        <w:bidi w:val="0"/>
        <w:rPr>
          <w:rFonts w:hint="eastAsia"/>
          <w:lang w:val="zh-CN"/>
        </w:rPr>
      </w:pPr>
      <w:r>
        <w:rPr>
          <w:rFonts w:hint="eastAsia"/>
          <w:b/>
          <w:bCs/>
          <w:lang w:val="zh-CN"/>
        </w:rPr>
        <w:t>人大主席：</w:t>
      </w:r>
      <w:r>
        <w:rPr>
          <w:rFonts w:hint="eastAsia"/>
          <w:lang w:val="zh-CN"/>
        </w:rPr>
        <w:t>刘光煌</w:t>
      </w:r>
    </w:p>
    <w:p w14:paraId="11B94EC6">
      <w:pPr>
        <w:pStyle w:val="11"/>
        <w:bidi w:val="0"/>
        <w:rPr>
          <w:rFonts w:hint="eastAsia"/>
          <w:lang w:val="zh-CN"/>
        </w:rPr>
      </w:pPr>
      <w:r>
        <w:rPr>
          <w:rFonts w:hint="eastAsia"/>
          <w:b/>
          <w:bCs/>
          <w:lang w:val="zh-CN"/>
        </w:rPr>
        <w:t>党委副书记（党建）：</w:t>
      </w:r>
      <w:r>
        <w:rPr>
          <w:rFonts w:hint="eastAsia"/>
          <w:lang w:val="zh-CN"/>
        </w:rPr>
        <w:t>刘宏艺</w:t>
      </w:r>
    </w:p>
    <w:p w14:paraId="41BDB46C">
      <w:pPr>
        <w:pStyle w:val="11"/>
        <w:bidi w:val="0"/>
        <w:rPr>
          <w:rFonts w:hint="eastAsia"/>
          <w:lang w:val="zh-CN"/>
        </w:rPr>
      </w:pPr>
      <w:r>
        <w:rPr>
          <w:rFonts w:hint="eastAsia"/>
          <w:b/>
          <w:bCs/>
          <w:lang w:val="zh-CN"/>
        </w:rPr>
        <w:t>党委副书记（综治）：</w:t>
      </w:r>
      <w:r>
        <w:rPr>
          <w:rFonts w:hint="eastAsia"/>
          <w:lang w:val="zh-CN"/>
        </w:rPr>
        <w:t>张熙斌</w:t>
      </w:r>
    </w:p>
    <w:p w14:paraId="33846E1F">
      <w:pPr>
        <w:pStyle w:val="11"/>
        <w:bidi w:val="0"/>
        <w:rPr>
          <w:rFonts w:hint="eastAsia"/>
          <w:lang w:val="zh-CN"/>
        </w:rPr>
      </w:pPr>
      <w:r>
        <w:rPr>
          <w:rFonts w:hint="eastAsia"/>
          <w:b/>
          <w:bCs/>
          <w:lang w:val="zh-CN"/>
        </w:rPr>
        <w:t>党委委员、纪委书记：</w:t>
      </w:r>
      <w:r>
        <w:rPr>
          <w:rFonts w:hint="eastAsia"/>
          <w:lang w:val="zh-CN"/>
        </w:rPr>
        <w:t>唐元香</w:t>
      </w:r>
    </w:p>
    <w:p w14:paraId="36514B6E">
      <w:pPr>
        <w:pStyle w:val="11"/>
        <w:bidi w:val="0"/>
        <w:rPr>
          <w:rFonts w:hint="eastAsia"/>
          <w:lang w:val="zh-CN"/>
        </w:rPr>
      </w:pPr>
      <w:r>
        <w:rPr>
          <w:rFonts w:hint="eastAsia"/>
          <w:b/>
          <w:bCs/>
          <w:lang w:val="zh-CN"/>
        </w:rPr>
        <w:t>党委组织委员：</w:t>
      </w:r>
      <w:r>
        <w:rPr>
          <w:rFonts w:hint="eastAsia"/>
          <w:lang w:val="zh-CN"/>
        </w:rPr>
        <w:t>钟健华</w:t>
      </w:r>
    </w:p>
    <w:p w14:paraId="31E3EE71">
      <w:pPr>
        <w:pStyle w:val="11"/>
        <w:bidi w:val="0"/>
        <w:rPr>
          <w:rFonts w:hint="eastAsia"/>
          <w:lang w:val="zh-CN"/>
        </w:rPr>
      </w:pPr>
      <w:r>
        <w:rPr>
          <w:rFonts w:hint="eastAsia"/>
          <w:b/>
          <w:bCs/>
          <w:lang w:val="zh-CN"/>
        </w:rPr>
        <w:t>党委宣传委员：</w:t>
      </w:r>
      <w:r>
        <w:rPr>
          <w:rFonts w:hint="eastAsia"/>
          <w:lang w:val="zh-CN"/>
        </w:rPr>
        <w:t>徐</w:t>
      </w:r>
      <w:r>
        <w:rPr>
          <w:rFonts w:hint="eastAsia"/>
          <w:lang w:val="en-US" w:eastAsia="zh-CN"/>
        </w:rPr>
        <w:t xml:space="preserve">  </w:t>
      </w:r>
      <w:r>
        <w:rPr>
          <w:rFonts w:hint="eastAsia"/>
          <w:lang w:val="zh-CN"/>
        </w:rPr>
        <w:t>帆</w:t>
      </w:r>
    </w:p>
    <w:p w14:paraId="1CF8FBFF">
      <w:pPr>
        <w:pStyle w:val="11"/>
        <w:bidi w:val="0"/>
        <w:rPr>
          <w:rFonts w:hint="eastAsia"/>
          <w:lang w:val="zh-CN"/>
        </w:rPr>
      </w:pPr>
      <w:r>
        <w:rPr>
          <w:rFonts w:hint="eastAsia"/>
          <w:b/>
          <w:bCs/>
          <w:lang w:val="zh-CN"/>
        </w:rPr>
        <w:t>党委委员、武装部部长：</w:t>
      </w:r>
      <w:r>
        <w:rPr>
          <w:rFonts w:hint="eastAsia"/>
          <w:lang w:val="zh-CN"/>
        </w:rPr>
        <w:t>张</w:t>
      </w:r>
      <w:r>
        <w:rPr>
          <w:rFonts w:hint="eastAsia"/>
          <w:lang w:val="en-US" w:eastAsia="zh-CN"/>
        </w:rPr>
        <w:t xml:space="preserve">  </w:t>
      </w:r>
      <w:r>
        <w:rPr>
          <w:rFonts w:hint="eastAsia"/>
          <w:lang w:val="zh-CN"/>
        </w:rPr>
        <w:t>春</w:t>
      </w:r>
    </w:p>
    <w:p w14:paraId="22E37A25">
      <w:pPr>
        <w:pStyle w:val="11"/>
        <w:bidi w:val="0"/>
        <w:rPr>
          <w:rFonts w:hint="eastAsia"/>
          <w:lang w:val="zh-CN"/>
        </w:rPr>
      </w:pPr>
      <w:r>
        <w:rPr>
          <w:rFonts w:hint="eastAsia"/>
          <w:b/>
          <w:bCs/>
          <w:lang w:val="zh-CN"/>
        </w:rPr>
        <w:t>党委委员、副镇长：</w:t>
      </w:r>
      <w:r>
        <w:rPr>
          <w:rFonts w:hint="eastAsia"/>
          <w:lang w:val="zh-CN"/>
        </w:rPr>
        <w:t>陈永春</w:t>
      </w:r>
    </w:p>
    <w:p w14:paraId="7C21B620">
      <w:pPr>
        <w:pStyle w:val="11"/>
        <w:bidi w:val="0"/>
        <w:rPr>
          <w:rFonts w:hint="eastAsia"/>
          <w:lang w:val="zh-CN"/>
        </w:rPr>
      </w:pPr>
      <w:r>
        <w:rPr>
          <w:rFonts w:hint="eastAsia"/>
          <w:b/>
          <w:bCs/>
          <w:lang w:val="zh-CN"/>
        </w:rPr>
        <w:t>副镇长：</w:t>
      </w:r>
      <w:r>
        <w:rPr>
          <w:rFonts w:hint="eastAsia"/>
          <w:lang w:val="zh-CN"/>
        </w:rPr>
        <w:t>张振云</w:t>
      </w:r>
      <w:r>
        <w:rPr>
          <w:rFonts w:hint="eastAsia"/>
          <w:lang w:val="en-US" w:eastAsia="zh-CN"/>
        </w:rPr>
        <w:t xml:space="preserve">   </w:t>
      </w:r>
      <w:r>
        <w:rPr>
          <w:rFonts w:hint="eastAsia"/>
          <w:lang w:val="zh-CN"/>
        </w:rPr>
        <w:t>周锦春</w:t>
      </w:r>
    </w:p>
    <w:p w14:paraId="6349D466">
      <w:pPr>
        <w:pStyle w:val="11"/>
        <w:bidi w:val="0"/>
        <w:ind w:leftChars="400"/>
        <w:rPr>
          <w:rFonts w:hint="eastAsia"/>
          <w:lang w:val="zh-CN"/>
        </w:rPr>
      </w:pPr>
      <w:r>
        <w:rPr>
          <w:rFonts w:hint="eastAsia"/>
          <w:lang w:val="zh-CN"/>
        </w:rPr>
        <w:t>朱金山</w:t>
      </w:r>
    </w:p>
    <w:p w14:paraId="2A2BCA27">
      <w:pPr>
        <w:pStyle w:val="3"/>
        <w:bidi w:val="0"/>
        <w:rPr>
          <w:rFonts w:hint="eastAsia"/>
          <w:lang w:val="zh-CN"/>
        </w:rPr>
      </w:pPr>
      <w:r>
        <w:rPr>
          <w:rFonts w:hint="eastAsia"/>
          <w:lang w:val="zh-CN"/>
        </w:rPr>
        <w:t>古市镇</w:t>
      </w:r>
    </w:p>
    <w:p w14:paraId="014BB7CF">
      <w:pPr>
        <w:pStyle w:val="4"/>
        <w:bidi w:val="0"/>
        <w:rPr>
          <w:rFonts w:hint="eastAsia"/>
          <w:lang w:val="zh-CN"/>
        </w:rPr>
      </w:pPr>
      <w:r>
        <w:rPr>
          <w:rFonts w:hint="eastAsia"/>
          <w:lang w:val="zh-CN"/>
        </w:rPr>
        <w:t>【概况】</w:t>
      </w:r>
    </w:p>
    <w:p w14:paraId="522B18AF">
      <w:pPr>
        <w:bidi w:val="0"/>
        <w:rPr>
          <w:rFonts w:hint="eastAsia"/>
          <w:lang w:val="zh-CN"/>
        </w:rPr>
      </w:pPr>
      <w:r>
        <w:rPr>
          <w:rFonts w:hint="eastAsia"/>
          <w:lang w:val="zh-CN"/>
        </w:rPr>
        <w:t>古市镇位于南雄市南部，左邻主田，南与始兴交接，北与全安、雄州交接，距市区10千米，素有“南雄南大门”之称。明代属知劝乡修仁二都。咸丰四年（1854）改都为约。民国17年（1928）属保洁乡。中华人民共和国成立后属第六区。1958年先后属先锋人民公社、城郊人民公社，1962年成立古市人民公社，1984年改为区，1986年改为镇，沿用至今。交通较为发达，国道323线、韶赣高速公路、韶赣铁路穿镇而过，实现村村通水泥公路。辖8个村委会和1个社区居委会，123个村小组，2018年户籍人口2.19万人，其中农业人口2.07万人，城镇化人口1161人。总面积100.4平方千米，其中耕地面积1695.93公顷，林地面积5614公顷。经济产业以农业为主，主要以种植黄烟、水稻、花生为主，是南雄黄烟生产大镇，是广东省黄烟特色专业镇。主要经济林木有橘、毛竹，用材林有马尾松、杉树、樟树等。境内水资源丰富，建水电站9座，装机容量4465千瓦。2018年被南雄市人民武装部评为征兵工作先进单位，武装工作全优单位。</w:t>
      </w:r>
    </w:p>
    <w:p w14:paraId="6055703C">
      <w:pPr>
        <w:pStyle w:val="4"/>
        <w:bidi w:val="0"/>
        <w:rPr>
          <w:rFonts w:hint="eastAsia"/>
          <w:lang w:val="zh-CN"/>
        </w:rPr>
      </w:pPr>
      <w:r>
        <w:rPr>
          <w:rFonts w:hint="eastAsia"/>
          <w:lang w:val="zh-CN"/>
        </w:rPr>
        <w:t>【经济发展】</w:t>
      </w:r>
    </w:p>
    <w:p w14:paraId="5154D1EE">
      <w:pPr>
        <w:bidi w:val="0"/>
        <w:rPr>
          <w:rFonts w:hint="eastAsia"/>
          <w:lang w:val="zh-CN"/>
        </w:rPr>
      </w:pPr>
      <w:r>
        <w:rPr>
          <w:rFonts w:hint="eastAsia"/>
          <w:lang w:val="zh-CN"/>
        </w:rPr>
        <w:t>2018年全镇实现农村经济总收入5.2亿元，同比增长4%；农民人均可支配收入1.56万元，同比增长3%。农业经济稳健增长，签订烟叶种植合同面积338.27公顷，完成收购705吨，收购均价12.71元。粮食作物实现增收，全年粮食种植面积3666.67公顷，其中优质稻种植面积1666.67公顷。畜牧产业健康发展。各项免疫率达到100%，2018年，全镇生猪存栏1.26头，牛存栏76头，羊存栏348头，禽类存栏3.1万羽。加快培育新型经营主体和种养大户，培育40亩以上黄烟种植大户27户，40亩以上的优质稻种植大户40户，100亩以上的优质稻种植大户4户。全镇农业专业合作社57家，家庭农场6家，其中被评为韶关市示范农场1家。</w:t>
      </w:r>
    </w:p>
    <w:p w14:paraId="25FFF99B">
      <w:pPr>
        <w:pStyle w:val="4"/>
        <w:bidi w:val="0"/>
        <w:rPr>
          <w:rFonts w:hint="eastAsia"/>
          <w:lang w:val="zh-CN"/>
        </w:rPr>
      </w:pPr>
      <w:r>
        <w:rPr>
          <w:rFonts w:hint="eastAsia"/>
          <w:lang w:val="zh-CN"/>
        </w:rPr>
        <w:t>【重点项目】</w:t>
      </w:r>
    </w:p>
    <w:p w14:paraId="4009E7B3">
      <w:pPr>
        <w:bidi w:val="0"/>
        <w:rPr>
          <w:rFonts w:hint="eastAsia"/>
          <w:lang w:val="zh-CN"/>
        </w:rPr>
      </w:pPr>
      <w:r>
        <w:rPr>
          <w:rFonts w:hint="eastAsia"/>
          <w:lang w:val="zh-CN"/>
        </w:rPr>
        <w:t>总投资8968万元的古市镇溪口村垦造水田项目，项目建设规模144.37公顷，预计可新增水田面积105.34公顷，项目地形地貌以丘陵为主，海拔高程在115米—167米。项目区的灌溉用水主要来源于降雨、溪口河和瀑布河。灌溉主要靠提灌溪口河水和瀑布水的方式进行灌溉，天然降雨只作为灌溉补充，是南雄市重点项目之一。</w:t>
      </w:r>
    </w:p>
    <w:p w14:paraId="57C702A1">
      <w:pPr>
        <w:pStyle w:val="4"/>
        <w:bidi w:val="0"/>
        <w:rPr>
          <w:rFonts w:hint="eastAsia"/>
          <w:lang w:val="zh-CN"/>
        </w:rPr>
      </w:pPr>
      <w:r>
        <w:rPr>
          <w:rFonts w:hint="eastAsia"/>
          <w:lang w:val="zh-CN"/>
        </w:rPr>
        <w:t>【特色农业】</w:t>
      </w:r>
    </w:p>
    <w:p w14:paraId="4812A0A2">
      <w:pPr>
        <w:bidi w:val="0"/>
        <w:rPr>
          <w:rFonts w:hint="eastAsia"/>
          <w:lang w:val="zh-CN"/>
        </w:rPr>
      </w:pPr>
      <w:r>
        <w:rPr>
          <w:rFonts w:hint="eastAsia"/>
          <w:lang w:val="zh-CN"/>
        </w:rPr>
        <w:t>建设白莲观赏采摘园项目，位于修仁、古市、丹布、丰源4个村，项目投资1200万元，种植面积66.67公顷，推动形成特色农业产业生产与休闲观光旅游相结合。修仁村发展小龙虾养殖，建设小龙虾养殖基地10公顷；溪口村金溪沿种养专业合作社种植中药材人参娃儿藤（俗称土人参），总投资500万元，种植面积16.67公顷，村民每亩每年保底收入4000元；三角岭村油茶种植面积26.67公顷；柴岭村种植三华李20公顷等。</w:t>
      </w:r>
    </w:p>
    <w:p w14:paraId="73E08FE4">
      <w:pPr>
        <w:pStyle w:val="4"/>
        <w:bidi w:val="0"/>
        <w:rPr>
          <w:rFonts w:hint="eastAsia"/>
          <w:lang w:val="zh-CN"/>
        </w:rPr>
      </w:pPr>
      <w:r>
        <w:rPr>
          <w:rFonts w:hint="eastAsia"/>
          <w:lang w:val="zh-CN"/>
        </w:rPr>
        <w:t>【基础设施】</w:t>
      </w:r>
    </w:p>
    <w:p w14:paraId="7641BFFD">
      <w:pPr>
        <w:bidi w:val="0"/>
        <w:rPr>
          <w:rFonts w:hint="eastAsia"/>
          <w:lang w:val="zh-CN"/>
        </w:rPr>
      </w:pPr>
      <w:r>
        <w:rPr>
          <w:rFonts w:hint="eastAsia"/>
          <w:lang w:val="zh-CN"/>
        </w:rPr>
        <w:t>投入资金2400万元，建设古市镇污水处理厂，完成征地工作，完成墟镇内50%污水处理设施管道铺设。投入资金350万元，完成国道323线从与始兴交界处至溪口路段全面绿化美化。投入资金108万元，完成丹布长坑坝至修仁和墟镇至林业站3.95千米道路建设。投资112.9万元，完成柴岭乡道窄路面5.1千米拓宽改造工程，便于村民出行。投入资金30万元，对古市敬老院进行全面提升整改，完善敬老院的各项设施和服务。</w:t>
      </w:r>
    </w:p>
    <w:p w14:paraId="3D9E2BA0">
      <w:pPr>
        <w:pStyle w:val="4"/>
        <w:bidi w:val="0"/>
        <w:rPr>
          <w:rFonts w:hint="eastAsia"/>
          <w:lang w:val="zh-CN"/>
        </w:rPr>
      </w:pPr>
      <w:r>
        <w:rPr>
          <w:rFonts w:hint="eastAsia"/>
          <w:lang w:val="zh-CN"/>
        </w:rPr>
        <w:t>【新农村建设】</w:t>
      </w:r>
    </w:p>
    <w:p w14:paraId="4AB95EA1">
      <w:pPr>
        <w:bidi w:val="0"/>
        <w:rPr>
          <w:rFonts w:hint="eastAsia"/>
          <w:lang w:val="zh-CN"/>
        </w:rPr>
      </w:pPr>
      <w:r>
        <w:rPr>
          <w:rFonts w:hint="eastAsia"/>
          <w:lang w:val="zh-CN"/>
        </w:rPr>
        <w:t>全面铺开“三清三拆”工作，2018年累计完成193条乱堆乱放的村巷道清理，面积达1.9万余平方米；清理房前屋后杂草杂物、积存垃圾46.4吨；清理沟渠池塘溪河淤泥、漂浮物和障碍物53处；拆除危旧房、废旧猪牛栏及露天厕所1344间，共计5.2万余平方米。启动新农村建设的村小组26个，其中进场开工建设的有24个，进场率为92%，其中完工24个，完工率为92%。完成村道、庭院及房前屋后美化绿化3.31万余平方米；村内道路硬化30.4千米；建设垃圾收集点59处；铺设暗渠化管道6.5千米；铺设雨污分离管网8.8千米；修建污水处理设施23座；配套建设标准公厕4座；完成村庄卫生改厕7间；房屋外立面整治96间2万余平方米；修建休闲广场2个；村容村貌得到极大改善。丰源、丹布两个省定贫困村全面完成“三清三拆三整治”，生态宜居村建设基本完工。丰源村被列为南雄市三个精品路线村之一，争取建设资金2000万元，2018年建设初步框架。</w:t>
      </w:r>
    </w:p>
    <w:p w14:paraId="772CFD2B">
      <w:pPr>
        <w:pStyle w:val="4"/>
        <w:bidi w:val="0"/>
        <w:rPr>
          <w:rFonts w:hint="eastAsia"/>
          <w:lang w:val="zh-CN"/>
        </w:rPr>
      </w:pPr>
      <w:r>
        <w:rPr>
          <w:rFonts w:hint="eastAsia"/>
          <w:lang w:val="zh-CN"/>
        </w:rPr>
        <w:t>【精准扶贫】</w:t>
      </w:r>
    </w:p>
    <w:p w14:paraId="17991B3A">
      <w:pPr>
        <w:bidi w:val="0"/>
        <w:rPr>
          <w:rFonts w:hint="eastAsia"/>
          <w:lang w:val="zh-CN"/>
        </w:rPr>
      </w:pPr>
      <w:r>
        <w:rPr>
          <w:rFonts w:hint="eastAsia"/>
          <w:lang w:val="zh-CN"/>
        </w:rPr>
        <w:t>全镇相对贫困户276户754人，2018年贫困户人居可支配收入1.02万元，同比增长24.39%。实现273户741人脱贫。丰源、丹布两个省定贫困村2018年人均可支配收入达到1.34万元，同比增长22.07%。投资163万元的343亩土人参、百香果等扶贫产业项目建成，实现村集体经济增收20余万元；统筹入股浈江光伏发电项目投资211万元，实现收益16.88万元。三年完成95户农村危旧房改造任务，2018年落实教育补助125人，贫困人口100%纳入医疗保障体系。“以奖代补”政策落实率同比增长37.8%。</w:t>
      </w:r>
    </w:p>
    <w:p w14:paraId="5C7A0D1B">
      <w:pPr>
        <w:pStyle w:val="4"/>
        <w:bidi w:val="0"/>
        <w:rPr>
          <w:rFonts w:hint="eastAsia"/>
          <w:lang w:val="zh-CN"/>
        </w:rPr>
      </w:pPr>
      <w:r>
        <w:rPr>
          <w:rFonts w:hint="eastAsia"/>
          <w:lang w:val="zh-CN"/>
        </w:rPr>
        <w:t>【民生事业】</w:t>
      </w:r>
    </w:p>
    <w:p w14:paraId="41D71475">
      <w:pPr>
        <w:bidi w:val="0"/>
        <w:rPr>
          <w:rFonts w:hint="eastAsia"/>
          <w:lang w:val="zh-CN"/>
        </w:rPr>
      </w:pPr>
      <w:r>
        <w:rPr>
          <w:rFonts w:hint="eastAsia"/>
          <w:lang w:val="zh-CN"/>
        </w:rPr>
        <w:t>全力开展救灾救济工作，为贫困群众发放夏荒救济大米1.4万斤。做好残疾事业，古市镇有办证残疾人510人，享受残疾人护理补贴224人，生活补贴157人。全年办理医疗救助507人次，救助金额近28万元。南雄市第三小学、古市中心幼儿园新校园建成投入使用，提高古市镇办学质量，增加学生学位。完成4个公建民营村级卫生站建设。实现8个行政村1个社区基层综合性文化服务中心全覆盖，文化阵地进一步拓展。</w:t>
      </w:r>
    </w:p>
    <w:p w14:paraId="4BA05CEA">
      <w:pPr>
        <w:pStyle w:val="4"/>
        <w:bidi w:val="0"/>
        <w:rPr>
          <w:rFonts w:hint="eastAsia"/>
          <w:lang w:val="zh-CN"/>
        </w:rPr>
      </w:pPr>
      <w:r>
        <w:rPr>
          <w:rFonts w:hint="eastAsia"/>
          <w:lang w:val="zh-CN"/>
        </w:rPr>
        <w:t>【社会事业】</w:t>
      </w:r>
    </w:p>
    <w:p w14:paraId="7374CD8D">
      <w:pPr>
        <w:bidi w:val="0"/>
        <w:rPr>
          <w:rFonts w:hint="eastAsia"/>
          <w:lang w:val="zh-CN"/>
        </w:rPr>
      </w:pPr>
      <w:r>
        <w:rPr>
          <w:rFonts w:hint="eastAsia"/>
          <w:lang w:val="zh-CN"/>
        </w:rPr>
        <w:t>完成2126.67公顷农村土地承包经营权确权登记颁证工作。国土资源动态巡查工作有序开展，2018年制止25宗非法占地建房行为。林业生态得到有效保障，全年完成植树造林66.67公顷，完成生态公益林补偿金发放114万元。</w:t>
      </w:r>
    </w:p>
    <w:p w14:paraId="7E92FFE1">
      <w:pPr>
        <w:pStyle w:val="4"/>
        <w:bidi w:val="0"/>
        <w:rPr>
          <w:rFonts w:hint="eastAsia"/>
          <w:lang w:val="zh-CN"/>
        </w:rPr>
      </w:pPr>
      <w:r>
        <w:rPr>
          <w:rFonts w:hint="eastAsia"/>
          <w:lang w:val="zh-CN"/>
        </w:rPr>
        <w:t>【党建工作】</w:t>
      </w:r>
    </w:p>
    <w:p w14:paraId="3206037A">
      <w:pPr>
        <w:bidi w:val="0"/>
        <w:rPr>
          <w:rFonts w:hint="eastAsia"/>
          <w:lang w:val="zh-CN"/>
        </w:rPr>
      </w:pPr>
      <w:r>
        <w:rPr>
          <w:rFonts w:hint="eastAsia"/>
          <w:lang w:val="zh-CN"/>
        </w:rPr>
        <w:t>基层党组织设置进一步优化。新成立18个党支部，66个党小组，全镇9个村（社区）“党群服务中心”挂牌成立。</w:t>
      </w:r>
    </w:p>
    <w:p w14:paraId="55FDFD97">
      <w:pPr>
        <w:pStyle w:val="4"/>
        <w:bidi w:val="0"/>
        <w:rPr>
          <w:rFonts w:hint="eastAsia"/>
          <w:lang w:val="zh-CN"/>
        </w:rPr>
      </w:pPr>
      <w:r>
        <w:rPr>
          <w:rFonts w:hint="eastAsia"/>
          <w:lang w:val="zh-CN"/>
        </w:rPr>
        <w:t>【各村委会（社区）基本情况】</w:t>
      </w:r>
    </w:p>
    <w:p w14:paraId="2DF641E5">
      <w:pPr>
        <w:bidi w:val="0"/>
        <w:rPr>
          <w:rFonts w:hint="eastAsia"/>
          <w:lang w:val="zh-CN"/>
        </w:rPr>
      </w:pPr>
      <w:r>
        <w:rPr>
          <w:rFonts w:hint="eastAsia"/>
          <w:b/>
          <w:bCs/>
          <w:lang w:val="zh-CN"/>
        </w:rPr>
        <w:t>古市村</w:t>
      </w:r>
      <w:r>
        <w:rPr>
          <w:rFonts w:hint="eastAsia"/>
          <w:b/>
          <w:bCs/>
          <w:lang w:val="en-US" w:eastAsia="zh-CN"/>
        </w:rPr>
        <w:t xml:space="preserve">   </w:t>
      </w:r>
      <w:r>
        <w:rPr>
          <w:rFonts w:hint="eastAsia"/>
          <w:lang w:val="zh-CN"/>
        </w:rPr>
        <w:t>距离镇政府约2千米。辖区31个村小组，861户3840人，常住人口2271人，劳动力总数为2235人。耕地面积362.8公顷。主要农作物有黄烟、水稻、花生、番薯。主要牲畜为鸡、鸭、猪、牛。</w:t>
      </w:r>
    </w:p>
    <w:p w14:paraId="13EB73FB">
      <w:pPr>
        <w:bidi w:val="0"/>
        <w:rPr>
          <w:rFonts w:hint="eastAsia"/>
          <w:lang w:val="zh-CN"/>
        </w:rPr>
      </w:pPr>
      <w:r>
        <w:rPr>
          <w:rFonts w:hint="eastAsia"/>
          <w:b/>
          <w:bCs/>
          <w:lang w:val="zh-CN"/>
        </w:rPr>
        <w:t>丹布村</w:t>
      </w:r>
      <w:r>
        <w:rPr>
          <w:rFonts w:hint="eastAsia"/>
          <w:b/>
          <w:bCs/>
          <w:lang w:val="en-US" w:eastAsia="zh-CN"/>
        </w:rPr>
        <w:t xml:space="preserve">   </w:t>
      </w:r>
      <w:r>
        <w:rPr>
          <w:rFonts w:hint="eastAsia"/>
          <w:lang w:val="zh-CN"/>
        </w:rPr>
        <w:t>是新时期精准扶贫精准脱贫省定重点贫困村，由东莞市企石镇人民政府和韶关市教育局共同帮扶。丹布村为政府驻地，原称为古录墟，本地区解放后改为古市墟，但坊间仍称古录墟。辖区15个村小组，529户2614人，常住人口1591人，其中劳动力总数为1516人。耕地面积247.6公顷。主要农作物有黄烟、水稻、花生、番薯。主要牲畜为鸡、鸭、猪、牛。</w:t>
      </w:r>
    </w:p>
    <w:p w14:paraId="22737DAC">
      <w:pPr>
        <w:bidi w:val="0"/>
        <w:rPr>
          <w:rFonts w:hint="eastAsia"/>
          <w:lang w:val="zh-CN"/>
        </w:rPr>
      </w:pPr>
      <w:r>
        <w:rPr>
          <w:rFonts w:hint="eastAsia"/>
          <w:b/>
          <w:bCs/>
          <w:lang w:val="zh-CN"/>
        </w:rPr>
        <w:t>溪口村</w:t>
      </w:r>
      <w:r>
        <w:rPr>
          <w:rFonts w:hint="eastAsia"/>
          <w:b/>
          <w:bCs/>
          <w:lang w:val="en-US" w:eastAsia="zh-CN"/>
        </w:rPr>
        <w:t xml:space="preserve">   </w:t>
      </w:r>
      <w:r>
        <w:rPr>
          <w:rFonts w:hint="eastAsia"/>
          <w:lang w:val="zh-CN"/>
        </w:rPr>
        <w:t>有君明公祠、竹苞松茂围楼等古建筑。辖区20个村小组，805户3673人，常住人口2076人，劳动力总数2157人。耕地面积258.67公顷。主要农作物有黄烟、水稻、花生、番薯。主要牲畜为鸡、鸭、猪、牛。</w:t>
      </w:r>
    </w:p>
    <w:p w14:paraId="6AE4D434">
      <w:pPr>
        <w:bidi w:val="0"/>
        <w:rPr>
          <w:rFonts w:hint="eastAsia"/>
          <w:lang w:val="zh-CN"/>
        </w:rPr>
      </w:pPr>
      <w:r>
        <w:rPr>
          <w:rFonts w:hint="eastAsia"/>
          <w:b/>
          <w:bCs/>
          <w:lang w:val="zh-CN"/>
        </w:rPr>
        <w:t>修仁村</w:t>
      </w:r>
      <w:r>
        <w:rPr>
          <w:rFonts w:hint="eastAsia"/>
          <w:b/>
          <w:bCs/>
          <w:lang w:val="en-US" w:eastAsia="zh-CN"/>
        </w:rPr>
        <w:t xml:space="preserve">   </w:t>
      </w:r>
      <w:r>
        <w:rPr>
          <w:rFonts w:hint="eastAsia"/>
          <w:lang w:val="zh-CN"/>
        </w:rPr>
        <w:t>原称芙蓉村，相传西汉武帝建元年间就有这个村落。唐德宗贞元十九年（803），大文学家韩愈贬谪阳山县令经过该村，留下“富裕平和清秀地，修仁昌义崇礼乡”赞联书赠乡绅。古时修仁村陶瓷生产远近闻名。有古建筑永乐太平围楼、什柴村古井等。辖区14个村小组，703户3136人，常住人口2091人，劳动力总数为1726人。耕地面积183.33公顷。主要农作物有黄烟、水稻、花生、番薯。主要牲畜为鸡、鸭、猪、牛。</w:t>
      </w:r>
    </w:p>
    <w:p w14:paraId="4B2120BD">
      <w:pPr>
        <w:bidi w:val="0"/>
        <w:rPr>
          <w:rFonts w:hint="eastAsia"/>
          <w:lang w:val="zh-CN"/>
        </w:rPr>
      </w:pPr>
      <w:r>
        <w:rPr>
          <w:rFonts w:hint="eastAsia"/>
          <w:b/>
          <w:bCs/>
          <w:lang w:val="zh-CN"/>
        </w:rPr>
        <w:t>丰源村</w:t>
      </w:r>
      <w:r>
        <w:rPr>
          <w:rFonts w:hint="eastAsia"/>
          <w:b/>
          <w:bCs/>
          <w:lang w:val="en-US" w:eastAsia="zh-CN"/>
        </w:rPr>
        <w:t xml:space="preserve">   </w:t>
      </w:r>
      <w:r>
        <w:rPr>
          <w:rFonts w:hint="eastAsia"/>
          <w:lang w:val="zh-CN"/>
        </w:rPr>
        <w:t>是新时期精准扶贫精准脱贫省定重点贫困村，由东莞市企石镇人民政府和韶关市住建局共同帮扶。辖区14个村小组，635户2960人，常住人口1860人，劳动力总数为1682人。耕地面积173.33公顷。主要农作物有黄烟、水稻、花生、番薯。主要牲畜为鸡、鸭、猪、牛。</w:t>
      </w:r>
    </w:p>
    <w:p w14:paraId="7575A902">
      <w:pPr>
        <w:bidi w:val="0"/>
        <w:rPr>
          <w:rFonts w:hint="eastAsia"/>
          <w:lang w:val="zh-CN"/>
        </w:rPr>
      </w:pPr>
      <w:r>
        <w:rPr>
          <w:rFonts w:hint="eastAsia"/>
          <w:b/>
          <w:bCs/>
          <w:lang w:val="zh-CN"/>
        </w:rPr>
        <w:t>柴岭村</w:t>
      </w:r>
      <w:r>
        <w:rPr>
          <w:rFonts w:hint="eastAsia"/>
          <w:b/>
          <w:bCs/>
          <w:lang w:val="en-US" w:eastAsia="zh-CN"/>
        </w:rPr>
        <w:t xml:space="preserve">   </w:t>
      </w:r>
      <w:r>
        <w:rPr>
          <w:rFonts w:hint="eastAsia"/>
          <w:lang w:val="zh-CN"/>
        </w:rPr>
        <w:t>距离镇政府约6千米。辖区13个村小组，352户1649人，常住人口981人，劳动力总数为913人。耕地面积178.4公顷。主要农作物有黄烟、水稻、花生、番薯。主要牲畜为鸡、鸭、猪、牛。</w:t>
      </w:r>
    </w:p>
    <w:p w14:paraId="4061B660">
      <w:pPr>
        <w:bidi w:val="0"/>
        <w:rPr>
          <w:rFonts w:hint="eastAsia"/>
          <w:lang w:val="zh-CN"/>
        </w:rPr>
      </w:pPr>
      <w:r>
        <w:rPr>
          <w:rFonts w:hint="eastAsia"/>
          <w:b/>
          <w:bCs/>
          <w:lang w:val="zh-CN"/>
        </w:rPr>
        <w:t>小坑村</w:t>
      </w:r>
      <w:r>
        <w:rPr>
          <w:rFonts w:hint="eastAsia"/>
          <w:b/>
          <w:bCs/>
          <w:lang w:val="en-US" w:eastAsia="zh-CN"/>
        </w:rPr>
        <w:t xml:space="preserve">   </w:t>
      </w:r>
      <w:r>
        <w:rPr>
          <w:rFonts w:hint="eastAsia"/>
          <w:lang w:val="zh-CN"/>
        </w:rPr>
        <w:t>距离镇政府约17千米。辖区11个村小组，335户1548人，常住人口734人，劳动力总数为863人。耕地面积166.67公顷。主要农作物有黄烟、水稻、花生、番薯。主要牲畜为鸡、鸭、猪、牛。</w:t>
      </w:r>
    </w:p>
    <w:p w14:paraId="093A75A0">
      <w:pPr>
        <w:bidi w:val="0"/>
        <w:rPr>
          <w:rFonts w:hint="eastAsia"/>
          <w:lang w:val="zh-CN"/>
        </w:rPr>
      </w:pPr>
      <w:r>
        <w:rPr>
          <w:rFonts w:hint="eastAsia"/>
          <w:b/>
          <w:bCs/>
          <w:lang w:val="zh-CN"/>
        </w:rPr>
        <w:t>三角岭村</w:t>
      </w:r>
      <w:r>
        <w:rPr>
          <w:rFonts w:hint="eastAsia"/>
          <w:b/>
          <w:bCs/>
          <w:lang w:val="en-US" w:eastAsia="zh-CN"/>
        </w:rPr>
        <w:t xml:space="preserve">   </w:t>
      </w:r>
      <w:r>
        <w:rPr>
          <w:rFonts w:hint="eastAsia"/>
          <w:lang w:val="zh-CN"/>
        </w:rPr>
        <w:t>距离镇政府约15千米。辖区5个村小组，205户921人，其中劳动力总数为545人。耕地面积125.13公顷。主要农作物有黄烟、水稻、花生、番薯。主要牲畜为鸡、鸭、猪、牛。</w:t>
      </w:r>
    </w:p>
    <w:p w14:paraId="0DF613A9">
      <w:pPr>
        <w:bidi w:val="0"/>
        <w:rPr>
          <w:rFonts w:hint="eastAsia"/>
          <w:lang w:val="zh-CN"/>
        </w:rPr>
      </w:pPr>
      <w:r>
        <w:rPr>
          <w:rFonts w:hint="eastAsia"/>
          <w:b/>
          <w:bCs/>
          <w:lang w:val="zh-CN"/>
        </w:rPr>
        <w:t>社区居委会古市社区居委会成立于</w:t>
      </w:r>
      <w:r>
        <w:rPr>
          <w:rFonts w:hint="eastAsia"/>
          <w:b/>
          <w:bCs/>
          <w:lang w:val="en-US" w:eastAsia="zh-CN"/>
        </w:rPr>
        <w:t xml:space="preserve">   </w:t>
      </w:r>
      <w:r>
        <w:rPr>
          <w:rFonts w:hint="eastAsia"/>
          <w:lang w:val="zh-CN"/>
        </w:rPr>
        <w:t>1987年，户籍人口487户1315人，常住人口582人。社区紧靠新老G323国道，地理位置优越，社区内有综合大市场一座，逢3、6、9为墟镇日，是古市镇重要的农产品和商品集散地</w:t>
      </w:r>
      <w:r>
        <w:rPr>
          <w:rFonts w:hint="eastAsia"/>
          <w:b w:val="0"/>
          <w:bCs w:val="0"/>
          <w:lang w:val="zh-CN"/>
        </w:rPr>
        <w:t>。</w:t>
      </w:r>
      <w:r>
        <w:rPr>
          <w:rFonts w:hint="eastAsia"/>
          <w:b/>
          <w:bCs/>
          <w:lang w:val="zh-CN"/>
        </w:rPr>
        <w:t>（施金威）</w:t>
      </w:r>
    </w:p>
    <w:p w14:paraId="16A2C8F8">
      <w:pPr>
        <w:bidi w:val="0"/>
        <w:rPr>
          <w:rFonts w:hint="eastAsia"/>
          <w:lang w:val="zh-CN"/>
        </w:rPr>
      </w:pPr>
      <w:r>
        <w:rPr>
          <w:rFonts w:hint="eastAsia"/>
          <w:b/>
          <w:bCs/>
          <w:lang w:val="zh-CN"/>
        </w:rPr>
        <w:t>南雄市第三小学和古市镇中心幼儿园新校园启用</w:t>
      </w:r>
      <w:r>
        <w:rPr>
          <w:rFonts w:hint="eastAsia"/>
          <w:b/>
          <w:bCs/>
          <w:lang w:val="en-US" w:eastAsia="zh-CN"/>
        </w:rPr>
        <w:t xml:space="preserve">   </w:t>
      </w:r>
      <w:r>
        <w:rPr>
          <w:rFonts w:hint="eastAsia"/>
          <w:lang w:val="zh-CN"/>
        </w:rPr>
        <w:t>6月1日，古市镇举行南雄市第三小学和古市镇中心幼儿园启用仪式。为合理配置教育资源，促进城乡一体化发展，2016年南雄市启动古市镇中心小学搬迁建设及中心幼儿园建设。项目总投资约7300万元，小学规划总占地面积2.67万平方米，建筑总面积5287平方米；幼儿园规划总占地面积3700平方米，建筑总面积1882平方米。2017年10月竣工，2018年春季开学启用。古市镇中心小学更名为南雄市第三小学，是一所能容纳12个班600名学生的现代化小学。新建的古市镇中心幼儿园能容纳9个班300名幼儿。第三小学的异地新建，不仅优化南雄市义务教育资源结构，解决古市镇教育基础薄弱、校舍不足、教学设施落后等问题，还建立由教学点到中心小学的教育体系，是南雄市新时代实施乡村振兴战略的重要内容之一，推动全市教育事业健康发展。</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F623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D497735">
            <w:pPr>
              <w:bidi w:val="0"/>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8710" cy="4040505"/>
                  <wp:effectExtent l="0" t="0" r="2540" b="17145"/>
                  <wp:docPr id="138" name="图片 138" descr="南雄年鉴2019_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南雄年鉴2019_0113"/>
                          <pic:cNvPicPr>
                            <a:picLocks noChangeAspect="1"/>
                          </pic:cNvPicPr>
                        </pic:nvPicPr>
                        <pic:blipFill>
                          <a:blip r:embed="rId125"/>
                          <a:stretch>
                            <a:fillRect/>
                          </a:stretch>
                        </pic:blipFill>
                        <pic:spPr>
                          <a:xfrm>
                            <a:off x="0" y="0"/>
                            <a:ext cx="6188710" cy="4040505"/>
                          </a:xfrm>
                          <a:prstGeom prst="rect">
                            <a:avLst/>
                          </a:prstGeom>
                        </pic:spPr>
                      </pic:pic>
                    </a:graphicData>
                  </a:graphic>
                </wp:inline>
              </w:drawing>
            </w:r>
          </w:p>
        </w:tc>
      </w:tr>
      <w:tr w14:paraId="60E40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4785FAC">
            <w:pPr>
              <w:bidi w:val="0"/>
              <w:rPr>
                <w:vertAlign w:val="baseline"/>
              </w:rPr>
            </w:pPr>
            <w:r>
              <w:rPr>
                <w:rFonts w:hint="eastAsia" w:ascii="FZKTK--GBK1-0" w:hAnsi="FZKTK--GBK1-0" w:eastAsia="FZKTK--GBK1-0"/>
                <w:sz w:val="20"/>
              </w:rPr>
              <w:t>6月1日，举办南雄市第三小学、古市镇中心幼儿园启用仪式，市委书记王碧安（右二）等参加揭幕（古市镇政府</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04D24768">
      <w:pPr>
        <w:bidi w:val="0"/>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0BCE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5BD4B31B">
            <w:pPr>
              <w:bidi w:val="0"/>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8710" cy="4040505"/>
                  <wp:effectExtent l="0" t="0" r="2540" b="17145"/>
                  <wp:docPr id="139" name="图片 139" descr="南雄年鉴2019_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南雄年鉴2019_0114"/>
                          <pic:cNvPicPr>
                            <a:picLocks noChangeAspect="1"/>
                          </pic:cNvPicPr>
                        </pic:nvPicPr>
                        <pic:blipFill>
                          <a:blip r:embed="rId126"/>
                          <a:stretch>
                            <a:fillRect/>
                          </a:stretch>
                        </pic:blipFill>
                        <pic:spPr>
                          <a:xfrm>
                            <a:off x="0" y="0"/>
                            <a:ext cx="6188710" cy="4040505"/>
                          </a:xfrm>
                          <a:prstGeom prst="rect">
                            <a:avLst/>
                          </a:prstGeom>
                        </pic:spPr>
                      </pic:pic>
                    </a:graphicData>
                  </a:graphic>
                </wp:inline>
              </w:drawing>
            </w:r>
          </w:p>
        </w:tc>
      </w:tr>
      <w:tr w14:paraId="1DE03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247FACC">
            <w:pPr>
              <w:bidi w:val="0"/>
              <w:rPr>
                <w:vertAlign w:val="baseline"/>
              </w:rPr>
            </w:pPr>
            <w:r>
              <w:rPr>
                <w:rFonts w:hint="eastAsia" w:ascii="FZKTK--GBK1-0" w:hAnsi="FZKTK--GBK1-0" w:eastAsia="FZKTK--GBK1-0"/>
                <w:sz w:val="20"/>
              </w:rPr>
              <w:t>6月21日，古市镇溪口垦造水田项目召开现场会，南雄市委书记王碧安（右一）参加活动（古市镇政府</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33092632">
      <w:pPr>
        <w:pStyle w:val="11"/>
        <w:bidi w:val="0"/>
        <w:rPr>
          <w:rFonts w:hint="eastAsia"/>
          <w:b/>
          <w:bCs/>
          <w:lang w:val="zh-CN"/>
        </w:rPr>
      </w:pPr>
      <w:r>
        <w:rPr>
          <w:rFonts w:hint="eastAsia"/>
          <w:b/>
          <w:bCs/>
          <w:lang w:val="zh-CN"/>
        </w:rPr>
        <w:t>附：2018年古市镇领导班子成员名单</w:t>
      </w:r>
    </w:p>
    <w:p w14:paraId="71983E14">
      <w:pPr>
        <w:pStyle w:val="11"/>
        <w:bidi w:val="0"/>
        <w:rPr>
          <w:rFonts w:hint="eastAsia"/>
          <w:lang w:val="zh-CN"/>
        </w:rPr>
      </w:pPr>
      <w:r>
        <w:rPr>
          <w:rFonts w:hint="eastAsia"/>
          <w:b/>
          <w:bCs/>
          <w:lang w:val="zh-CN"/>
        </w:rPr>
        <w:t>党委书记：</w:t>
      </w:r>
      <w:r>
        <w:rPr>
          <w:rFonts w:hint="eastAsia"/>
          <w:lang w:val="zh-CN"/>
        </w:rPr>
        <w:t>陈光文</w:t>
      </w:r>
    </w:p>
    <w:p w14:paraId="405B3750">
      <w:pPr>
        <w:pStyle w:val="11"/>
        <w:bidi w:val="0"/>
        <w:rPr>
          <w:rFonts w:hint="eastAsia"/>
          <w:lang w:val="zh-CN"/>
        </w:rPr>
      </w:pPr>
      <w:r>
        <w:rPr>
          <w:rFonts w:hint="eastAsia"/>
          <w:b/>
          <w:bCs/>
          <w:lang w:val="zh-CN"/>
        </w:rPr>
        <w:t>党委副书记、镇长：</w:t>
      </w:r>
      <w:r>
        <w:rPr>
          <w:rFonts w:hint="eastAsia"/>
          <w:lang w:val="zh-CN"/>
        </w:rPr>
        <w:t>夏新坤</w:t>
      </w:r>
    </w:p>
    <w:p w14:paraId="2276E467">
      <w:pPr>
        <w:pStyle w:val="11"/>
        <w:bidi w:val="0"/>
        <w:rPr>
          <w:rFonts w:hint="eastAsia"/>
          <w:lang w:val="zh-CN"/>
        </w:rPr>
      </w:pPr>
      <w:r>
        <w:rPr>
          <w:rFonts w:hint="eastAsia"/>
          <w:b/>
          <w:bCs/>
          <w:lang w:val="zh-CN"/>
        </w:rPr>
        <w:t>人大主席：</w:t>
      </w:r>
      <w:r>
        <w:rPr>
          <w:rFonts w:hint="eastAsia"/>
          <w:lang w:val="zh-CN"/>
        </w:rPr>
        <w:t>王</w:t>
      </w:r>
      <w:r>
        <w:rPr>
          <w:rFonts w:hint="eastAsia"/>
          <w:lang w:val="en-US" w:eastAsia="zh-CN"/>
        </w:rPr>
        <w:t xml:space="preserve">  </w:t>
      </w:r>
      <w:r>
        <w:rPr>
          <w:rFonts w:hint="eastAsia"/>
          <w:lang w:val="zh-CN"/>
        </w:rPr>
        <w:t>静</w:t>
      </w:r>
    </w:p>
    <w:p w14:paraId="0DAFF82F">
      <w:pPr>
        <w:pStyle w:val="11"/>
        <w:bidi w:val="0"/>
        <w:rPr>
          <w:rFonts w:hint="eastAsia"/>
          <w:lang w:val="zh-CN"/>
        </w:rPr>
      </w:pPr>
      <w:r>
        <w:rPr>
          <w:rFonts w:hint="eastAsia"/>
          <w:b/>
          <w:bCs/>
          <w:lang w:val="zh-CN"/>
        </w:rPr>
        <w:t>党委副书记（党建）：</w:t>
      </w:r>
      <w:r>
        <w:rPr>
          <w:rFonts w:hint="eastAsia"/>
          <w:lang w:val="zh-CN"/>
        </w:rPr>
        <w:t>叶永明</w:t>
      </w:r>
    </w:p>
    <w:p w14:paraId="3E176833">
      <w:pPr>
        <w:pStyle w:val="11"/>
        <w:bidi w:val="0"/>
        <w:rPr>
          <w:rFonts w:hint="eastAsia"/>
          <w:lang w:val="zh-CN"/>
        </w:rPr>
      </w:pPr>
      <w:r>
        <w:rPr>
          <w:rFonts w:hint="eastAsia"/>
          <w:b/>
          <w:bCs/>
          <w:lang w:val="zh-CN"/>
        </w:rPr>
        <w:t>党委副书记（综治）：</w:t>
      </w:r>
      <w:r>
        <w:rPr>
          <w:rFonts w:hint="eastAsia"/>
          <w:lang w:val="zh-CN"/>
        </w:rPr>
        <w:t>钟炎山</w:t>
      </w:r>
    </w:p>
    <w:p w14:paraId="76A796FB">
      <w:pPr>
        <w:pStyle w:val="11"/>
        <w:bidi w:val="0"/>
        <w:rPr>
          <w:rFonts w:hint="eastAsia"/>
          <w:lang w:val="zh-CN"/>
        </w:rPr>
      </w:pPr>
      <w:r>
        <w:rPr>
          <w:rFonts w:hint="eastAsia"/>
          <w:b/>
          <w:bCs/>
          <w:lang w:val="zh-CN"/>
        </w:rPr>
        <w:t>党委委员、纪委书记：</w:t>
      </w:r>
      <w:r>
        <w:rPr>
          <w:rFonts w:hint="eastAsia"/>
          <w:lang w:val="zh-CN"/>
        </w:rPr>
        <w:t>李小娟</w:t>
      </w:r>
    </w:p>
    <w:p w14:paraId="6B702DEA">
      <w:pPr>
        <w:pStyle w:val="11"/>
        <w:bidi w:val="0"/>
        <w:rPr>
          <w:rFonts w:hint="eastAsia"/>
          <w:b/>
          <w:bCs/>
          <w:lang w:val="zh-CN"/>
        </w:rPr>
      </w:pPr>
      <w:r>
        <w:rPr>
          <w:rFonts w:hint="eastAsia"/>
          <w:b/>
          <w:bCs/>
          <w:lang w:val="zh-CN"/>
        </w:rPr>
        <w:t>党委组织委员：</w:t>
      </w:r>
    </w:p>
    <w:p w14:paraId="3B73C096">
      <w:pPr>
        <w:pStyle w:val="11"/>
        <w:bidi w:val="0"/>
        <w:ind w:leftChars="700"/>
        <w:rPr>
          <w:rFonts w:hint="eastAsia"/>
          <w:lang w:val="zh-CN"/>
        </w:rPr>
      </w:pPr>
      <w:r>
        <w:rPr>
          <w:rFonts w:hint="eastAsia"/>
          <w:lang w:val="zh-CN"/>
        </w:rPr>
        <w:t>崔秋红（任至1月）</w:t>
      </w:r>
    </w:p>
    <w:p w14:paraId="2C43A8FD">
      <w:pPr>
        <w:pStyle w:val="11"/>
        <w:bidi w:val="0"/>
        <w:ind w:leftChars="700"/>
        <w:rPr>
          <w:rFonts w:hint="eastAsia"/>
          <w:lang w:val="zh-CN"/>
        </w:rPr>
      </w:pPr>
      <w:r>
        <w:rPr>
          <w:rFonts w:hint="eastAsia"/>
          <w:lang w:val="zh-CN"/>
        </w:rPr>
        <w:t>吴荣斌（1月任职）</w:t>
      </w:r>
    </w:p>
    <w:p w14:paraId="6EA8ED2A">
      <w:pPr>
        <w:pStyle w:val="11"/>
        <w:bidi w:val="0"/>
        <w:rPr>
          <w:rFonts w:hint="eastAsia"/>
          <w:lang w:val="zh-CN"/>
        </w:rPr>
      </w:pPr>
      <w:r>
        <w:rPr>
          <w:rFonts w:hint="eastAsia"/>
          <w:b/>
          <w:bCs/>
          <w:lang w:val="zh-CN"/>
        </w:rPr>
        <w:t>党委宣传委员：</w:t>
      </w:r>
      <w:r>
        <w:rPr>
          <w:rFonts w:hint="eastAsia"/>
          <w:lang w:val="zh-CN"/>
        </w:rPr>
        <w:t>戴君文</w:t>
      </w:r>
    </w:p>
    <w:p w14:paraId="589E2476">
      <w:pPr>
        <w:pStyle w:val="11"/>
        <w:bidi w:val="0"/>
        <w:rPr>
          <w:rFonts w:hint="eastAsia"/>
          <w:lang w:val="zh-CN"/>
        </w:rPr>
      </w:pPr>
      <w:r>
        <w:rPr>
          <w:rFonts w:hint="eastAsia"/>
          <w:b/>
          <w:bCs/>
          <w:lang w:val="zh-CN"/>
        </w:rPr>
        <w:t>党委委员、武装部部长：</w:t>
      </w:r>
      <w:r>
        <w:rPr>
          <w:rFonts w:hint="eastAsia"/>
          <w:lang w:val="zh-CN"/>
        </w:rPr>
        <w:t>张宗海</w:t>
      </w:r>
    </w:p>
    <w:p w14:paraId="6DACAB35">
      <w:pPr>
        <w:pStyle w:val="11"/>
        <w:bidi w:val="0"/>
        <w:rPr>
          <w:rFonts w:hint="eastAsia"/>
          <w:lang w:val="zh-CN"/>
        </w:rPr>
      </w:pPr>
      <w:r>
        <w:rPr>
          <w:rFonts w:hint="eastAsia"/>
          <w:b/>
          <w:bCs/>
          <w:lang w:val="zh-CN"/>
        </w:rPr>
        <w:t>党委委员、副镇长：</w:t>
      </w:r>
      <w:r>
        <w:rPr>
          <w:rFonts w:hint="eastAsia"/>
          <w:lang w:val="zh-CN"/>
        </w:rPr>
        <w:t>华</w:t>
      </w:r>
      <w:r>
        <w:rPr>
          <w:rFonts w:hint="eastAsia"/>
          <w:lang w:val="en-US" w:eastAsia="zh-CN"/>
        </w:rPr>
        <w:t xml:space="preserve">  </w:t>
      </w:r>
      <w:r>
        <w:rPr>
          <w:rFonts w:hint="eastAsia"/>
          <w:lang w:val="zh-CN"/>
        </w:rPr>
        <w:t>飞</w:t>
      </w:r>
    </w:p>
    <w:p w14:paraId="2B0E847F">
      <w:pPr>
        <w:pStyle w:val="11"/>
        <w:bidi w:val="0"/>
        <w:rPr>
          <w:rFonts w:hint="eastAsia"/>
          <w:lang w:val="zh-CN"/>
        </w:rPr>
      </w:pPr>
      <w:r>
        <w:rPr>
          <w:rFonts w:hint="eastAsia"/>
          <w:b/>
          <w:bCs/>
          <w:lang w:val="zh-CN"/>
        </w:rPr>
        <w:t>副镇长：</w:t>
      </w:r>
      <w:r>
        <w:rPr>
          <w:rFonts w:hint="eastAsia"/>
          <w:lang w:val="zh-CN"/>
        </w:rPr>
        <w:t>陈礼海</w:t>
      </w:r>
      <w:r>
        <w:rPr>
          <w:rFonts w:hint="eastAsia"/>
          <w:lang w:val="en-US" w:eastAsia="zh-CN"/>
        </w:rPr>
        <w:t xml:space="preserve">   </w:t>
      </w:r>
      <w:r>
        <w:rPr>
          <w:rFonts w:hint="eastAsia"/>
          <w:lang w:val="zh-CN"/>
        </w:rPr>
        <w:t>姚细发</w:t>
      </w:r>
    </w:p>
    <w:p w14:paraId="5D1E86AE">
      <w:pPr>
        <w:pStyle w:val="3"/>
        <w:bidi w:val="0"/>
        <w:rPr>
          <w:rFonts w:hint="eastAsia"/>
          <w:lang w:val="zh-CN"/>
        </w:rPr>
      </w:pPr>
      <w:r>
        <w:rPr>
          <w:rFonts w:hint="eastAsia"/>
          <w:lang w:val="zh-CN"/>
        </w:rPr>
        <w:t>百顺镇</w:t>
      </w:r>
    </w:p>
    <w:p w14:paraId="3C8DEFA3">
      <w:pPr>
        <w:pStyle w:val="4"/>
        <w:bidi w:val="0"/>
        <w:rPr>
          <w:rFonts w:hint="eastAsia"/>
          <w:lang w:val="zh-CN"/>
        </w:rPr>
      </w:pPr>
      <w:r>
        <w:rPr>
          <w:rFonts w:hint="eastAsia"/>
          <w:lang w:val="zh-CN"/>
        </w:rPr>
        <w:t>【概况】</w:t>
      </w:r>
    </w:p>
    <w:p w14:paraId="12C33551">
      <w:pPr>
        <w:bidi w:val="0"/>
        <w:rPr>
          <w:rFonts w:hint="eastAsia"/>
          <w:lang w:val="zh-CN"/>
        </w:rPr>
      </w:pPr>
      <w:r>
        <w:rPr>
          <w:rFonts w:hint="eastAsia"/>
          <w:lang w:val="zh-CN"/>
        </w:rPr>
        <w:t>百顺镇地处南雄西北面，距南雄市区58千米。百顺镇明代为九成乡所辖之百顺都。洪武十年（1377）置百顺巡检司于百顺圩。清咸丰四年（1854）改都为约。民国18年（1929）属第九区韶望乡。民国29年（1940）实行新县制，改为韶安乡，属第一区。民国31年（1942）改为百顺乡。中华人民共和国成立后属第七区。1958年先后属高峰人民公社、白云人民公社。1962年建立百顺人民公社。1984年改为区，1986年撤区建镇。境内几百年以上的古村落不为少见，据考证，黄屋城、朱安塘等村历史达600年以上。隋代名将“右屯卫大将军”麦铁杖出生于此。位于百顺境内的白竹片村，其香火龙远近闻名，被外界誉为“火龙”村，在省市举办的相关会演中屡获殊荣。辖9个村委会和1个居委会，108个村小组，总户数3669户，总人口1.33万人，劳动力8215人。主要交通有省道S342线、S244线和县道X340线，各村实现水泥路。镇面积187.1平方千米。耕地面积759公顷，山地面积1933公顷，山林面积1766.7公顷，森林覆盖率80.4%。境内水资源十分丰富，兴建小水电站30个，装机容量1.1万千瓦，年发电量3280万度。地下蕴藏有丰富的铀矿、花岗岩石、稀土等资源。有私营企业36家，以发电和以毛竹为原料加工筷子、竹丝为主，其中竹制品厂3家，年加工毛竹120万条。特产有冬笋、笋干、花豆、香菇以及杨梅等。</w:t>
      </w:r>
    </w:p>
    <w:p w14:paraId="60E879AA">
      <w:pPr>
        <w:pStyle w:val="4"/>
        <w:bidi w:val="0"/>
        <w:rPr>
          <w:rFonts w:hint="eastAsia"/>
          <w:lang w:val="zh-CN"/>
        </w:rPr>
      </w:pPr>
      <w:r>
        <w:rPr>
          <w:rFonts w:hint="eastAsia"/>
          <w:lang w:val="zh-CN"/>
        </w:rPr>
        <w:t>【经济发展】</w:t>
      </w:r>
    </w:p>
    <w:p w14:paraId="34793BF1">
      <w:pPr>
        <w:bidi w:val="0"/>
        <w:rPr>
          <w:rFonts w:hint="eastAsia"/>
          <w:lang w:val="zh-CN"/>
        </w:rPr>
      </w:pPr>
      <w:r>
        <w:rPr>
          <w:rFonts w:hint="eastAsia"/>
          <w:lang w:val="zh-CN"/>
        </w:rPr>
        <w:t>经济总收入2.08亿元，增长8.56%；完成固定资产投资1.58亿元，增长46%；农村人均纯收入1.55万元，增长4.2%。新增人工造林21.33公顷，全镇生态公益林面积达到7600公顷，毛竹林面积达到1万公顷，形成以毛竹加工为主的产业体系，产业增收可达2000万元。重点打造特色高效种植产业，培育皇帝柑、山楂、茶叶、油茶等特色农产品，以点带面，发展特色农产品种植面积达333.33公顷。</w:t>
      </w:r>
    </w:p>
    <w:p w14:paraId="7B1CF739">
      <w:pPr>
        <w:pStyle w:val="4"/>
        <w:bidi w:val="0"/>
        <w:rPr>
          <w:rFonts w:hint="eastAsia"/>
          <w:lang w:val="zh-CN"/>
        </w:rPr>
      </w:pPr>
      <w:r>
        <w:rPr>
          <w:rFonts w:hint="eastAsia"/>
          <w:lang w:val="zh-CN"/>
        </w:rPr>
        <w:t>【基础设施建设】</w:t>
      </w:r>
    </w:p>
    <w:p w14:paraId="6B076EED">
      <w:pPr>
        <w:bidi w:val="0"/>
        <w:rPr>
          <w:rFonts w:hint="eastAsia"/>
          <w:lang w:val="zh-CN"/>
        </w:rPr>
      </w:pPr>
      <w:r>
        <w:rPr>
          <w:rFonts w:hint="eastAsia"/>
          <w:lang w:val="zh-CN"/>
        </w:rPr>
        <w:t>投资4000万元完成全镇的农网改造项目，累计布线105千米、更换电表2000余户，农村供电能力显著提升。完成S244线至上村和大垇至黄屋农村公路建设项目；山口至鱼塘、白竹至吊钟寨、大塘至坌洞、大坳至雷屋4条共计9.4千米的公路开工铺设。投资30万元新建文化广场公共厕所主体工程完工，2019年可使用。投资约100万元改造的湖地村自来水工程全面完工投入使用；成功申报尚睦上张村等村级公益事业建设一事一议财政奖补项目4个，总投资约200万元；完成大沙洲水段、东坑水工程河流综合治理工程和尚睦村委会张屋村小组河堤修建工程。</w:t>
      </w:r>
    </w:p>
    <w:p w14:paraId="27B1EC6D">
      <w:pPr>
        <w:pStyle w:val="4"/>
        <w:bidi w:val="0"/>
        <w:rPr>
          <w:rFonts w:hint="eastAsia"/>
          <w:lang w:val="zh-CN"/>
        </w:rPr>
      </w:pPr>
      <w:r>
        <w:rPr>
          <w:rFonts w:hint="eastAsia"/>
          <w:lang w:val="zh-CN"/>
        </w:rPr>
        <w:t>【新农村示范村创建】</w:t>
      </w:r>
    </w:p>
    <w:p w14:paraId="3C1C8A91">
      <w:pPr>
        <w:bidi w:val="0"/>
        <w:rPr>
          <w:rFonts w:hint="eastAsia"/>
          <w:lang w:val="zh-CN"/>
        </w:rPr>
      </w:pPr>
      <w:r>
        <w:rPr>
          <w:rFonts w:hint="eastAsia"/>
          <w:lang w:val="zh-CN"/>
        </w:rPr>
        <w:t>省定贫困村20户以上自然村人居环境综合整治工作全面启动，“三清三拆”工作初见成效。2018年累计完成332条乱堆乱放的村巷道清理，面积达9.6万余平方米；清理房前屋后杂草杂物、积存垃圾245吨；清理沟渠池塘溪河淤泥、漂浮物和障碍物46处；拆除危旧房、废旧猪牛栏及露天厕所530间，计2.47万余平方米。百顺、东坑两个省定贫困村生态宜居美丽乡村建设工作取得实质进展。开工建设的村小组18个，进场率为72%，其中9个村小组完工，完工率为36%。完成村道、庭院及房前屋后美化绿化2858余平方米；村内道路硬化10.24千米；建设垃圾收集点51处；铺设暗渠化管道14.38千米；铺设雨污分离管网54.2千米；修建污水处理设施3座；配套建设标准公厕6座；完成村庄卫生改厕763间；房屋外立面整治69间3048余平方米；修建休闲广场6个；安装宣传栏3个；安装路灯16盏，村容村貌得到较大改善。</w:t>
      </w:r>
    </w:p>
    <w:p w14:paraId="095FD121">
      <w:pPr>
        <w:pStyle w:val="4"/>
        <w:bidi w:val="0"/>
        <w:rPr>
          <w:rFonts w:hint="eastAsia"/>
          <w:lang w:val="zh-CN"/>
        </w:rPr>
      </w:pPr>
      <w:r>
        <w:rPr>
          <w:rFonts w:hint="eastAsia"/>
          <w:lang w:val="zh-CN"/>
        </w:rPr>
        <w:t>【精准扶贫】</w:t>
      </w:r>
    </w:p>
    <w:p w14:paraId="607DC9BC">
      <w:pPr>
        <w:bidi w:val="0"/>
        <w:rPr>
          <w:rFonts w:hint="eastAsia"/>
          <w:lang w:val="zh-CN"/>
        </w:rPr>
      </w:pPr>
      <w:r>
        <w:rPr>
          <w:rFonts w:hint="eastAsia"/>
          <w:lang w:val="zh-CN"/>
        </w:rPr>
        <w:t>投资120万元改造升级的喇叭潭水电站和投资330万元新建的东坑扶贫电站全面完工；统筹205万元入股浈江电业光伏项目和统筹131万元入股阳光玫瑰葡萄种植项目，预计每年可为贫困户获得不低于8%的投资收益；建档立卡贫困户购买医疗保险政策落实率达100%，为136名贫困户学生申请并落实教育补助，落实“以奖代补”资金43.5万元；2018年完成26户贫困户农村危旧房改造；2018年实现30户85人预脱贫。</w:t>
      </w:r>
    </w:p>
    <w:p w14:paraId="1C369D8D">
      <w:pPr>
        <w:pStyle w:val="4"/>
        <w:bidi w:val="0"/>
        <w:rPr>
          <w:rFonts w:hint="eastAsia"/>
          <w:lang w:val="zh-CN"/>
        </w:rPr>
      </w:pPr>
      <w:r>
        <w:rPr>
          <w:rFonts w:hint="eastAsia"/>
          <w:lang w:val="zh-CN"/>
        </w:rPr>
        <w:t>【社会事业】</w:t>
      </w:r>
    </w:p>
    <w:p w14:paraId="695080B1">
      <w:pPr>
        <w:bidi w:val="0"/>
        <w:rPr>
          <w:rFonts w:hint="eastAsia"/>
          <w:lang w:val="zh-CN"/>
        </w:rPr>
      </w:pPr>
      <w:r>
        <w:rPr>
          <w:rFonts w:hint="eastAsia"/>
          <w:lang w:val="zh-CN"/>
        </w:rPr>
        <w:t>完成社保扩面22人，扩面完成比例为110%；基金任务完成缴费53万元，完成比例达504.76%；城乡居民基本养老保险完成任务数3283人，城乡居民医疗保险完成任务数1.08万人。完成百顺敬老院改造升级工程；2018年累计发放救济粮食1.3万斤；完成民政医疗救助104人次，救助金额43.35万元；新增低保对象4人。做好耕地地力保护补贴发放、基本农田补偿医疗资金发放以及生态补偿林集体资金拨付工作。</w:t>
      </w:r>
    </w:p>
    <w:p w14:paraId="27F44A53">
      <w:pPr>
        <w:pStyle w:val="4"/>
        <w:bidi w:val="0"/>
        <w:rPr>
          <w:rFonts w:hint="eastAsia"/>
          <w:lang w:val="zh-CN"/>
        </w:rPr>
      </w:pPr>
      <w:r>
        <w:rPr>
          <w:rFonts w:hint="eastAsia"/>
          <w:lang w:val="zh-CN"/>
        </w:rPr>
        <w:t>【各村委会（社区）基本情况】</w:t>
      </w:r>
    </w:p>
    <w:p w14:paraId="7FABE4BE">
      <w:pPr>
        <w:bidi w:val="0"/>
        <w:rPr>
          <w:rFonts w:hint="eastAsia"/>
          <w:lang w:val="zh-CN"/>
        </w:rPr>
      </w:pPr>
      <w:r>
        <w:rPr>
          <w:rFonts w:hint="eastAsia"/>
          <w:b/>
          <w:bCs/>
          <w:lang w:val="zh-CN"/>
        </w:rPr>
        <w:t>百顺村</w:t>
      </w:r>
      <w:r>
        <w:rPr>
          <w:rFonts w:hint="eastAsia"/>
          <w:b/>
          <w:bCs/>
          <w:lang w:val="en-US" w:eastAsia="zh-CN"/>
        </w:rPr>
        <w:t xml:space="preserve">   </w:t>
      </w:r>
      <w:r>
        <w:rPr>
          <w:rFonts w:hint="eastAsia"/>
          <w:lang w:val="zh-CN"/>
        </w:rPr>
        <w:t>位于百顺墟，有27个村小组869户3393人，村干部6人，党员95人。林地面积5214.2公顷，其中生态公益林854.27公顷，商品林2839.07公顷，主要种植水稻、花生、竹木、黄豆等。</w:t>
      </w:r>
    </w:p>
    <w:p w14:paraId="22783442">
      <w:pPr>
        <w:bidi w:val="0"/>
        <w:rPr>
          <w:rFonts w:hint="eastAsia"/>
          <w:lang w:val="zh-CN"/>
        </w:rPr>
      </w:pPr>
      <w:r>
        <w:rPr>
          <w:rFonts w:hint="eastAsia"/>
          <w:b/>
          <w:bCs/>
          <w:lang w:val="zh-CN"/>
        </w:rPr>
        <w:t>大沙洲村</w:t>
      </w:r>
      <w:r>
        <w:rPr>
          <w:rFonts w:hint="eastAsia"/>
          <w:b/>
          <w:bCs/>
          <w:lang w:val="en-US" w:eastAsia="zh-CN"/>
        </w:rPr>
        <w:t xml:space="preserve">   </w:t>
      </w:r>
      <w:r>
        <w:rPr>
          <w:rFonts w:hint="eastAsia"/>
          <w:lang w:val="zh-CN"/>
        </w:rPr>
        <w:t>有10个村小组367户1431人。村干部5人，党员42人，村年集体收入7万元。耕地面积166.13公顷，林地面积2034.53公顷。竹木资源丰富，地域广阔，电力资源充足。主要种植水稻、花生、竹林，有水电产业等。</w:t>
      </w:r>
    </w:p>
    <w:p w14:paraId="5EC78E51">
      <w:pPr>
        <w:bidi w:val="0"/>
        <w:rPr>
          <w:rFonts w:hint="eastAsia"/>
          <w:lang w:val="zh-CN"/>
        </w:rPr>
      </w:pPr>
      <w:r>
        <w:rPr>
          <w:rFonts w:hint="eastAsia"/>
          <w:b/>
          <w:bCs/>
          <w:lang w:val="zh-CN"/>
        </w:rPr>
        <w:t>邓洞村</w:t>
      </w:r>
      <w:r>
        <w:rPr>
          <w:rFonts w:hint="eastAsia"/>
          <w:b/>
          <w:bCs/>
          <w:lang w:val="en-US" w:eastAsia="zh-CN"/>
        </w:rPr>
        <w:t xml:space="preserve">   </w:t>
      </w:r>
      <w:r>
        <w:rPr>
          <w:rFonts w:hint="eastAsia"/>
          <w:lang w:val="zh-CN"/>
        </w:rPr>
        <w:t>离镇政府17千米。有7个村小组210户799人，村干部4人，党员30人，村年集体收入9240元。耕地面积164.93公顷，林地面积2097.47公顷。主要种植水稻、花生、竹木、黄豆等。</w:t>
      </w:r>
    </w:p>
    <w:p w14:paraId="22FB81E4">
      <w:pPr>
        <w:bidi w:val="0"/>
        <w:rPr>
          <w:rFonts w:hint="eastAsia"/>
          <w:lang w:val="zh-CN"/>
        </w:rPr>
      </w:pPr>
      <w:r>
        <w:rPr>
          <w:rFonts w:hint="eastAsia"/>
          <w:b/>
          <w:bCs/>
          <w:lang w:val="zh-CN"/>
        </w:rPr>
        <w:t>东坑村</w:t>
      </w:r>
      <w:r>
        <w:rPr>
          <w:rFonts w:hint="eastAsia"/>
          <w:b/>
          <w:bCs/>
          <w:lang w:val="en-US" w:eastAsia="zh-CN"/>
        </w:rPr>
        <w:t xml:space="preserve">   </w:t>
      </w:r>
      <w:r>
        <w:rPr>
          <w:rFonts w:hint="eastAsia"/>
          <w:lang w:val="zh-CN"/>
        </w:rPr>
        <w:t>有10个村小组280户1086人，村委干部5人，党员30人。耕地面积114.6公顷，其中水田67.4公顷，自营山1101.73公顷，自留山104.33公顷，生态林291.8公顷。主要种植有水稻、花生、竹林、黄烟等。</w:t>
      </w:r>
    </w:p>
    <w:p w14:paraId="3A5505F2">
      <w:pPr>
        <w:bidi w:val="0"/>
        <w:rPr>
          <w:rFonts w:hint="eastAsia"/>
          <w:lang w:val="zh-CN"/>
        </w:rPr>
      </w:pPr>
      <w:r>
        <w:rPr>
          <w:rFonts w:hint="eastAsia"/>
          <w:b/>
          <w:bCs/>
          <w:lang w:val="zh-CN"/>
        </w:rPr>
        <w:t>湖地村</w:t>
      </w:r>
      <w:r>
        <w:rPr>
          <w:rFonts w:hint="eastAsia"/>
          <w:b/>
          <w:bCs/>
          <w:lang w:val="en-US" w:eastAsia="zh-CN"/>
        </w:rPr>
        <w:t xml:space="preserve">   </w:t>
      </w:r>
      <w:r>
        <w:rPr>
          <w:rFonts w:hint="eastAsia"/>
          <w:lang w:val="zh-CN"/>
        </w:rPr>
        <w:t>有11个村小组361户1343人。现有村干部5人，党员46人。村集体收入1万元，主要种植水稻、花生、竹木、黄豆等。</w:t>
      </w:r>
    </w:p>
    <w:p w14:paraId="58A7ECDA">
      <w:pPr>
        <w:bidi w:val="0"/>
        <w:rPr>
          <w:rFonts w:hint="eastAsia"/>
          <w:lang w:val="zh-CN"/>
        </w:rPr>
      </w:pPr>
      <w:r>
        <w:rPr>
          <w:rFonts w:hint="eastAsia"/>
          <w:b/>
          <w:bCs/>
          <w:lang w:val="zh-CN"/>
        </w:rPr>
        <w:t>尚睦村</w:t>
      </w:r>
      <w:r>
        <w:rPr>
          <w:rFonts w:hint="eastAsia"/>
          <w:b/>
          <w:bCs/>
          <w:lang w:val="en-US" w:eastAsia="zh-CN"/>
        </w:rPr>
        <w:t xml:space="preserve">   </w:t>
      </w:r>
      <w:r>
        <w:rPr>
          <w:rFonts w:hint="eastAsia"/>
          <w:lang w:val="zh-CN"/>
        </w:rPr>
        <w:t>有7个村小组233户911人。村干部4人，党员34人。耕地面积126.4公顷，毛竹林466.67公顷；村委会建有小水电一座，装机容量300瓦时，各项经济收入3万多元。主要种植水稻、花生、竹林等。每年有固定收入的村小组有5个，达到了公路、照明、用电、电话、自来水村村通。</w:t>
      </w:r>
    </w:p>
    <w:p w14:paraId="1DA90A90">
      <w:pPr>
        <w:bidi w:val="0"/>
        <w:rPr>
          <w:rFonts w:hint="eastAsia"/>
          <w:lang w:val="zh-CN"/>
        </w:rPr>
      </w:pPr>
      <w:r>
        <w:rPr>
          <w:rFonts w:hint="eastAsia"/>
          <w:b/>
          <w:bCs/>
          <w:lang w:val="zh-CN"/>
        </w:rPr>
        <w:t>溪头村</w:t>
      </w:r>
      <w:r>
        <w:rPr>
          <w:rFonts w:hint="eastAsia"/>
          <w:b/>
          <w:bCs/>
          <w:lang w:val="en-US" w:eastAsia="zh-CN"/>
        </w:rPr>
        <w:t xml:space="preserve">   </w:t>
      </w:r>
      <w:r>
        <w:rPr>
          <w:rFonts w:hint="eastAsia"/>
          <w:lang w:val="zh-CN"/>
        </w:rPr>
        <w:t>有12个村小组324户1284人。村干部5人，党员48人。耕地面积109.2公顷，其中水田71.07公顷，旱田24.4公顷。山林面积2613.6公顷，责任山1566公顷，生态公益林940.67公顷。主要种植水稻、花生、竹林、黄豆等。</w:t>
      </w:r>
    </w:p>
    <w:p w14:paraId="0453C2DE">
      <w:pPr>
        <w:bidi w:val="0"/>
        <w:rPr>
          <w:rFonts w:hint="eastAsia"/>
          <w:lang w:val="zh-CN"/>
        </w:rPr>
      </w:pPr>
      <w:r>
        <w:rPr>
          <w:rFonts w:hint="eastAsia"/>
          <w:b/>
          <w:bCs/>
          <w:lang w:val="zh-CN"/>
        </w:rPr>
        <w:t>杨梅村</w:t>
      </w:r>
      <w:r>
        <w:rPr>
          <w:rFonts w:hint="eastAsia"/>
          <w:b/>
          <w:bCs/>
          <w:lang w:val="en-US" w:eastAsia="zh-CN"/>
        </w:rPr>
        <w:t xml:space="preserve">   </w:t>
      </w:r>
      <w:r>
        <w:rPr>
          <w:rFonts w:hint="eastAsia"/>
          <w:lang w:val="zh-CN"/>
        </w:rPr>
        <w:t>有12个小组346户1308人，村干部5人，党员36人。耕地面积164.93公顷，林地面积2097.47公顷。主要种植：水稻、花生、竹木、黄豆等。</w:t>
      </w:r>
    </w:p>
    <w:p w14:paraId="4DD6F314">
      <w:pPr>
        <w:bidi w:val="0"/>
        <w:rPr>
          <w:rFonts w:hint="eastAsia"/>
          <w:lang w:val="zh-CN"/>
        </w:rPr>
      </w:pPr>
      <w:r>
        <w:rPr>
          <w:rFonts w:hint="eastAsia"/>
          <w:b/>
          <w:bCs/>
          <w:lang w:val="zh-CN"/>
        </w:rPr>
        <w:t>朱安村</w:t>
      </w:r>
      <w:r>
        <w:rPr>
          <w:rFonts w:hint="eastAsia"/>
          <w:b/>
          <w:bCs/>
          <w:lang w:val="en-US" w:eastAsia="zh-CN"/>
        </w:rPr>
        <w:t xml:space="preserve">   </w:t>
      </w:r>
      <w:r>
        <w:rPr>
          <w:rFonts w:hint="eastAsia"/>
          <w:lang w:val="zh-CN"/>
        </w:rPr>
        <w:t>是一个边远山区村，距百顺墟镇有18千米。有12个村小组292户1092人。村干部5人，党员33人。耕地154.33公顷，山林3133.33公顷，其中生态公益林333.33公顷。主要种植：水稻、花生、竹林、黄豆等。</w:t>
      </w:r>
    </w:p>
    <w:p w14:paraId="66899E4A">
      <w:pPr>
        <w:bidi w:val="0"/>
        <w:rPr>
          <w:rFonts w:hint="eastAsia"/>
          <w:lang w:val="zh-CN"/>
        </w:rPr>
      </w:pPr>
      <w:r>
        <w:rPr>
          <w:rFonts w:hint="eastAsia"/>
          <w:b/>
          <w:bCs/>
          <w:lang w:val="zh-CN"/>
        </w:rPr>
        <w:t>百顺居委会</w:t>
      </w:r>
      <w:r>
        <w:rPr>
          <w:rFonts w:hint="eastAsia"/>
          <w:b/>
          <w:bCs/>
          <w:lang w:val="en-US" w:eastAsia="zh-CN"/>
        </w:rPr>
        <w:t xml:space="preserve">   </w:t>
      </w:r>
      <w:r>
        <w:rPr>
          <w:rFonts w:hint="eastAsia"/>
          <w:lang w:val="zh-CN"/>
        </w:rPr>
        <w:t>有387户662人，村干部3人，党员18人。居委会环境舒适，居民安居乐业。</w:t>
      </w:r>
    </w:p>
    <w:p w14:paraId="17B74915">
      <w:pPr>
        <w:bidi w:val="0"/>
        <w:jc w:val="right"/>
        <w:rPr>
          <w:rFonts w:hint="eastAsia"/>
          <w:b/>
          <w:bCs/>
          <w:lang w:val="zh-CN"/>
        </w:rPr>
      </w:pPr>
      <w:r>
        <w:rPr>
          <w:rFonts w:hint="eastAsia"/>
          <w:b/>
          <w:bCs/>
          <w:lang w:val="zh-CN"/>
        </w:rPr>
        <w:t>（张小伟）</w:t>
      </w:r>
    </w:p>
    <w:p w14:paraId="18953808">
      <w:pPr>
        <w:pStyle w:val="11"/>
        <w:bidi w:val="0"/>
        <w:rPr>
          <w:rFonts w:hint="eastAsia"/>
          <w:b/>
          <w:bCs/>
          <w:lang w:val="zh-CN"/>
        </w:rPr>
      </w:pPr>
      <w:r>
        <w:rPr>
          <w:rFonts w:hint="eastAsia"/>
          <w:b/>
          <w:bCs/>
          <w:lang w:val="zh-CN"/>
        </w:rPr>
        <w:t>附：2018年百顺镇领导班子成员名单</w:t>
      </w:r>
    </w:p>
    <w:p w14:paraId="16C6CB6E">
      <w:pPr>
        <w:pStyle w:val="11"/>
        <w:bidi w:val="0"/>
        <w:rPr>
          <w:rFonts w:hint="eastAsia"/>
          <w:lang w:val="zh-CN"/>
        </w:rPr>
      </w:pPr>
      <w:r>
        <w:rPr>
          <w:rFonts w:hint="eastAsia"/>
          <w:b/>
          <w:bCs/>
          <w:lang w:val="zh-CN"/>
        </w:rPr>
        <w:t>党委书记：</w:t>
      </w:r>
      <w:r>
        <w:rPr>
          <w:rFonts w:hint="eastAsia"/>
          <w:lang w:val="zh-CN"/>
        </w:rPr>
        <w:t>谭福志</w:t>
      </w:r>
    </w:p>
    <w:p w14:paraId="3C5FC8D2">
      <w:pPr>
        <w:pStyle w:val="11"/>
        <w:bidi w:val="0"/>
        <w:rPr>
          <w:rFonts w:hint="eastAsia"/>
          <w:lang w:val="zh-CN"/>
        </w:rPr>
      </w:pPr>
      <w:r>
        <w:rPr>
          <w:rFonts w:hint="eastAsia"/>
          <w:b/>
          <w:bCs/>
          <w:lang w:val="zh-CN"/>
        </w:rPr>
        <w:t>党委副书记、镇长：</w:t>
      </w:r>
      <w:r>
        <w:rPr>
          <w:rFonts w:hint="eastAsia"/>
          <w:lang w:val="zh-CN"/>
        </w:rPr>
        <w:t>高春花</w:t>
      </w:r>
    </w:p>
    <w:p w14:paraId="0358CAFB">
      <w:pPr>
        <w:pStyle w:val="11"/>
        <w:bidi w:val="0"/>
        <w:rPr>
          <w:rFonts w:hint="eastAsia"/>
          <w:lang w:val="zh-CN"/>
        </w:rPr>
      </w:pPr>
      <w:r>
        <w:rPr>
          <w:rFonts w:hint="eastAsia"/>
          <w:b/>
          <w:bCs/>
          <w:lang w:val="zh-CN"/>
        </w:rPr>
        <w:t>人大主席：</w:t>
      </w:r>
      <w:r>
        <w:rPr>
          <w:rFonts w:hint="eastAsia"/>
          <w:lang w:val="zh-CN"/>
        </w:rPr>
        <w:t>朱定福</w:t>
      </w:r>
    </w:p>
    <w:p w14:paraId="3A6A81AE">
      <w:pPr>
        <w:pStyle w:val="11"/>
        <w:bidi w:val="0"/>
        <w:rPr>
          <w:rFonts w:hint="eastAsia"/>
          <w:lang w:val="zh-CN"/>
        </w:rPr>
      </w:pPr>
      <w:r>
        <w:rPr>
          <w:rFonts w:hint="eastAsia"/>
          <w:b/>
          <w:bCs/>
          <w:lang w:val="zh-CN"/>
        </w:rPr>
        <w:t>党委副书记（综治）：</w:t>
      </w:r>
      <w:r>
        <w:rPr>
          <w:rFonts w:hint="eastAsia"/>
          <w:lang w:val="zh-CN"/>
        </w:rPr>
        <w:t>吴细阳</w:t>
      </w:r>
    </w:p>
    <w:p w14:paraId="4262DF30">
      <w:pPr>
        <w:pStyle w:val="11"/>
        <w:bidi w:val="0"/>
        <w:rPr>
          <w:rFonts w:hint="eastAsia"/>
          <w:lang w:val="zh-CN"/>
        </w:rPr>
      </w:pPr>
      <w:r>
        <w:rPr>
          <w:rFonts w:hint="eastAsia"/>
          <w:b/>
          <w:bCs/>
          <w:lang w:val="zh-CN"/>
        </w:rPr>
        <w:t>党委委员、纪委书记：</w:t>
      </w:r>
      <w:r>
        <w:rPr>
          <w:rFonts w:hint="eastAsia"/>
          <w:lang w:val="zh-CN"/>
        </w:rPr>
        <w:t>刘</w:t>
      </w:r>
      <w:r>
        <w:rPr>
          <w:rFonts w:hint="eastAsia"/>
          <w:lang w:val="en-US" w:eastAsia="zh-CN"/>
        </w:rPr>
        <w:t xml:space="preserve">  </w:t>
      </w:r>
      <w:r>
        <w:rPr>
          <w:rFonts w:hint="eastAsia"/>
          <w:lang w:val="zh-CN"/>
        </w:rPr>
        <w:t>超</w:t>
      </w:r>
    </w:p>
    <w:p w14:paraId="02BFB983">
      <w:pPr>
        <w:pStyle w:val="11"/>
        <w:bidi w:val="0"/>
        <w:rPr>
          <w:rFonts w:hint="eastAsia"/>
          <w:b/>
          <w:bCs/>
          <w:lang w:val="zh-CN"/>
        </w:rPr>
      </w:pPr>
      <w:r>
        <w:rPr>
          <w:rFonts w:hint="eastAsia"/>
          <w:b/>
          <w:bCs/>
          <w:lang w:val="zh-CN"/>
        </w:rPr>
        <w:t>党委组织委员：</w:t>
      </w:r>
    </w:p>
    <w:p w14:paraId="0EA4DC0E">
      <w:pPr>
        <w:pStyle w:val="11"/>
        <w:bidi w:val="0"/>
        <w:ind w:leftChars="500"/>
        <w:rPr>
          <w:rFonts w:hint="eastAsia"/>
          <w:lang w:val="zh-CN"/>
        </w:rPr>
      </w:pPr>
      <w:r>
        <w:rPr>
          <w:rFonts w:hint="eastAsia"/>
          <w:lang w:val="zh-CN"/>
        </w:rPr>
        <w:t>刘雄明（任至1月）</w:t>
      </w:r>
    </w:p>
    <w:p w14:paraId="632D7B1E">
      <w:pPr>
        <w:pStyle w:val="11"/>
        <w:bidi w:val="0"/>
        <w:ind w:leftChars="500"/>
        <w:rPr>
          <w:rFonts w:hint="eastAsia"/>
          <w:lang w:val="zh-CN"/>
        </w:rPr>
      </w:pPr>
      <w:r>
        <w:rPr>
          <w:rFonts w:hint="eastAsia"/>
          <w:lang w:val="zh-CN"/>
        </w:rPr>
        <w:t>苏付冰（2月任职）</w:t>
      </w:r>
    </w:p>
    <w:p w14:paraId="3FEB908B">
      <w:pPr>
        <w:pStyle w:val="11"/>
        <w:bidi w:val="0"/>
        <w:rPr>
          <w:rFonts w:hint="eastAsia"/>
          <w:lang w:val="zh-CN"/>
        </w:rPr>
      </w:pPr>
      <w:r>
        <w:rPr>
          <w:rFonts w:hint="eastAsia"/>
          <w:b/>
          <w:bCs/>
          <w:lang w:val="zh-CN"/>
        </w:rPr>
        <w:t>党委宣传委员：</w:t>
      </w:r>
      <w:r>
        <w:rPr>
          <w:rFonts w:hint="eastAsia"/>
          <w:lang w:val="zh-CN"/>
        </w:rPr>
        <w:t>黎远发</w:t>
      </w:r>
    </w:p>
    <w:p w14:paraId="73FFEF82">
      <w:pPr>
        <w:pStyle w:val="11"/>
        <w:bidi w:val="0"/>
        <w:rPr>
          <w:rFonts w:hint="eastAsia"/>
          <w:lang w:val="zh-CN"/>
        </w:rPr>
      </w:pPr>
      <w:r>
        <w:rPr>
          <w:rFonts w:hint="eastAsia"/>
          <w:b/>
          <w:bCs/>
          <w:lang w:val="zh-CN"/>
        </w:rPr>
        <w:t>党委委员、武装部部长：</w:t>
      </w:r>
      <w:r>
        <w:rPr>
          <w:rFonts w:hint="eastAsia"/>
          <w:lang w:val="zh-CN"/>
        </w:rPr>
        <w:t>梁</w:t>
      </w:r>
      <w:r>
        <w:rPr>
          <w:rFonts w:hint="eastAsia"/>
          <w:lang w:val="en-US" w:eastAsia="zh-CN"/>
        </w:rPr>
        <w:t xml:space="preserve">  </w:t>
      </w:r>
      <w:r>
        <w:rPr>
          <w:rFonts w:hint="eastAsia"/>
          <w:lang w:val="zh-CN"/>
        </w:rPr>
        <w:t>杰</w:t>
      </w:r>
    </w:p>
    <w:p w14:paraId="6D74EF45">
      <w:pPr>
        <w:pStyle w:val="11"/>
        <w:bidi w:val="0"/>
        <w:rPr>
          <w:rFonts w:hint="eastAsia"/>
          <w:lang w:val="zh-CN"/>
        </w:rPr>
      </w:pPr>
      <w:r>
        <w:rPr>
          <w:rFonts w:hint="eastAsia"/>
          <w:b/>
          <w:bCs/>
          <w:lang w:val="zh-CN"/>
        </w:rPr>
        <w:t>副镇长：</w:t>
      </w:r>
      <w:r>
        <w:rPr>
          <w:rFonts w:hint="eastAsia"/>
          <w:lang w:val="zh-CN"/>
        </w:rPr>
        <w:t>吴东龙</w:t>
      </w:r>
      <w:r>
        <w:rPr>
          <w:rFonts w:hint="eastAsia"/>
          <w:lang w:val="en-US" w:eastAsia="zh-CN"/>
        </w:rPr>
        <w:t xml:space="preserve">   </w:t>
      </w:r>
      <w:r>
        <w:rPr>
          <w:rFonts w:hint="eastAsia"/>
          <w:lang w:val="zh-CN"/>
        </w:rPr>
        <w:t>苏元斌</w:t>
      </w:r>
    </w:p>
    <w:p w14:paraId="309A358E">
      <w:pPr>
        <w:pStyle w:val="11"/>
        <w:bidi w:val="0"/>
        <w:ind w:leftChars="400"/>
        <w:rPr>
          <w:rFonts w:hint="eastAsia"/>
          <w:lang w:val="zh-CN"/>
        </w:rPr>
      </w:pPr>
      <w:r>
        <w:rPr>
          <w:rFonts w:hint="eastAsia"/>
          <w:lang w:val="zh-CN"/>
        </w:rPr>
        <w:t>黎</w:t>
      </w:r>
      <w:r>
        <w:rPr>
          <w:rFonts w:hint="eastAsia"/>
          <w:lang w:val="en-US" w:eastAsia="zh-CN"/>
        </w:rPr>
        <w:t xml:space="preserve">  </w:t>
      </w:r>
      <w:r>
        <w:rPr>
          <w:rFonts w:hint="eastAsia"/>
          <w:lang w:val="zh-CN"/>
        </w:rPr>
        <w:t>伟（3月任职）</w:t>
      </w:r>
    </w:p>
    <w:p w14:paraId="46878DCA">
      <w:pPr>
        <w:pStyle w:val="3"/>
        <w:bidi w:val="0"/>
        <w:rPr>
          <w:rFonts w:hint="eastAsia"/>
          <w:lang w:val="zh-CN"/>
        </w:rPr>
      </w:pPr>
      <w:r>
        <w:rPr>
          <w:rFonts w:hint="eastAsia"/>
          <w:lang w:val="zh-CN"/>
        </w:rPr>
        <w:t>坪田镇</w:t>
      </w:r>
    </w:p>
    <w:p w14:paraId="2CCC9E55">
      <w:pPr>
        <w:pStyle w:val="4"/>
        <w:bidi w:val="0"/>
        <w:rPr>
          <w:rFonts w:hint="eastAsia"/>
          <w:lang w:val="zh-CN"/>
        </w:rPr>
      </w:pPr>
      <w:r>
        <w:rPr>
          <w:rFonts w:hint="eastAsia"/>
          <w:lang w:val="zh-CN"/>
        </w:rPr>
        <w:t>【概况】</w:t>
      </w:r>
    </w:p>
    <w:p w14:paraId="35227444">
      <w:pPr>
        <w:bidi w:val="0"/>
        <w:rPr>
          <w:rFonts w:hint="eastAsia"/>
          <w:lang w:val="zh-CN"/>
        </w:rPr>
      </w:pPr>
      <w:r>
        <w:rPr>
          <w:rFonts w:hint="eastAsia"/>
          <w:lang w:val="zh-CN"/>
        </w:rPr>
        <w:t>坪田镇位于南雄市东部，东与界址镇和江西省信丰县万隆乡为邻，南与江西省全南县社迳乡相邻，镇政府驻地距南雄市区43千米。全镇区域面积138.26平方千米，2011年由原坪田镇和原新龙镇合并，下辖14个村委会和1个社区居委会，179个村民小组和2个居民小组。2018年年末全镇总人口2.78万人，其中农业人口2.67万人。</w:t>
      </w:r>
    </w:p>
    <w:p w14:paraId="28C86B13">
      <w:pPr>
        <w:bidi w:val="0"/>
        <w:rPr>
          <w:rFonts w:hint="eastAsia"/>
          <w:lang w:val="zh-CN"/>
        </w:rPr>
      </w:pPr>
      <w:r>
        <w:rPr>
          <w:rFonts w:hint="eastAsia"/>
          <w:lang w:val="zh-CN"/>
        </w:rPr>
        <w:t>坪田镇以盛产白果、油茶而闻名，是有名的“白果油茶之乡”。农业作物以黄烟、水稻、花生为主，其中黄烟是坪田镇的传统支柱产业。主要经济林木有银杏、油茶、板栗、毛竹，用材林有马尾松、杉树、枫树、樟树等。境内拥有丰富的萤石矿资源，主要分布在中坪、迳洞、汪汤等地。该镇油茶产业发展迅速，茶籽油当地又称“木籽油”，既可药用又可日常食用。坪田白果历史悠久，经考证距今1300多年的古白果树王就在新墟坳背，100年树龄以上的古银杏树有784株。坪田白果有粒大壳薄、肉质柔软、清香无苦味等优点。每年9月份为白果出产时节。</w:t>
      </w:r>
    </w:p>
    <w:p w14:paraId="4AA984D2">
      <w:pPr>
        <w:pStyle w:val="4"/>
        <w:bidi w:val="0"/>
        <w:rPr>
          <w:rFonts w:hint="eastAsia"/>
          <w:lang w:val="zh-CN"/>
        </w:rPr>
      </w:pPr>
      <w:r>
        <w:rPr>
          <w:rFonts w:hint="eastAsia"/>
          <w:lang w:val="zh-CN"/>
        </w:rPr>
        <w:t>【经济发展】</w:t>
      </w:r>
    </w:p>
    <w:p w14:paraId="31E0BED3">
      <w:pPr>
        <w:bidi w:val="0"/>
        <w:rPr>
          <w:rFonts w:hint="eastAsia"/>
          <w:lang w:val="zh-CN"/>
        </w:rPr>
      </w:pPr>
      <w:r>
        <w:rPr>
          <w:rFonts w:hint="eastAsia"/>
          <w:lang w:val="zh-CN"/>
        </w:rPr>
        <w:t>2018年，坪田镇经济生产总值3.79亿元；财政预算收入1030.72万元，比上年增长26%；农民人均年纯收入1.26万元，比上年增长6%；完成固定资产投资1.35亿元。种植黄烟229.33公顷，完成黄烟收购任务的90.87%，在全市排名第二。水稻总面积1680公顷，优质稻亩单产达到411千克，总产量达1.1万吨，优质稻种植面积超过90%；夏季花生种植面积增加33.33公顷，亩产接近250千克，总产达1300吨。</w:t>
      </w:r>
    </w:p>
    <w:p w14:paraId="280F8E16">
      <w:pPr>
        <w:pStyle w:val="4"/>
        <w:bidi w:val="0"/>
        <w:rPr>
          <w:rFonts w:hint="eastAsia"/>
          <w:lang w:val="zh-CN"/>
        </w:rPr>
      </w:pPr>
      <w:r>
        <w:rPr>
          <w:rFonts w:hint="eastAsia"/>
          <w:lang w:val="zh-CN"/>
        </w:rPr>
        <w:t>【社会事业发展】</w:t>
      </w:r>
    </w:p>
    <w:p w14:paraId="33F262B9">
      <w:pPr>
        <w:bidi w:val="0"/>
        <w:rPr>
          <w:rFonts w:hint="eastAsia"/>
          <w:lang w:val="zh-CN"/>
        </w:rPr>
      </w:pPr>
      <w:r>
        <w:rPr>
          <w:rFonts w:hint="eastAsia"/>
          <w:lang w:val="zh-CN"/>
        </w:rPr>
        <w:t>2018年，坪田镇25个20户以上省定贫困村自然村启动“三清三拆三整治”工作，累计拆除危旧房、废弃猪牛栏及露天厕所等5019间，拆除面积12万平方米。完成12个村级卫生站建设。投入300多万元资金，完成长坑、老龙、龙头村级党群服务中心综合体建设。投入49万元资金建设横岭村海螺坑水库除险加固工程。投入7万元资金用于河道清理专项工作。协助投资1776万元的老坪田污水处理厂及配套管网建设。申报专项资金，完善坳背银杏树及冯屋枳椇树王围栏修建，深挖古银杏文化，10月坪田镇荣获由中国林学会评选的“中国最美银杏文化小镇”称号。</w:t>
      </w:r>
    </w:p>
    <w:p w14:paraId="1B9767B3">
      <w:pPr>
        <w:pStyle w:val="4"/>
        <w:bidi w:val="0"/>
        <w:rPr>
          <w:rFonts w:hint="eastAsia"/>
          <w:lang w:val="zh-CN"/>
        </w:rPr>
      </w:pPr>
      <w:r>
        <w:rPr>
          <w:rFonts w:hint="eastAsia"/>
          <w:lang w:val="zh-CN"/>
        </w:rPr>
        <w:t>【特色农业发展】</w:t>
      </w:r>
    </w:p>
    <w:p w14:paraId="4713593F">
      <w:pPr>
        <w:bidi w:val="0"/>
        <w:rPr>
          <w:rFonts w:hint="eastAsia"/>
          <w:lang w:val="zh-CN"/>
        </w:rPr>
      </w:pPr>
      <w:r>
        <w:rPr>
          <w:rFonts w:hint="eastAsia"/>
          <w:lang w:val="zh-CN"/>
        </w:rPr>
        <w:t>完成重点工作——横岭西瓜基地建设，达到上半年种植230亩目标，采摘量达10万斤，效益约达24万元；官陂村发展现代化猪场养殖并打造“七彩”农业产业园；长坑村成立种养合作社，投资21万元，与当地养殖大户进行五黑鸡养殖合作；老龙村发展红薯种植，打造坪田“杏香薯”特色品牌。</w:t>
      </w:r>
    </w:p>
    <w:p w14:paraId="77BE4AC1">
      <w:pPr>
        <w:pStyle w:val="4"/>
        <w:bidi w:val="0"/>
        <w:rPr>
          <w:rFonts w:hint="eastAsia"/>
          <w:lang w:val="zh-CN"/>
        </w:rPr>
      </w:pPr>
      <w:r>
        <w:rPr>
          <w:rFonts w:hint="eastAsia"/>
          <w:lang w:val="zh-CN"/>
        </w:rPr>
        <w:t>【精准扶贫】</w:t>
      </w:r>
    </w:p>
    <w:p w14:paraId="1C98D549">
      <w:pPr>
        <w:bidi w:val="0"/>
        <w:rPr>
          <w:rFonts w:hint="eastAsia"/>
          <w:lang w:val="zh-CN"/>
        </w:rPr>
      </w:pPr>
      <w:r>
        <w:rPr>
          <w:rFonts w:hint="eastAsia"/>
          <w:lang w:val="zh-CN"/>
        </w:rPr>
        <w:t>坪田镇建档立卡贫困户310户780人（有劳动能力贫困户191户602人、无劳动能力贫困户119户178人），通过“回头看”新增贫困户16户52人。2018年完成脱贫290户717人。完成拨付使用扶贫资金约为1127.68万元，发放给贫困户子女教育补助123人约76.5万元；危房改造45户，其中D级危房34户，C级修缮11户。</w:t>
      </w:r>
    </w:p>
    <w:p w14:paraId="4E1520C2">
      <w:pPr>
        <w:pStyle w:val="4"/>
        <w:bidi w:val="0"/>
        <w:rPr>
          <w:rFonts w:hint="eastAsia"/>
          <w:lang w:val="zh-CN"/>
        </w:rPr>
      </w:pPr>
      <w:r>
        <w:rPr>
          <w:rFonts w:hint="eastAsia"/>
          <w:lang w:val="zh-CN"/>
        </w:rPr>
        <w:t>【农村生活垃圾整治】</w:t>
      </w:r>
    </w:p>
    <w:p w14:paraId="4910DF24">
      <w:pPr>
        <w:bidi w:val="0"/>
        <w:rPr>
          <w:rFonts w:hint="eastAsia"/>
          <w:lang w:val="zh-CN"/>
        </w:rPr>
      </w:pPr>
      <w:r>
        <w:rPr>
          <w:rFonts w:hint="eastAsia"/>
          <w:lang w:val="zh-CN"/>
        </w:rPr>
        <w:t>各村聘请专职保洁员102人，每周定期组织党员干部开展卫生清洁，配合北控公司进行垃圾清运工作，保证垃圾处理常态化。清理巷道145条6214.2平方米；清理房前屋后杂草杂物、积存垃圾1114处367.6吨；清理沟渠池塘溪河淤泥、漂浮物和障碍物172条98.4吨。</w:t>
      </w:r>
    </w:p>
    <w:p w14:paraId="548F0D79">
      <w:pPr>
        <w:pStyle w:val="4"/>
        <w:bidi w:val="0"/>
        <w:rPr>
          <w:rFonts w:hint="eastAsia"/>
          <w:lang w:val="zh-CN"/>
        </w:rPr>
      </w:pPr>
      <w:r>
        <w:rPr>
          <w:rFonts w:hint="eastAsia"/>
          <w:lang w:val="zh-CN"/>
        </w:rPr>
        <w:t>【各村委会（社区）基本情况】</w:t>
      </w:r>
    </w:p>
    <w:p w14:paraId="28E4A84E">
      <w:pPr>
        <w:bidi w:val="0"/>
        <w:rPr>
          <w:rFonts w:hint="eastAsia"/>
          <w:lang w:val="zh-CN"/>
        </w:rPr>
      </w:pPr>
      <w:r>
        <w:rPr>
          <w:rFonts w:hint="eastAsia"/>
          <w:b/>
          <w:bCs/>
          <w:lang w:val="zh-CN"/>
        </w:rPr>
        <w:t>长坑村</w:t>
      </w:r>
      <w:r>
        <w:rPr>
          <w:rFonts w:hint="eastAsia"/>
          <w:b/>
          <w:bCs/>
          <w:lang w:val="en-US" w:eastAsia="zh-CN"/>
        </w:rPr>
        <w:t xml:space="preserve">   </w:t>
      </w:r>
      <w:r>
        <w:rPr>
          <w:rFonts w:hint="eastAsia"/>
          <w:lang w:val="zh-CN"/>
        </w:rPr>
        <w:t>有6个自然村，7个村民小组，总人口2502人。位于坪田镇政府偏北方向，距镇政府约1千米。农业主要以黄烟、水稻种植为主。</w:t>
      </w:r>
    </w:p>
    <w:p w14:paraId="600A4FD1">
      <w:pPr>
        <w:bidi w:val="0"/>
        <w:rPr>
          <w:rFonts w:hint="eastAsia"/>
          <w:lang w:val="zh-CN"/>
        </w:rPr>
      </w:pPr>
      <w:r>
        <w:rPr>
          <w:rFonts w:hint="eastAsia"/>
          <w:b/>
          <w:bCs/>
          <w:lang w:val="zh-CN"/>
        </w:rPr>
        <w:t>老龙村</w:t>
      </w:r>
      <w:r>
        <w:rPr>
          <w:rFonts w:hint="eastAsia"/>
          <w:b/>
          <w:bCs/>
          <w:lang w:val="en-US" w:eastAsia="zh-CN"/>
        </w:rPr>
        <w:t xml:space="preserve">   </w:t>
      </w:r>
      <w:r>
        <w:rPr>
          <w:rFonts w:hint="eastAsia"/>
          <w:lang w:val="zh-CN"/>
        </w:rPr>
        <w:t>有10个自然村，11个村民小组，总人口2722人。位于坪田镇东部，距镇政府约0.5千米。全村地形为东高西低，属平原地段。主要以种植水稻、黄烟、花生为主。</w:t>
      </w:r>
    </w:p>
    <w:p w14:paraId="7917A80B">
      <w:pPr>
        <w:bidi w:val="0"/>
        <w:rPr>
          <w:rFonts w:hint="eastAsia"/>
          <w:lang w:val="zh-CN"/>
        </w:rPr>
      </w:pPr>
      <w:r>
        <w:rPr>
          <w:rFonts w:hint="eastAsia"/>
          <w:b/>
          <w:bCs/>
          <w:lang w:val="zh-CN"/>
        </w:rPr>
        <w:t>背迳村</w:t>
      </w:r>
      <w:r>
        <w:rPr>
          <w:rFonts w:hint="eastAsia"/>
          <w:b/>
          <w:bCs/>
          <w:lang w:val="en-US" w:eastAsia="zh-CN"/>
        </w:rPr>
        <w:t xml:space="preserve">   </w:t>
      </w:r>
      <w:r>
        <w:rPr>
          <w:rFonts w:hint="eastAsia"/>
          <w:lang w:val="zh-CN"/>
        </w:rPr>
        <w:t>有19个自然村，14个村民小组，总人口2008人。位于坪田镇东北方向，距镇政府约2千米。全村以丘陵地形地貌为主，其中耕地125.93公顷，林地652.47公顷，其他25.07公顷，森林资源比较丰富。村民主要以种植水稻、黄烟、花生为主。</w:t>
      </w:r>
    </w:p>
    <w:p w14:paraId="0485215B">
      <w:pPr>
        <w:bidi w:val="0"/>
        <w:rPr>
          <w:rFonts w:hint="eastAsia"/>
          <w:lang w:val="zh-CN"/>
        </w:rPr>
      </w:pPr>
      <w:r>
        <w:rPr>
          <w:rFonts w:hint="eastAsia"/>
          <w:b/>
          <w:bCs/>
          <w:lang w:val="zh-CN"/>
        </w:rPr>
        <w:t>龙口村</w:t>
      </w:r>
      <w:r>
        <w:rPr>
          <w:rFonts w:hint="eastAsia"/>
          <w:b/>
          <w:bCs/>
          <w:lang w:val="en-US" w:eastAsia="zh-CN"/>
        </w:rPr>
        <w:t xml:space="preserve">   </w:t>
      </w:r>
      <w:r>
        <w:rPr>
          <w:rFonts w:hint="eastAsia"/>
          <w:lang w:val="zh-CN"/>
        </w:rPr>
        <w:t>有4个自然村，10个村民小组，总人口1549人。位于坪田镇政府南，距镇政府约2.5千米。全村以丘陵地形地貌为主，其中耕地104.8公顷，林地283公顷，其他20.53公顷。村民主要收入来源有种植黄烟、水稻和花生，养殖家畜以及外出务工。</w:t>
      </w:r>
    </w:p>
    <w:p w14:paraId="2D29E83A">
      <w:pPr>
        <w:bidi w:val="0"/>
        <w:rPr>
          <w:rFonts w:hint="eastAsia"/>
          <w:lang w:val="zh-CN"/>
        </w:rPr>
      </w:pPr>
      <w:r>
        <w:rPr>
          <w:rFonts w:hint="eastAsia"/>
          <w:b/>
          <w:bCs/>
          <w:lang w:val="zh-CN"/>
        </w:rPr>
        <w:t>横岭村</w:t>
      </w:r>
      <w:r>
        <w:rPr>
          <w:rFonts w:hint="eastAsia"/>
          <w:b/>
          <w:bCs/>
          <w:lang w:val="en-US" w:eastAsia="zh-CN"/>
        </w:rPr>
        <w:t xml:space="preserve">   </w:t>
      </w:r>
      <w:r>
        <w:rPr>
          <w:rFonts w:hint="eastAsia"/>
          <w:lang w:val="zh-CN"/>
        </w:rPr>
        <w:t>有8个自然村，11个村民小组，总人口1676人。位于坪田镇政府南部，距镇政府约2.5千米。全村地理位置平稳，气候温和，空气清新，山林资源丰富。农业主要以水稻、花生种植为主。</w:t>
      </w:r>
    </w:p>
    <w:p w14:paraId="4C193A4A">
      <w:pPr>
        <w:bidi w:val="0"/>
        <w:rPr>
          <w:rFonts w:hint="eastAsia"/>
          <w:lang w:val="zh-CN"/>
        </w:rPr>
      </w:pPr>
      <w:r>
        <w:rPr>
          <w:rFonts w:hint="eastAsia"/>
          <w:b/>
          <w:bCs/>
          <w:lang w:val="zh-CN"/>
        </w:rPr>
        <w:t>小塘村</w:t>
      </w:r>
      <w:r>
        <w:rPr>
          <w:rFonts w:hint="eastAsia"/>
          <w:b/>
          <w:bCs/>
          <w:lang w:val="en-US" w:eastAsia="zh-CN"/>
        </w:rPr>
        <w:t xml:space="preserve">   </w:t>
      </w:r>
      <w:r>
        <w:rPr>
          <w:rFonts w:hint="eastAsia"/>
          <w:lang w:val="zh-CN"/>
        </w:rPr>
        <w:t>有9个村民小组，总人口1415人。位于坪田镇西面，距镇政府约5千米。村民主要经济来源以种植水稻、黄烟、花生、辣椒，养殖猪、牛、鸡、鸭、鱼为主。</w:t>
      </w:r>
    </w:p>
    <w:p w14:paraId="30EE8428">
      <w:pPr>
        <w:bidi w:val="0"/>
        <w:rPr>
          <w:rFonts w:hint="eastAsia"/>
          <w:lang w:val="zh-CN"/>
        </w:rPr>
      </w:pPr>
      <w:r>
        <w:rPr>
          <w:rFonts w:hint="eastAsia"/>
          <w:b/>
          <w:bCs/>
          <w:lang w:val="zh-CN"/>
        </w:rPr>
        <w:t>官陂村</w:t>
      </w:r>
      <w:r>
        <w:rPr>
          <w:rFonts w:hint="eastAsia"/>
          <w:b/>
          <w:bCs/>
          <w:lang w:val="en-US" w:eastAsia="zh-CN"/>
        </w:rPr>
        <w:t xml:space="preserve">   </w:t>
      </w:r>
      <w:r>
        <w:rPr>
          <w:rFonts w:hint="eastAsia"/>
          <w:lang w:val="zh-CN"/>
        </w:rPr>
        <w:t>有11个自然村，总人口1891人。位于坪田镇政府西南面，距离镇政府3千米，与南亩镇相邻。全村主要以种植黄烟、水稻为主。</w:t>
      </w:r>
    </w:p>
    <w:p w14:paraId="552DD233">
      <w:pPr>
        <w:bidi w:val="0"/>
        <w:rPr>
          <w:rFonts w:hint="eastAsia"/>
          <w:lang w:val="zh-CN"/>
        </w:rPr>
      </w:pPr>
      <w:r>
        <w:rPr>
          <w:rFonts w:hint="eastAsia"/>
          <w:b/>
          <w:bCs/>
          <w:lang w:val="zh-CN"/>
        </w:rPr>
        <w:t>坪湖村</w:t>
      </w:r>
      <w:r>
        <w:rPr>
          <w:rFonts w:hint="eastAsia"/>
          <w:b/>
          <w:bCs/>
          <w:lang w:val="en-US" w:eastAsia="zh-CN"/>
        </w:rPr>
        <w:t xml:space="preserve">   </w:t>
      </w:r>
      <w:r>
        <w:rPr>
          <w:rFonts w:hint="eastAsia"/>
          <w:lang w:val="zh-CN"/>
        </w:rPr>
        <w:t>有15个村民小组，总人口2155人。位于坪田镇西南方向，距离镇政府16千米。全村以丘陵地形地貌为主，其中耕地85.73公顷，林地1323.33公顷，其他41.33公顷。村民主要经济来源为种植银杏、油茶、水稻及外出务工和部分畜禽养殖。</w:t>
      </w:r>
    </w:p>
    <w:p w14:paraId="5535262D">
      <w:pPr>
        <w:bidi w:val="0"/>
        <w:rPr>
          <w:rFonts w:hint="eastAsia"/>
          <w:lang w:val="zh-CN"/>
        </w:rPr>
      </w:pPr>
      <w:r>
        <w:rPr>
          <w:rFonts w:hint="eastAsia"/>
          <w:b/>
          <w:bCs/>
          <w:lang w:val="zh-CN"/>
        </w:rPr>
        <w:t>坪田村</w:t>
      </w:r>
      <w:r>
        <w:rPr>
          <w:rFonts w:hint="eastAsia"/>
          <w:b/>
          <w:bCs/>
          <w:lang w:val="en-US" w:eastAsia="zh-CN"/>
        </w:rPr>
        <w:t xml:space="preserve">   </w:t>
      </w:r>
      <w:r>
        <w:rPr>
          <w:rFonts w:hint="eastAsia"/>
          <w:lang w:val="zh-CN"/>
        </w:rPr>
        <w:t>有16个自然村，18个村民小组，总人口1926人。位于坪田镇东南方向，距离镇政府11千米。本村以种植水稻、番薯、大豆、花生、辣椒为主，经济林有白果、油茶。</w:t>
      </w:r>
    </w:p>
    <w:p w14:paraId="4BCB773E">
      <w:pPr>
        <w:bidi w:val="0"/>
        <w:rPr>
          <w:rFonts w:hint="eastAsia"/>
          <w:lang w:val="zh-CN"/>
        </w:rPr>
      </w:pPr>
      <w:r>
        <w:rPr>
          <w:rFonts w:hint="eastAsia"/>
          <w:b/>
          <w:bCs/>
          <w:lang w:val="zh-CN"/>
        </w:rPr>
        <w:t>龙头村</w:t>
      </w:r>
      <w:r>
        <w:rPr>
          <w:rFonts w:hint="eastAsia"/>
          <w:b/>
          <w:bCs/>
          <w:lang w:val="en-US" w:eastAsia="zh-CN"/>
        </w:rPr>
        <w:t xml:space="preserve">   </w:t>
      </w:r>
      <w:r>
        <w:rPr>
          <w:rFonts w:hint="eastAsia"/>
          <w:lang w:val="zh-CN"/>
        </w:rPr>
        <w:t>有8个自然村，12个村民小组，总人口1072人。位于坪田镇东南方向，距离镇政府15千米。全村主要以种植水稻、花生、辣椒为主。部分村民养殖猪、牛、山羊。</w:t>
      </w:r>
    </w:p>
    <w:p w14:paraId="3A0A0DF6">
      <w:pPr>
        <w:bidi w:val="0"/>
        <w:rPr>
          <w:rFonts w:hint="eastAsia"/>
          <w:lang w:val="zh-CN"/>
        </w:rPr>
      </w:pPr>
      <w:r>
        <w:rPr>
          <w:rFonts w:hint="eastAsia"/>
          <w:b/>
          <w:bCs/>
          <w:lang w:val="zh-CN"/>
        </w:rPr>
        <w:t>迳洞村</w:t>
      </w:r>
      <w:r>
        <w:rPr>
          <w:rFonts w:hint="eastAsia"/>
          <w:b/>
          <w:bCs/>
          <w:lang w:val="en-US" w:eastAsia="zh-CN"/>
        </w:rPr>
        <w:t xml:space="preserve">   </w:t>
      </w:r>
      <w:r>
        <w:rPr>
          <w:rFonts w:hint="eastAsia"/>
          <w:lang w:val="zh-CN"/>
        </w:rPr>
        <w:t>有25个村民小组，总人口2472人。位于坪田镇东南方向，距离镇政府13千米。全村以丘陵地形地貌为主，其中耕地92公顷，林地1587公顷，其他16.67公顷。农户以种植水稻、花生、辣椒为主。部分农户开展养猪、养牛等养殖业。</w:t>
      </w:r>
    </w:p>
    <w:p w14:paraId="6F532B8A">
      <w:pPr>
        <w:bidi w:val="0"/>
        <w:rPr>
          <w:rFonts w:hint="eastAsia"/>
          <w:lang w:val="zh-CN"/>
        </w:rPr>
      </w:pPr>
      <w:r>
        <w:rPr>
          <w:rFonts w:hint="eastAsia"/>
          <w:b/>
          <w:bCs/>
          <w:lang w:val="zh-CN"/>
        </w:rPr>
        <w:t>新墟村</w:t>
      </w:r>
      <w:r>
        <w:rPr>
          <w:rFonts w:hint="eastAsia"/>
          <w:b/>
          <w:bCs/>
          <w:lang w:val="en-US" w:eastAsia="zh-CN"/>
        </w:rPr>
        <w:t xml:space="preserve">   </w:t>
      </w:r>
      <w:r>
        <w:rPr>
          <w:rFonts w:hint="eastAsia"/>
          <w:lang w:val="zh-CN"/>
        </w:rPr>
        <w:t>有8个村民小组，总人口1602人。位于坪田镇南，距离镇政府9千米。村民主要收入来源为种植水稻、黄烟和花生，养殖家畜及外出务工。</w:t>
      </w:r>
    </w:p>
    <w:p w14:paraId="53A78517">
      <w:pPr>
        <w:bidi w:val="0"/>
        <w:rPr>
          <w:rFonts w:hint="eastAsia"/>
          <w:lang w:val="zh-CN"/>
        </w:rPr>
      </w:pPr>
      <w:r>
        <w:rPr>
          <w:rFonts w:hint="eastAsia"/>
          <w:b/>
          <w:bCs/>
          <w:lang w:val="zh-CN"/>
        </w:rPr>
        <w:t>老宅村</w:t>
      </w:r>
      <w:r>
        <w:rPr>
          <w:rFonts w:hint="eastAsia"/>
          <w:b/>
          <w:bCs/>
          <w:lang w:val="en-US" w:eastAsia="zh-CN"/>
        </w:rPr>
        <w:t xml:space="preserve">   </w:t>
      </w:r>
      <w:r>
        <w:rPr>
          <w:rFonts w:hint="eastAsia"/>
          <w:lang w:val="zh-CN"/>
        </w:rPr>
        <w:t>有7个自然村，总人口1751人。位于坪田镇南，距离镇政府8千米。全村以丘陵地形地貌为主，其中耕地67.4公顷，林地833.33公顷，其他7.67公顷。主要种植水稻、辣椒、花生；主要土特产有银杏、香菇、油茶。</w:t>
      </w:r>
    </w:p>
    <w:p w14:paraId="5058F6AE">
      <w:pPr>
        <w:bidi w:val="0"/>
        <w:rPr>
          <w:rFonts w:hint="eastAsia"/>
          <w:lang w:val="zh-CN"/>
        </w:rPr>
      </w:pPr>
      <w:r>
        <w:rPr>
          <w:rFonts w:hint="eastAsia"/>
          <w:b/>
          <w:bCs/>
          <w:lang w:val="zh-CN"/>
        </w:rPr>
        <w:t>中坪村</w:t>
      </w:r>
      <w:r>
        <w:rPr>
          <w:rFonts w:hint="eastAsia"/>
          <w:b/>
          <w:bCs/>
          <w:lang w:val="en-US" w:eastAsia="zh-CN"/>
        </w:rPr>
        <w:t xml:space="preserve">   </w:t>
      </w:r>
      <w:r>
        <w:rPr>
          <w:rFonts w:hint="eastAsia"/>
          <w:lang w:val="zh-CN"/>
        </w:rPr>
        <w:t>有21个村民小组，总人口1996人。位于坪田镇东南面，距离镇政府8千米。村民主要收入来源为种植水稻、花生、辣椒，外出务工和部分养殖。</w:t>
      </w:r>
    </w:p>
    <w:p w14:paraId="3EECE66F">
      <w:pPr>
        <w:bidi w:val="0"/>
        <w:rPr>
          <w:rFonts w:hint="eastAsia"/>
          <w:lang w:val="zh-CN"/>
        </w:rPr>
      </w:pPr>
      <w:r>
        <w:rPr>
          <w:rFonts w:hint="eastAsia"/>
          <w:b/>
          <w:bCs/>
          <w:lang w:val="zh-CN"/>
        </w:rPr>
        <w:t>老龙社区</w:t>
      </w:r>
      <w:r>
        <w:rPr>
          <w:rFonts w:hint="eastAsia"/>
          <w:b/>
          <w:bCs/>
          <w:lang w:val="en-US" w:eastAsia="zh-CN"/>
        </w:rPr>
        <w:t xml:space="preserve">   </w:t>
      </w:r>
      <w:r>
        <w:rPr>
          <w:rFonts w:hint="eastAsia"/>
          <w:lang w:val="zh-CN"/>
        </w:rPr>
        <w:t>老龙社区办公地点驻坪田镇镇政府内，户籍总人口1048人，人口主要分布在坪田镇各行政村及两个居民小组中。社区居民多数外出务工谋生。辖区内设有医院、中小学学校、幼儿园、银行、邮政所、烟站、集市等公共服务设施，居民安居乐业。</w:t>
      </w:r>
    </w:p>
    <w:p w14:paraId="10D5E1BD">
      <w:pPr>
        <w:bidi w:val="0"/>
        <w:jc w:val="right"/>
        <w:rPr>
          <w:rFonts w:hint="eastAsia"/>
          <w:b/>
          <w:bCs/>
          <w:lang w:val="zh-CN"/>
        </w:rPr>
      </w:pPr>
      <w:r>
        <w:rPr>
          <w:rFonts w:hint="eastAsia"/>
          <w:b/>
          <w:bCs/>
          <w:lang w:val="zh-CN"/>
        </w:rPr>
        <w:t>（邓文豪）</w:t>
      </w:r>
    </w:p>
    <w:p w14:paraId="39F11FE9">
      <w:pPr>
        <w:bidi w:val="0"/>
        <w:rPr>
          <w:rFonts w:hint="eastAsia"/>
          <w:lang w:val="zh-CN"/>
        </w:rPr>
      </w:pPr>
      <w:r>
        <w:rPr>
          <w:rFonts w:hint="eastAsia"/>
          <w:b/>
          <w:bCs/>
          <w:lang w:val="zh-CN"/>
        </w:rPr>
        <w:t>电子商务服务站助力乡村扶贫</w:t>
      </w:r>
      <w:r>
        <w:rPr>
          <w:rFonts w:hint="eastAsia"/>
          <w:b/>
          <w:bCs/>
          <w:lang w:val="en-US" w:eastAsia="zh-CN"/>
        </w:rPr>
        <w:t xml:space="preserve">  </w:t>
      </w:r>
      <w:r>
        <w:rPr>
          <w:rFonts w:hint="eastAsia"/>
          <w:b w:val="0"/>
          <w:bCs w:val="0"/>
          <w:lang w:val="en-US" w:eastAsia="zh-CN"/>
        </w:rPr>
        <w:t xml:space="preserve"> </w:t>
      </w:r>
      <w:r>
        <w:rPr>
          <w:rFonts w:hint="eastAsia"/>
          <w:lang w:val="zh-CN"/>
        </w:rPr>
        <w:t>8月15日，官陂村电子商务服务站开业，这是由东莞市政协办、韶关鸿创网络科技有限公司、网易韶关联合打造的韶关市首个“扶贫超市”“扶贫车间”和“电子商务中心”。扶贫超市是与农村电子商务线上匹配的实体店，集消费、展示、体验为一体，同时为村民提供方便的购物环境。电子商务中心主要是代办中国电信宽带、电话报装、充值、代收电话费；代收快递、代理农村淘宝网购；举办各类惠民活动。扶贫车间主要是通过电子商务平台承接珠三角手工业加工，具有订单和销售“两头在外”、工艺简单、便于广大贫困户参与的特点。主要帮助抗风险能力低、经营能力差、不适合直接去发展特色种养殖业的贫困户增加收入。电子商务服务站的建成，有效解决官陂村贫困残疾人就业问题，帮助贫困户早日脱贫。</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EED3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A31C945">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87440" cy="4000500"/>
                  <wp:effectExtent l="0" t="0" r="3810" b="0"/>
                  <wp:docPr id="140" name="图片 140" descr="南雄年鉴2019_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南雄年鉴2019_0115"/>
                          <pic:cNvPicPr>
                            <a:picLocks noChangeAspect="1"/>
                          </pic:cNvPicPr>
                        </pic:nvPicPr>
                        <pic:blipFill>
                          <a:blip r:embed="rId127"/>
                          <a:stretch>
                            <a:fillRect/>
                          </a:stretch>
                        </pic:blipFill>
                        <pic:spPr>
                          <a:xfrm>
                            <a:off x="0" y="0"/>
                            <a:ext cx="6187440" cy="4000500"/>
                          </a:xfrm>
                          <a:prstGeom prst="rect">
                            <a:avLst/>
                          </a:prstGeom>
                        </pic:spPr>
                      </pic:pic>
                    </a:graphicData>
                  </a:graphic>
                </wp:inline>
              </w:drawing>
            </w:r>
          </w:p>
        </w:tc>
      </w:tr>
      <w:tr w14:paraId="6E26B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F423FE6">
            <w:pPr>
              <w:bidi w:val="0"/>
              <w:rPr>
                <w:rFonts w:hint="eastAsia"/>
                <w:vertAlign w:val="baseline"/>
                <w:lang w:val="zh-CN"/>
              </w:rPr>
            </w:pPr>
            <w:r>
              <w:rPr>
                <w:rFonts w:hint="eastAsia" w:ascii="FZKTK--GBK1-0" w:hAnsi="FZKTK--GBK1-0" w:eastAsia="FZKTK--GBK1-0"/>
                <w:sz w:val="20"/>
              </w:rPr>
              <w:t>图为南雄市首个“扶贫超市”成立</w:t>
            </w:r>
          </w:p>
        </w:tc>
      </w:tr>
    </w:tbl>
    <w:p w14:paraId="2F43C11D">
      <w:pPr>
        <w:bidi w:val="0"/>
        <w:rPr>
          <w:rFonts w:hint="eastAsia"/>
          <w:lang w:val="zh-CN"/>
        </w:rPr>
      </w:pPr>
      <w:r>
        <w:rPr>
          <w:rFonts w:hint="eastAsia"/>
          <w:b/>
          <w:bCs/>
          <w:lang w:val="zh-CN"/>
        </w:rPr>
        <w:t>长坑村“留守儿童之家”成立</w:t>
      </w:r>
      <w:r>
        <w:rPr>
          <w:rFonts w:hint="eastAsia"/>
          <w:b/>
          <w:bCs/>
          <w:lang w:val="en-US" w:eastAsia="zh-CN"/>
        </w:rPr>
        <w:t xml:space="preserve">  </w:t>
      </w:r>
      <w:r>
        <w:rPr>
          <w:rFonts w:hint="eastAsia"/>
          <w:lang w:val="en-US" w:eastAsia="zh-CN"/>
        </w:rPr>
        <w:t xml:space="preserve"> </w:t>
      </w:r>
      <w:r>
        <w:rPr>
          <w:rFonts w:hint="eastAsia"/>
          <w:lang w:val="zh-CN"/>
        </w:rPr>
        <w:t>8月8日，坪田镇首个留守儿童之家——长坑村“留守儿童之家”揭牌成立。南雄市委常委、组织部部长林军参加仪式。活动中，南雄市“关工委”工作人员为33位留守儿童集中上了一堂课，南雄市挂点帮扶坪田镇的机关事务中心为“留守儿童之家”捐赠书包33个，文具33套，桌椅32套。</w:t>
      </w:r>
    </w:p>
    <w:p w14:paraId="616843BD">
      <w:pPr>
        <w:bidi w:val="0"/>
        <w:rPr>
          <w:rFonts w:hint="eastAsia"/>
          <w:lang w:val="zh-CN"/>
        </w:rPr>
      </w:pPr>
      <w:r>
        <w:rPr>
          <w:rFonts w:hint="eastAsia"/>
          <w:lang w:val="zh-CN"/>
        </w:rPr>
        <w:t>在城镇化进程建设中，农村出现一大批父母在外务工的留守儿童，“留守儿童之家”的成立，能在生活、精神、学习上对这些儿童给予帮助，提供一个学习成长的环境，让他们感受到党和政府的关怀、社会各界的关爱，能够健康、快乐、积极向上地学习成长。</w:t>
      </w:r>
    </w:p>
    <w:p w14:paraId="341406C9">
      <w:pPr>
        <w:pStyle w:val="11"/>
        <w:bidi w:val="0"/>
        <w:rPr>
          <w:rFonts w:hint="eastAsia"/>
          <w:b/>
          <w:bCs/>
          <w:lang w:val="zh-CN"/>
        </w:rPr>
      </w:pPr>
      <w:r>
        <w:rPr>
          <w:rFonts w:hint="eastAsia"/>
          <w:b/>
          <w:bCs/>
          <w:lang w:val="zh-CN"/>
        </w:rPr>
        <w:t>附：2018年坪田镇领导班子成员名单</w:t>
      </w:r>
    </w:p>
    <w:p w14:paraId="630EB450">
      <w:pPr>
        <w:pStyle w:val="11"/>
        <w:bidi w:val="0"/>
        <w:rPr>
          <w:rFonts w:hint="eastAsia"/>
          <w:lang w:val="zh-CN"/>
        </w:rPr>
      </w:pPr>
      <w:r>
        <w:rPr>
          <w:rFonts w:hint="eastAsia"/>
          <w:b/>
          <w:bCs/>
          <w:lang w:val="zh-CN"/>
        </w:rPr>
        <w:t>党委书记：</w:t>
      </w:r>
      <w:r>
        <w:rPr>
          <w:rFonts w:hint="eastAsia"/>
          <w:lang w:val="zh-CN"/>
        </w:rPr>
        <w:t>刘</w:t>
      </w:r>
      <w:r>
        <w:rPr>
          <w:rFonts w:hint="eastAsia"/>
          <w:lang w:val="en-US" w:eastAsia="zh-CN"/>
        </w:rPr>
        <w:t xml:space="preserve">  </w:t>
      </w:r>
      <w:r>
        <w:rPr>
          <w:rFonts w:hint="eastAsia"/>
          <w:lang w:val="zh-CN"/>
        </w:rPr>
        <w:t>均</w:t>
      </w:r>
    </w:p>
    <w:p w14:paraId="77EC3479">
      <w:pPr>
        <w:pStyle w:val="11"/>
        <w:bidi w:val="0"/>
        <w:rPr>
          <w:rFonts w:hint="eastAsia"/>
          <w:lang w:val="zh-CN"/>
        </w:rPr>
      </w:pPr>
      <w:r>
        <w:rPr>
          <w:rFonts w:hint="eastAsia"/>
          <w:b/>
          <w:bCs/>
          <w:lang w:val="zh-CN"/>
        </w:rPr>
        <w:t>党委副书记、镇长：</w:t>
      </w:r>
      <w:r>
        <w:rPr>
          <w:rFonts w:hint="eastAsia"/>
          <w:lang w:val="zh-CN"/>
        </w:rPr>
        <w:t>廖海泉</w:t>
      </w:r>
    </w:p>
    <w:p w14:paraId="3BCC13FB">
      <w:pPr>
        <w:pStyle w:val="11"/>
        <w:bidi w:val="0"/>
        <w:rPr>
          <w:rFonts w:hint="eastAsia"/>
          <w:lang w:val="zh-CN"/>
        </w:rPr>
      </w:pPr>
      <w:r>
        <w:rPr>
          <w:rFonts w:hint="eastAsia"/>
          <w:b/>
          <w:bCs/>
          <w:lang w:val="zh-CN"/>
        </w:rPr>
        <w:t>人大主席：</w:t>
      </w:r>
      <w:r>
        <w:rPr>
          <w:rFonts w:hint="eastAsia"/>
          <w:lang w:val="zh-CN"/>
        </w:rPr>
        <w:t>陈</w:t>
      </w:r>
      <w:r>
        <w:rPr>
          <w:rFonts w:hint="eastAsia"/>
          <w:lang w:val="en-US" w:eastAsia="zh-CN"/>
        </w:rPr>
        <w:t xml:space="preserve">  </w:t>
      </w:r>
      <w:r>
        <w:rPr>
          <w:rFonts w:hint="eastAsia"/>
          <w:lang w:val="zh-CN"/>
        </w:rPr>
        <w:t>俊</w:t>
      </w:r>
    </w:p>
    <w:p w14:paraId="4D65405E">
      <w:pPr>
        <w:pStyle w:val="11"/>
        <w:bidi w:val="0"/>
        <w:rPr>
          <w:rFonts w:hint="eastAsia"/>
          <w:lang w:val="zh-CN"/>
        </w:rPr>
      </w:pPr>
      <w:r>
        <w:rPr>
          <w:rFonts w:hint="eastAsia"/>
          <w:b/>
          <w:bCs/>
          <w:lang w:val="zh-CN"/>
        </w:rPr>
        <w:t>党委副书记（党建）：</w:t>
      </w:r>
      <w:r>
        <w:rPr>
          <w:rFonts w:hint="eastAsia"/>
          <w:lang w:val="zh-CN"/>
        </w:rPr>
        <w:t>黄得林</w:t>
      </w:r>
    </w:p>
    <w:p w14:paraId="0E5E5F9E">
      <w:pPr>
        <w:pStyle w:val="11"/>
        <w:bidi w:val="0"/>
        <w:rPr>
          <w:rFonts w:hint="eastAsia"/>
          <w:lang w:val="zh-CN"/>
        </w:rPr>
      </w:pPr>
      <w:r>
        <w:rPr>
          <w:rFonts w:hint="eastAsia"/>
          <w:b/>
          <w:bCs/>
          <w:lang w:val="zh-CN"/>
        </w:rPr>
        <w:t>党委副书记（综治）：</w:t>
      </w:r>
      <w:r>
        <w:rPr>
          <w:rFonts w:hint="eastAsia"/>
          <w:lang w:val="zh-CN"/>
        </w:rPr>
        <w:t>朱宣华</w:t>
      </w:r>
    </w:p>
    <w:p w14:paraId="6C50AF57">
      <w:pPr>
        <w:pStyle w:val="11"/>
        <w:bidi w:val="0"/>
        <w:rPr>
          <w:rFonts w:hint="eastAsia"/>
          <w:lang w:val="zh-CN"/>
        </w:rPr>
      </w:pPr>
      <w:r>
        <w:rPr>
          <w:rFonts w:hint="eastAsia"/>
          <w:b/>
          <w:bCs/>
          <w:lang w:val="zh-CN"/>
        </w:rPr>
        <w:t>党委委员、纪委书记：</w:t>
      </w:r>
      <w:r>
        <w:rPr>
          <w:rFonts w:hint="eastAsia"/>
          <w:lang w:val="zh-CN"/>
        </w:rPr>
        <w:t>温</w:t>
      </w:r>
      <w:r>
        <w:rPr>
          <w:rFonts w:hint="eastAsia"/>
          <w:lang w:val="en-US" w:eastAsia="zh-CN"/>
        </w:rPr>
        <w:t xml:space="preserve">  </w:t>
      </w:r>
      <w:r>
        <w:rPr>
          <w:rFonts w:hint="eastAsia"/>
          <w:lang w:val="zh-CN"/>
        </w:rPr>
        <w:t>万</w:t>
      </w:r>
    </w:p>
    <w:p w14:paraId="74C18864">
      <w:pPr>
        <w:pStyle w:val="11"/>
        <w:bidi w:val="0"/>
        <w:rPr>
          <w:rFonts w:hint="eastAsia"/>
          <w:lang w:val="zh-CN"/>
        </w:rPr>
      </w:pPr>
      <w:r>
        <w:rPr>
          <w:rFonts w:hint="eastAsia"/>
          <w:b/>
          <w:bCs/>
          <w:lang w:val="zh-CN"/>
        </w:rPr>
        <w:t>党委组织委员：</w:t>
      </w:r>
      <w:r>
        <w:rPr>
          <w:rFonts w:hint="eastAsia"/>
          <w:lang w:val="zh-CN"/>
        </w:rPr>
        <w:t>冯楚珍</w:t>
      </w:r>
    </w:p>
    <w:p w14:paraId="13E78B18">
      <w:pPr>
        <w:pStyle w:val="11"/>
        <w:bidi w:val="0"/>
        <w:rPr>
          <w:rFonts w:hint="eastAsia"/>
          <w:lang w:val="zh-CN"/>
        </w:rPr>
      </w:pPr>
      <w:r>
        <w:rPr>
          <w:rFonts w:hint="eastAsia"/>
          <w:b/>
          <w:bCs/>
          <w:lang w:val="zh-CN"/>
        </w:rPr>
        <w:t>党委宣传委员：</w:t>
      </w:r>
      <w:r>
        <w:rPr>
          <w:rFonts w:hint="eastAsia"/>
          <w:lang w:val="zh-CN"/>
        </w:rPr>
        <w:t>叶华光</w:t>
      </w:r>
    </w:p>
    <w:p w14:paraId="5FF3AED4">
      <w:pPr>
        <w:pStyle w:val="11"/>
        <w:bidi w:val="0"/>
        <w:rPr>
          <w:rFonts w:hint="eastAsia"/>
          <w:lang w:val="zh-CN"/>
        </w:rPr>
      </w:pPr>
      <w:r>
        <w:rPr>
          <w:rFonts w:hint="eastAsia"/>
          <w:b/>
          <w:bCs/>
          <w:lang w:val="zh-CN"/>
        </w:rPr>
        <w:t>党委委员、武装部部长：</w:t>
      </w:r>
      <w:r>
        <w:rPr>
          <w:rFonts w:hint="eastAsia"/>
          <w:lang w:val="zh-CN"/>
        </w:rPr>
        <w:t>杜嗣卿</w:t>
      </w:r>
    </w:p>
    <w:p w14:paraId="19EA1CCE">
      <w:pPr>
        <w:pStyle w:val="11"/>
        <w:bidi w:val="0"/>
        <w:rPr>
          <w:rFonts w:hint="eastAsia"/>
          <w:lang w:val="zh-CN"/>
        </w:rPr>
      </w:pPr>
      <w:r>
        <w:rPr>
          <w:rFonts w:hint="eastAsia"/>
          <w:b/>
          <w:bCs/>
          <w:lang w:val="zh-CN"/>
        </w:rPr>
        <w:t>党委委员、副镇长：</w:t>
      </w:r>
      <w:r>
        <w:rPr>
          <w:rFonts w:hint="eastAsia"/>
          <w:lang w:val="zh-CN"/>
        </w:rPr>
        <w:t>周凤平</w:t>
      </w:r>
    </w:p>
    <w:p w14:paraId="6EB1A1F8">
      <w:pPr>
        <w:pStyle w:val="11"/>
        <w:bidi w:val="0"/>
        <w:rPr>
          <w:rFonts w:hint="eastAsia"/>
          <w:lang w:val="zh-CN"/>
        </w:rPr>
      </w:pPr>
      <w:r>
        <w:rPr>
          <w:rFonts w:hint="eastAsia"/>
          <w:b/>
          <w:bCs/>
          <w:lang w:val="zh-CN"/>
        </w:rPr>
        <w:t>副镇长：</w:t>
      </w:r>
      <w:r>
        <w:rPr>
          <w:rFonts w:hint="eastAsia"/>
          <w:lang w:val="zh-CN"/>
        </w:rPr>
        <w:t>曾令荣</w:t>
      </w:r>
      <w:r>
        <w:rPr>
          <w:rFonts w:hint="eastAsia"/>
          <w:lang w:val="en-US" w:eastAsia="zh-CN"/>
        </w:rPr>
        <w:t xml:space="preserve">   </w:t>
      </w:r>
      <w:r>
        <w:rPr>
          <w:rFonts w:hint="eastAsia"/>
          <w:lang w:val="zh-CN"/>
        </w:rPr>
        <w:t>董顺林</w:t>
      </w:r>
    </w:p>
    <w:p w14:paraId="172DCEF2">
      <w:pPr>
        <w:pStyle w:val="3"/>
        <w:bidi w:val="0"/>
        <w:rPr>
          <w:rFonts w:hint="eastAsia"/>
          <w:lang w:val="zh-CN"/>
        </w:rPr>
      </w:pPr>
      <w:r>
        <w:rPr>
          <w:rFonts w:hint="eastAsia"/>
          <w:lang w:val="zh-CN"/>
        </w:rPr>
        <w:t>黄坑镇</w:t>
      </w:r>
    </w:p>
    <w:p w14:paraId="319DF2C5">
      <w:pPr>
        <w:pStyle w:val="4"/>
        <w:bidi w:val="0"/>
        <w:rPr>
          <w:rFonts w:hint="eastAsia"/>
          <w:lang w:val="zh-CN"/>
        </w:rPr>
      </w:pPr>
      <w:r>
        <w:rPr>
          <w:rFonts w:hint="eastAsia"/>
          <w:lang w:val="zh-CN"/>
        </w:rPr>
        <w:t>【概况】</w:t>
      </w:r>
    </w:p>
    <w:p w14:paraId="72AB23EE">
      <w:pPr>
        <w:bidi w:val="0"/>
        <w:rPr>
          <w:rFonts w:hint="eastAsia"/>
          <w:lang w:val="zh-CN"/>
        </w:rPr>
      </w:pPr>
      <w:r>
        <w:rPr>
          <w:rFonts w:hint="eastAsia"/>
          <w:lang w:val="zh-CN"/>
        </w:rPr>
        <w:t>黄坑镇位于南雄市东北部21千米处，总面积58.26平方千米，人口2.59万，辖11个村（居）委会。有2000多人的省一级中学和1500多人的韶关市一级小学各一所，是省重点建设的中心镇之一。黄坑因黄泥土多而得名.明代属望检乡杨律都。清咸丰四年（1854）废都建约。民国初期沿清制。民国21年（1932）属第六区黄平乡。民国29年（1940）属第二区黄平乡。1951年建立黄坑乡。1958年属火箭（黄坑）人民公社。1962年建立黄坑人民公社。1984年改为区，1986年改为镇。镇政府驻地黄坑墟。黄坑镇辖10个村委会和1个居委会，124个村民小组，总户数7377户，户籍人口2.59万人，常住人口1.49万人，有一个少数民族（畲族）。镇政府内设党政办、人大办、综合治理办、农业办、计生办。行政在编人员26人，事业在编人员14人。2018年被评为“2017年度南雄市信息工作先进单位”，被南雄市人大常委会评为“2017年度人大宣传工作先进单位”，小陂村委会被韶关市爱国卫生运动委员会评为“韶关市卫生村”。</w:t>
      </w:r>
    </w:p>
    <w:p w14:paraId="38923FA4">
      <w:pPr>
        <w:pStyle w:val="4"/>
        <w:bidi w:val="0"/>
        <w:rPr>
          <w:rFonts w:hint="eastAsia"/>
          <w:lang w:val="zh-CN"/>
        </w:rPr>
      </w:pPr>
      <w:r>
        <w:rPr>
          <w:rFonts w:hint="eastAsia"/>
          <w:lang w:val="zh-CN"/>
        </w:rPr>
        <w:t>【旅游资源】</w:t>
      </w:r>
    </w:p>
    <w:p w14:paraId="225C2ED8">
      <w:pPr>
        <w:bidi w:val="0"/>
        <w:rPr>
          <w:rFonts w:hint="eastAsia"/>
          <w:lang w:val="zh-CN"/>
        </w:rPr>
      </w:pPr>
      <w:r>
        <w:rPr>
          <w:rFonts w:hint="eastAsia"/>
          <w:b/>
          <w:bCs/>
          <w:lang w:val="zh-CN"/>
        </w:rPr>
        <w:t>许村宋塔</w:t>
      </w:r>
      <w:r>
        <w:rPr>
          <w:rFonts w:hint="eastAsia"/>
          <w:b/>
          <w:bCs/>
          <w:lang w:val="en-US" w:eastAsia="zh-CN"/>
        </w:rPr>
        <w:t xml:space="preserve">   </w:t>
      </w:r>
      <w:r>
        <w:rPr>
          <w:rFonts w:hint="eastAsia"/>
          <w:lang w:val="zh-CN"/>
        </w:rPr>
        <w:t>坐落在黄坑镇许村，建于北宋，为楼阁式五层青砖结构，平面六角形。塔高21米，塔基围21.6米，直径6.35米。塔用长32厘米、宽16厘米、厚6厘米和4厘米的青砖砌成，砖缝为不定位错开。斗拱以上菱角砖和拨檐砖叠涩出檐，第二至第五层各开一真门，其余各面均开假门，结构与南雄三影塔基本相似。1973年在第一层塔身砖缝内发现北宋景德元宝一枚，证明此塔建于北宋年间。1982年5月被列为南雄县文物保护单位，于2016年重新修缮。</w:t>
      </w:r>
    </w:p>
    <w:p w14:paraId="1410B068">
      <w:pPr>
        <w:bidi w:val="0"/>
        <w:rPr>
          <w:rFonts w:hint="eastAsia"/>
          <w:lang w:val="zh-CN"/>
        </w:rPr>
      </w:pPr>
      <w:r>
        <w:rPr>
          <w:rFonts w:hint="eastAsia"/>
          <w:b/>
          <w:bCs/>
          <w:lang w:val="zh-CN"/>
        </w:rPr>
        <w:t>溪塘古村</w:t>
      </w:r>
      <w:r>
        <w:rPr>
          <w:rFonts w:hint="eastAsia"/>
          <w:b/>
          <w:bCs/>
          <w:lang w:val="en-US" w:eastAsia="zh-CN"/>
        </w:rPr>
        <w:t xml:space="preserve">   </w:t>
      </w:r>
      <w:r>
        <w:rPr>
          <w:rFonts w:hint="eastAsia"/>
          <w:lang w:val="zh-CN"/>
        </w:rPr>
        <w:t>落位于南雄市黄坑镇东南方向，建于公元920年的雄州第一城古溪塘于2009年被评为省古村落。溪塘村内屋宇栉比，巷道纵横，大小宗祠数栋，石匾石柱题刻犹存。溪塘村附近的塔子下有岩石，色浅赭，质优良，可雕刻，称为“溪塘石”。溪塘村人的石柱、石门框、石窗、石匾大多以此石料建筑而成。村民还常取石用以制作石磨、磨刀石、石凳等，或用或出售。南雄现存古代石狮以及珠玑古巷石塔，可能均取料于溪塘石。溪塘石实为溪塘村特有的资源，是广大摄影发烧友捕捉见证历史文化变迁的好去处。</w:t>
      </w:r>
    </w:p>
    <w:p w14:paraId="03ECE6D5">
      <w:pPr>
        <w:pStyle w:val="4"/>
        <w:bidi w:val="0"/>
        <w:rPr>
          <w:rFonts w:hint="eastAsia"/>
          <w:lang w:val="zh-CN"/>
        </w:rPr>
      </w:pPr>
      <w:r>
        <w:rPr>
          <w:rFonts w:hint="eastAsia"/>
          <w:lang w:val="zh-CN"/>
        </w:rPr>
        <w:t>【重点项目】</w:t>
      </w:r>
    </w:p>
    <w:p w14:paraId="65B5C4D3">
      <w:pPr>
        <w:bidi w:val="0"/>
        <w:rPr>
          <w:rFonts w:hint="eastAsia"/>
          <w:lang w:val="zh-CN"/>
        </w:rPr>
      </w:pPr>
      <w:r>
        <w:rPr>
          <w:rFonts w:hint="eastAsia"/>
          <w:lang w:val="zh-CN"/>
        </w:rPr>
        <w:t>统筹扶贫资金73.5万元，通过购买猪苗委托海晟家庭农场代养的形式开展土猪养殖项目。项目进展顺利，2018年度项目分红（60.8元/人）已发到贫困户手中，并聘请2名贫困户进行务工，带动11户贫困户进行家猪养殖，与之已签订购销协议。烟稻轮作产业。为实现贫困户长效脱贫，增强产业“造血”功能，黄坑镇结合实际，采取“公司+合作社+基地+贫困户”的模式，发展千亩农田烟稻轮作产业项目，打造南雄丝苗米产业园。项目投入51.7万元，流转68.93公顷水田，2019年开始运作。</w:t>
      </w:r>
    </w:p>
    <w:p w14:paraId="6CE6F549">
      <w:pPr>
        <w:pStyle w:val="4"/>
        <w:bidi w:val="0"/>
        <w:rPr>
          <w:rFonts w:hint="eastAsia"/>
          <w:lang w:val="zh-CN"/>
        </w:rPr>
      </w:pPr>
      <w:r>
        <w:rPr>
          <w:rFonts w:hint="eastAsia"/>
          <w:lang w:val="zh-CN"/>
        </w:rPr>
        <w:t>【农业生产】</w:t>
      </w:r>
    </w:p>
    <w:p w14:paraId="56398BEB">
      <w:pPr>
        <w:bidi w:val="0"/>
        <w:rPr>
          <w:rFonts w:hint="eastAsia"/>
          <w:lang w:val="zh-CN"/>
        </w:rPr>
      </w:pPr>
      <w:r>
        <w:rPr>
          <w:rFonts w:hint="eastAsia"/>
          <w:lang w:val="zh-CN"/>
        </w:rPr>
        <w:t>2018年全镇签订种植合同面积757.33公顷，收购任务1615吨。其中，发展种烟大户22户，面积73.33公顷。全镇收购烟叶1301.8吨，完成收购总任务的80.6％，均价为12.09元。晚稻播种面积1673.33公顷，其中米香粘、米香粘2号种植面积达1418.67公顷。晚稻参与科技示范农户30户，种植优质稻42.13公顷。绿色高产高效示范连片面积66.67公顷，在社前村委会的部分村小组实施，项目参与农户128户，种植品种以米香粘2号为主，优质高产杂优品种五优珍丝苗示范面积0.67公顷。</w:t>
      </w:r>
    </w:p>
    <w:p w14:paraId="7FD8113B">
      <w:pPr>
        <w:pStyle w:val="4"/>
        <w:bidi w:val="0"/>
        <w:rPr>
          <w:rFonts w:hint="eastAsia"/>
          <w:lang w:val="zh-CN"/>
        </w:rPr>
      </w:pPr>
      <w:r>
        <w:rPr>
          <w:rFonts w:hint="eastAsia"/>
          <w:lang w:val="zh-CN"/>
        </w:rPr>
        <w:t>【精准扶贫】</w:t>
      </w:r>
    </w:p>
    <w:p w14:paraId="7D889443">
      <w:pPr>
        <w:bidi w:val="0"/>
        <w:rPr>
          <w:rFonts w:hint="eastAsia"/>
          <w:lang w:val="zh-CN"/>
        </w:rPr>
      </w:pPr>
      <w:r>
        <w:rPr>
          <w:rFonts w:hint="eastAsia"/>
          <w:lang w:val="zh-CN"/>
        </w:rPr>
        <w:t>全镇有贫困户370户961人，有劳动能力贫困户226户742人，无劳动能力户144户219人。2018年除本年度新增贫困户外，实现64户175人预脱贫，预脱贫人口占比达到97.6%，确保本辖区贫困人口到2020年如期脱贫，剩余贫困人口计划在2019年实现脱贫。</w:t>
      </w:r>
    </w:p>
    <w:p w14:paraId="0626885C">
      <w:pPr>
        <w:bidi w:val="0"/>
        <w:rPr>
          <w:rFonts w:hint="eastAsia"/>
          <w:lang w:val="zh-CN"/>
        </w:rPr>
      </w:pPr>
      <w:r>
        <w:rPr>
          <w:rFonts w:hint="eastAsia"/>
          <w:lang w:val="zh-CN"/>
        </w:rPr>
        <w:t>落实“以奖代补”政策，激发贫困户内生动力。2018年发放奖补资金100.14万余元，奖补金额比2017年增加28.8%。发展资产性收益项目。统筹9个行政村新时期精准扶贫人均2万元专项资金202.75万元，入股南雄市浈江电业光伏发电扶贫项目，统筹扶贫专项资金263万余元入股阳光玫瑰葡萄园项目，实现贫困户可支配收入稳定增长。3个重点贫困村投入98万元建设光伏发电项目，可为集体每年增收11万余元。实施危房改造，2018年上报36户危改指标，36户危改户全部竣工。开展教育资助，全镇建档立卡贫困户在校学生225人，实现所有适龄儿童享受义务教育。2017年秋季至2018年春季，符合扶贫教育政策资助的199人全部落实帮扶。</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9EEA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329C1B6E">
            <w:pPr>
              <w:bidi w:val="0"/>
              <w:ind w:left="0" w:leftChars="0" w:firstLine="0" w:firstLineChars="0"/>
              <w:jc w:val="center"/>
              <w:rPr>
                <w:rFonts w:hint="eastAsia"/>
                <w:vertAlign w:val="baseline"/>
                <w:lang w:val="zh-CN"/>
              </w:rPr>
            </w:pPr>
            <w:r>
              <w:rPr>
                <w:rFonts w:hint="eastAsia"/>
                <w:vertAlign w:val="baseline"/>
                <w:lang w:val="zh-CN"/>
              </w:rPr>
              <w:drawing>
                <wp:inline distT="0" distB="0" distL="114300" distR="114300">
                  <wp:extent cx="6179820" cy="3760470"/>
                  <wp:effectExtent l="0" t="0" r="11430" b="11430"/>
                  <wp:docPr id="141" name="图片 141" descr="南雄年鉴2019_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南雄年鉴2019_0116"/>
                          <pic:cNvPicPr>
                            <a:picLocks noChangeAspect="1"/>
                          </pic:cNvPicPr>
                        </pic:nvPicPr>
                        <pic:blipFill>
                          <a:blip r:embed="rId128"/>
                          <a:stretch>
                            <a:fillRect/>
                          </a:stretch>
                        </pic:blipFill>
                        <pic:spPr>
                          <a:xfrm>
                            <a:off x="0" y="0"/>
                            <a:ext cx="6179820" cy="3760470"/>
                          </a:xfrm>
                          <a:prstGeom prst="rect">
                            <a:avLst/>
                          </a:prstGeom>
                        </pic:spPr>
                      </pic:pic>
                    </a:graphicData>
                  </a:graphic>
                </wp:inline>
              </w:drawing>
            </w:r>
          </w:p>
        </w:tc>
      </w:tr>
      <w:tr w14:paraId="7A4AB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9043633">
            <w:pPr>
              <w:bidi w:val="0"/>
              <w:rPr>
                <w:rFonts w:hint="eastAsia"/>
                <w:vertAlign w:val="baseline"/>
                <w:lang w:val="zh-CN"/>
              </w:rPr>
            </w:pPr>
            <w:r>
              <w:rPr>
                <w:rFonts w:hint="eastAsia" w:ascii="FZKTK--GBK1-0" w:hAnsi="FZKTK--GBK1-0" w:eastAsia="FZKTK--GBK1-0"/>
                <w:sz w:val="20"/>
              </w:rPr>
              <w:t>8月30—31日，黄坑镇精准办率重点贫困村第一书记、扶贫干部到乳源县参观学习脱贫攻坚和乡村振兴工作（黄坑镇政府</w:t>
            </w:r>
            <w:r>
              <w:rPr>
                <w:rFonts w:hint="eastAsia" w:ascii="FZKTK--GBK1-0" w:hAnsi="FZKTK--GBK1-0" w:eastAsia="FZKTK--GBK1-0"/>
                <w:sz w:val="20"/>
                <w:lang w:val="en-US" w:eastAsia="zh-CN"/>
              </w:rPr>
              <w:t xml:space="preserve">  </w:t>
            </w:r>
            <w:r>
              <w:rPr>
                <w:rFonts w:hint="eastAsia" w:ascii="FZKTK--GBK1-0" w:hAnsi="FZKTK--GBK1-0" w:eastAsia="FZKTK--GBK1-0"/>
                <w:sz w:val="20"/>
              </w:rPr>
              <w:t>供）</w:t>
            </w:r>
          </w:p>
        </w:tc>
      </w:tr>
    </w:tbl>
    <w:p w14:paraId="1FE0C70E">
      <w:pPr>
        <w:pStyle w:val="4"/>
        <w:bidi w:val="0"/>
        <w:rPr>
          <w:rFonts w:hint="eastAsia"/>
          <w:lang w:val="zh-CN"/>
        </w:rPr>
      </w:pPr>
      <w:r>
        <w:rPr>
          <w:rFonts w:hint="eastAsia"/>
          <w:lang w:val="zh-CN"/>
        </w:rPr>
        <w:t>【农村土地确权】</w:t>
      </w:r>
    </w:p>
    <w:p w14:paraId="030FDEB8">
      <w:pPr>
        <w:bidi w:val="0"/>
        <w:rPr>
          <w:rFonts w:hint="eastAsia"/>
          <w:lang w:val="zh-CN"/>
        </w:rPr>
      </w:pPr>
      <w:r>
        <w:rPr>
          <w:rFonts w:hint="eastAsia"/>
          <w:lang w:val="zh-CN"/>
        </w:rPr>
        <w:t>全镇为辖区10个村委会颁发土地确权证书5600本，颁证率为99.72%。</w:t>
      </w:r>
    </w:p>
    <w:p w14:paraId="76C8AFA2">
      <w:pPr>
        <w:pStyle w:val="4"/>
        <w:bidi w:val="0"/>
        <w:rPr>
          <w:rFonts w:hint="eastAsia"/>
          <w:lang w:val="zh-CN"/>
        </w:rPr>
      </w:pPr>
      <w:r>
        <w:rPr>
          <w:rFonts w:hint="eastAsia"/>
          <w:lang w:val="zh-CN"/>
        </w:rPr>
        <w:t>【社会保障】</w:t>
      </w:r>
    </w:p>
    <w:p w14:paraId="0D39BCB9">
      <w:pPr>
        <w:bidi w:val="0"/>
        <w:rPr>
          <w:rFonts w:hint="eastAsia"/>
          <w:lang w:val="zh-CN"/>
        </w:rPr>
      </w:pPr>
      <w:r>
        <w:rPr>
          <w:rFonts w:hint="eastAsia"/>
          <w:lang w:val="zh-CN"/>
        </w:rPr>
        <w:t>完成社保扩面25人。完成城镇新增就业任务数80人，城镇失业人员再就业人数45人，就业困难人员实现就业人数10人，城镇登记失业率控制在3.5%内。新农保15—59周岁任务数6100人，完成任务数6355人，完成比例为104.18%。全镇参保缴费人数2.06万人，完成市下达任务的97.33%。</w:t>
      </w:r>
    </w:p>
    <w:p w14:paraId="12A75492">
      <w:pPr>
        <w:pStyle w:val="4"/>
        <w:bidi w:val="0"/>
        <w:rPr>
          <w:rFonts w:hint="eastAsia"/>
          <w:lang w:val="zh-CN"/>
        </w:rPr>
      </w:pPr>
      <w:r>
        <w:rPr>
          <w:rFonts w:hint="eastAsia"/>
          <w:lang w:val="zh-CN"/>
        </w:rPr>
        <w:t>【综治维稳】</w:t>
      </w:r>
    </w:p>
    <w:p w14:paraId="081C5C5B">
      <w:pPr>
        <w:bidi w:val="0"/>
        <w:rPr>
          <w:rFonts w:hint="eastAsia"/>
          <w:lang w:val="zh-CN"/>
        </w:rPr>
      </w:pPr>
      <w:r>
        <w:rPr>
          <w:rFonts w:hint="eastAsia"/>
          <w:lang w:val="zh-CN"/>
        </w:rPr>
        <w:t>镇村人民调解委员会调处矛盾纠纷75件，调处成功70件，调解成功率93%。深入推进扫黑除恶专项斗争工作。加强部门联动，认真贯彻落实线索周排查制度。定期召开案件研判工作会议，及时分析研判案件核查情况，周密部署案件打击工作。深入开展法制宣传，认真贯彻落实“谁执法、谁普法”工作要求，推进执法机关深入开展法制宣传，推进法律进机关、进企业、进校园、进村庄、进社区、进单位“六进”活动。</w:t>
      </w:r>
    </w:p>
    <w:p w14:paraId="766E9D58">
      <w:pPr>
        <w:pStyle w:val="4"/>
        <w:bidi w:val="0"/>
        <w:rPr>
          <w:rFonts w:hint="eastAsia"/>
          <w:lang w:val="zh-CN"/>
        </w:rPr>
      </w:pPr>
      <w:r>
        <w:rPr>
          <w:rFonts w:hint="eastAsia"/>
          <w:lang w:val="zh-CN"/>
        </w:rPr>
        <w:t>【“两违”整治】</w:t>
      </w:r>
    </w:p>
    <w:p w14:paraId="1F53EE6A">
      <w:pPr>
        <w:bidi w:val="0"/>
        <w:rPr>
          <w:rFonts w:hint="eastAsia"/>
          <w:lang w:val="zh-CN"/>
        </w:rPr>
      </w:pPr>
      <w:r>
        <w:rPr>
          <w:rFonts w:hint="eastAsia"/>
          <w:lang w:val="zh-CN"/>
        </w:rPr>
        <w:t>拆除黄坑村委会和社前村委会“两违”建筑面积1050平方米。</w:t>
      </w:r>
    </w:p>
    <w:p w14:paraId="4C470DE3">
      <w:pPr>
        <w:pStyle w:val="4"/>
        <w:bidi w:val="0"/>
        <w:rPr>
          <w:rFonts w:hint="eastAsia"/>
          <w:lang w:val="zh-CN"/>
        </w:rPr>
      </w:pPr>
      <w:r>
        <w:rPr>
          <w:rFonts w:hint="eastAsia"/>
          <w:lang w:val="zh-CN"/>
        </w:rPr>
        <w:t>【民政工作】</w:t>
      </w:r>
    </w:p>
    <w:p w14:paraId="1B783154">
      <w:pPr>
        <w:bidi w:val="0"/>
        <w:rPr>
          <w:rFonts w:hint="eastAsia"/>
          <w:lang w:val="zh-CN"/>
        </w:rPr>
      </w:pPr>
      <w:r>
        <w:rPr>
          <w:rFonts w:hint="eastAsia"/>
          <w:lang w:val="zh-CN"/>
        </w:rPr>
        <w:t>全镇有老复员军人8人，原铀矿13人、参战复退军人35人，60岁以上退役军人55人，60岁烈士子女4人，在院五保老人15人、散居五保户41人，散居孤儿4人，农村低保262户502人。上报符合医疗救助条件84人次，申请医疗救助总额17.14万元。为新增62位80岁以上老人申请高龄老人津贴，为252位重度残疾人申请护理津贴，为126位困难残疾人申请生活津贴，为5名残疾人发放残疾人用品用具。</w:t>
      </w:r>
    </w:p>
    <w:p w14:paraId="7BE15205">
      <w:pPr>
        <w:pStyle w:val="4"/>
        <w:bidi w:val="0"/>
        <w:rPr>
          <w:rFonts w:hint="eastAsia"/>
          <w:lang w:val="zh-CN"/>
        </w:rPr>
      </w:pPr>
      <w:r>
        <w:rPr>
          <w:rFonts w:hint="eastAsia"/>
          <w:lang w:val="zh-CN"/>
        </w:rPr>
        <w:t>【公益林补偿金发放】</w:t>
      </w:r>
    </w:p>
    <w:p w14:paraId="26022918">
      <w:pPr>
        <w:bidi w:val="0"/>
        <w:rPr>
          <w:rFonts w:hint="eastAsia"/>
          <w:lang w:val="zh-CN"/>
        </w:rPr>
      </w:pPr>
      <w:r>
        <w:rPr>
          <w:rFonts w:hint="eastAsia"/>
          <w:lang w:val="zh-CN"/>
        </w:rPr>
        <w:t>对全镇农户实现发放5267户，面积702.99公顷，金额24.52万元；集体部分发放面积312.35公顷，发放104个村小组，金额10.89万元。</w:t>
      </w:r>
    </w:p>
    <w:p w14:paraId="2BFF78D5">
      <w:pPr>
        <w:pStyle w:val="4"/>
        <w:bidi w:val="0"/>
        <w:rPr>
          <w:rFonts w:hint="eastAsia"/>
          <w:lang w:val="zh-CN"/>
        </w:rPr>
      </w:pPr>
      <w:r>
        <w:rPr>
          <w:rFonts w:hint="eastAsia"/>
          <w:lang w:val="zh-CN"/>
        </w:rPr>
        <w:t>【各村委会（社区）基本情况】</w:t>
      </w:r>
    </w:p>
    <w:p w14:paraId="6171AADF">
      <w:pPr>
        <w:bidi w:val="0"/>
        <w:rPr>
          <w:rFonts w:hint="eastAsia"/>
          <w:lang w:val="zh-CN"/>
        </w:rPr>
      </w:pPr>
      <w:r>
        <w:rPr>
          <w:rFonts w:hint="eastAsia"/>
          <w:b/>
          <w:bCs/>
          <w:lang w:val="zh-CN"/>
        </w:rPr>
        <w:t>黄坑村</w:t>
      </w:r>
      <w:r>
        <w:rPr>
          <w:rFonts w:hint="eastAsia"/>
          <w:b/>
          <w:bCs/>
          <w:lang w:val="en-US" w:eastAsia="zh-CN"/>
        </w:rPr>
        <w:t xml:space="preserve">   </w:t>
      </w:r>
      <w:r>
        <w:rPr>
          <w:rFonts w:hint="eastAsia"/>
          <w:lang w:val="zh-CN"/>
        </w:rPr>
        <w:t>有7个自然村、14个村小组，有沈、何、余等5个姓氏。村集体经济收入9.85万元。全村有农户601户2585人，林地面积161.2公顷，纳入生态公益林补偿面积118.87公顷，耕地面积282.15公顷。农业以种植黄烟、水稻、花生为主。</w:t>
      </w:r>
    </w:p>
    <w:p w14:paraId="38643489">
      <w:pPr>
        <w:bidi w:val="0"/>
        <w:rPr>
          <w:rFonts w:hint="eastAsia"/>
          <w:lang w:val="zh-CN"/>
        </w:rPr>
      </w:pPr>
      <w:r>
        <w:rPr>
          <w:rFonts w:hint="eastAsia"/>
          <w:b/>
          <w:bCs/>
          <w:lang w:val="zh-CN"/>
        </w:rPr>
        <w:t>社前村</w:t>
      </w:r>
      <w:r>
        <w:rPr>
          <w:rFonts w:hint="eastAsia"/>
          <w:b/>
          <w:bCs/>
          <w:lang w:val="en-US" w:eastAsia="zh-CN"/>
        </w:rPr>
        <w:t xml:space="preserve">   </w:t>
      </w:r>
      <w:r>
        <w:rPr>
          <w:rFonts w:hint="eastAsia"/>
          <w:lang w:val="zh-CN"/>
        </w:rPr>
        <w:t>有8个自然村、8个村小组，有何、黄、杨、雷、卢、李6个姓氏。村集体经济收入7.35万元。全村586户，总人口2154人，林地面积160.27公顷，纳入生态公益林补偿面积137.07公顷，耕地面积246.78公顷。农业以种植黄烟、水稻、花生为主。</w:t>
      </w:r>
    </w:p>
    <w:p w14:paraId="50D42A25">
      <w:pPr>
        <w:bidi w:val="0"/>
        <w:rPr>
          <w:rFonts w:hint="eastAsia"/>
          <w:lang w:val="zh-CN"/>
        </w:rPr>
      </w:pPr>
      <w:r>
        <w:rPr>
          <w:rFonts w:hint="eastAsia"/>
          <w:b/>
          <w:bCs/>
          <w:lang w:val="zh-CN"/>
        </w:rPr>
        <w:t>小陂村</w:t>
      </w:r>
      <w:r>
        <w:rPr>
          <w:rFonts w:hint="eastAsia"/>
          <w:b/>
          <w:bCs/>
          <w:lang w:val="en-US" w:eastAsia="zh-CN"/>
        </w:rPr>
        <w:t xml:space="preserve">   </w:t>
      </w:r>
      <w:r>
        <w:rPr>
          <w:rFonts w:hint="eastAsia"/>
          <w:lang w:val="zh-CN"/>
        </w:rPr>
        <w:t>有8个自然村、10个村小组，有沈、张、雷、刘、陈、卢6个姓氏。村集体经济收入7.96万元。全村571户，总人口2276人，林地面积65.27公顷，纳入生态公益林补偿面积64.63公顷，耕地面积267.69公顷。农业以种植黄烟、水稻、花生为主。</w:t>
      </w:r>
    </w:p>
    <w:p w14:paraId="2ECD0665">
      <w:pPr>
        <w:bidi w:val="0"/>
        <w:rPr>
          <w:rFonts w:hint="eastAsia"/>
          <w:lang w:val="zh-CN"/>
        </w:rPr>
      </w:pPr>
      <w:r>
        <w:rPr>
          <w:rFonts w:hint="eastAsia"/>
          <w:b/>
          <w:bCs/>
          <w:lang w:val="zh-CN"/>
        </w:rPr>
        <w:t>塘源村</w:t>
      </w:r>
      <w:r>
        <w:rPr>
          <w:rFonts w:hint="eastAsia"/>
          <w:b/>
          <w:bCs/>
          <w:lang w:val="en-US" w:eastAsia="zh-CN"/>
        </w:rPr>
        <w:t xml:space="preserve">   </w:t>
      </w:r>
      <w:r>
        <w:rPr>
          <w:rFonts w:hint="eastAsia"/>
          <w:lang w:val="zh-CN"/>
        </w:rPr>
        <w:t>有13个自然村、18个村小组，有沈、蓝、马、叶、陈、李、廖、温、吴等11个姓氏。村集体经济收入10.54万元。全村965户，总人口3550人，林地面积162公顷，纳入生态公益林补偿面积149.2公顷，耕地面积439.77公顷。农业以种植黄烟、水稻、花生为主。</w:t>
      </w:r>
    </w:p>
    <w:p w14:paraId="375C2D92">
      <w:pPr>
        <w:bidi w:val="0"/>
        <w:rPr>
          <w:rFonts w:hint="eastAsia"/>
          <w:lang w:val="zh-CN"/>
        </w:rPr>
      </w:pPr>
      <w:r>
        <w:rPr>
          <w:rFonts w:hint="eastAsia"/>
          <w:b/>
          <w:bCs/>
          <w:lang w:val="zh-CN"/>
        </w:rPr>
        <w:t>溪塘村</w:t>
      </w:r>
      <w:r>
        <w:rPr>
          <w:rFonts w:hint="eastAsia"/>
          <w:b/>
          <w:bCs/>
          <w:lang w:val="en-US" w:eastAsia="zh-CN"/>
        </w:rPr>
        <w:t xml:space="preserve">   </w:t>
      </w:r>
      <w:r>
        <w:rPr>
          <w:rFonts w:hint="eastAsia"/>
          <w:lang w:val="zh-CN"/>
        </w:rPr>
        <w:t>有6个自然村、15个村小组，有陈、范、周、李、董、阳、郭、沈、张等11个姓氏。村集体经济收入6.04万元。全村882户，总人口3184人，林地面积217.8公顷，纳入生态公益林补偿面积182.41公顷，耕地面积438.07公顷。农业以种植黄烟、水稻、花生、柿子为主，淡水鱼塘养殖初具规模。</w:t>
      </w:r>
    </w:p>
    <w:p w14:paraId="5A09852A">
      <w:pPr>
        <w:bidi w:val="0"/>
        <w:rPr>
          <w:rFonts w:hint="eastAsia"/>
          <w:lang w:val="zh-CN"/>
        </w:rPr>
      </w:pPr>
      <w:r>
        <w:rPr>
          <w:rFonts w:hint="eastAsia"/>
          <w:b/>
          <w:bCs/>
          <w:lang w:val="zh-CN"/>
        </w:rPr>
        <w:t>耶溪村</w:t>
      </w:r>
      <w:r>
        <w:rPr>
          <w:rFonts w:hint="eastAsia"/>
          <w:b/>
          <w:bCs/>
          <w:lang w:val="en-US" w:eastAsia="zh-CN"/>
        </w:rPr>
        <w:t xml:space="preserve">   </w:t>
      </w:r>
      <w:r>
        <w:rPr>
          <w:rFonts w:hint="eastAsia"/>
          <w:lang w:val="zh-CN"/>
        </w:rPr>
        <w:t>有7个自然村、15个村小组，有沈、陈、林、黄、阳、何、肖7个姓氏。村集体经济收入5.76万元。全村543户，总人口2271人，林地面积123.87公顷，纳入生态公益林补偿面积56.62公顷，耕地面积267.35公顷，鱼塘水面面积17.33公顷。农业以种植黄烟、水稻、花生、柿子为主。</w:t>
      </w:r>
    </w:p>
    <w:p w14:paraId="60484048">
      <w:pPr>
        <w:bidi w:val="0"/>
        <w:rPr>
          <w:rFonts w:hint="eastAsia"/>
          <w:lang w:val="zh-CN"/>
        </w:rPr>
      </w:pPr>
      <w:r>
        <w:rPr>
          <w:rFonts w:hint="eastAsia"/>
          <w:b/>
          <w:bCs/>
          <w:lang w:val="zh-CN"/>
        </w:rPr>
        <w:t>中心村</w:t>
      </w:r>
      <w:r>
        <w:rPr>
          <w:rFonts w:hint="eastAsia"/>
          <w:b/>
          <w:bCs/>
          <w:lang w:val="en-US" w:eastAsia="zh-CN"/>
        </w:rPr>
        <w:t xml:space="preserve">   </w:t>
      </w:r>
      <w:r>
        <w:rPr>
          <w:rFonts w:hint="eastAsia"/>
          <w:lang w:val="zh-CN"/>
        </w:rPr>
        <w:t>有12个自然村、13个村小组，有周、杨、刘、曾、陈、沈等11个姓氏。村集体经济收入9.77万元。全村556户，总人口2089人，林地面积122公顷，纳入生态公益林补偿面积98.11公顷，耕地面积252.49公顷。农业以种植黄烟、水稻为主。</w:t>
      </w:r>
    </w:p>
    <w:p w14:paraId="0E15D02F">
      <w:pPr>
        <w:bidi w:val="0"/>
        <w:rPr>
          <w:rFonts w:hint="eastAsia"/>
          <w:lang w:val="zh-CN"/>
        </w:rPr>
      </w:pPr>
      <w:r>
        <w:rPr>
          <w:rFonts w:hint="eastAsia"/>
          <w:b/>
          <w:bCs/>
          <w:lang w:val="zh-CN"/>
        </w:rPr>
        <w:t>园岭村</w:t>
      </w:r>
      <w:r>
        <w:rPr>
          <w:rFonts w:hint="eastAsia"/>
          <w:b/>
          <w:bCs/>
          <w:lang w:val="en-US" w:eastAsia="zh-CN"/>
        </w:rPr>
        <w:t xml:space="preserve">   </w:t>
      </w:r>
      <w:r>
        <w:rPr>
          <w:rFonts w:hint="eastAsia"/>
          <w:lang w:val="zh-CN"/>
        </w:rPr>
        <w:t>有6个自然村、9个村小组，有沈、廖、周、刘4个姓氏。村集体经济收入5.87万元。全村421户，总人口1515人，林地面积34.93公顷，纳入生态公益林补偿面积32.33公顷，耕地面积189.21公顷。农业以种植黄烟、水稻、花生为主。</w:t>
      </w:r>
    </w:p>
    <w:p w14:paraId="06546B9B">
      <w:pPr>
        <w:bidi w:val="0"/>
        <w:rPr>
          <w:rFonts w:hint="eastAsia"/>
          <w:lang w:val="zh-CN"/>
        </w:rPr>
      </w:pPr>
      <w:r>
        <w:rPr>
          <w:rFonts w:hint="eastAsia"/>
          <w:b/>
          <w:bCs/>
          <w:lang w:val="zh-CN"/>
        </w:rPr>
        <w:t>许村</w:t>
      </w:r>
      <w:r>
        <w:rPr>
          <w:rFonts w:hint="eastAsia"/>
          <w:b/>
          <w:bCs/>
          <w:lang w:val="en-US" w:eastAsia="zh-CN"/>
        </w:rPr>
        <w:t xml:space="preserve">   </w:t>
      </w:r>
      <w:r>
        <w:rPr>
          <w:rFonts w:hint="eastAsia"/>
          <w:lang w:val="zh-CN"/>
        </w:rPr>
        <w:t>有5个自然村、12个村小组，有蓝、刘、赖、陈、沈等8个姓氏。村集体经济收入7.54万元。全村农户699户，总人口2475人，林地面积340公顷，纳入生态公益林补偿面积143.97公顷，耕地面积336.2公顷。农业以种植黄烟、水稻、花生为主，以优质鱼、山地鸡、鸭为主的水库综合养殖已具规模。</w:t>
      </w:r>
    </w:p>
    <w:p w14:paraId="088AFCEB">
      <w:pPr>
        <w:bidi w:val="0"/>
        <w:rPr>
          <w:rFonts w:hint="eastAsia"/>
          <w:lang w:val="zh-CN"/>
        </w:rPr>
      </w:pPr>
      <w:r>
        <w:rPr>
          <w:rFonts w:hint="eastAsia"/>
          <w:b/>
          <w:bCs/>
          <w:lang w:val="zh-CN"/>
        </w:rPr>
        <w:t>上象村</w:t>
      </w:r>
      <w:r>
        <w:rPr>
          <w:rFonts w:hint="eastAsia"/>
          <w:b/>
          <w:bCs/>
          <w:lang w:val="en-US" w:eastAsia="zh-CN"/>
        </w:rPr>
        <w:t xml:space="preserve">   </w:t>
      </w:r>
      <w:r>
        <w:rPr>
          <w:rFonts w:hint="eastAsia"/>
          <w:lang w:val="zh-CN"/>
        </w:rPr>
        <w:t>有8个自然村、10个村小组，有沈、刘、卢3个姓氏。村集体经济收入9.41万元。全村433户，总人口1759人，林地面积52.8公顷，纳入生态公益林补偿面积32.6公顷，耕地面积185.7公顷。农业以种植黄烟、水稻、花生为主。</w:t>
      </w:r>
    </w:p>
    <w:p w14:paraId="551DBDE0">
      <w:pPr>
        <w:bidi w:val="0"/>
        <w:rPr>
          <w:rFonts w:hint="eastAsia"/>
          <w:b/>
          <w:bCs/>
          <w:lang w:val="zh-CN"/>
        </w:rPr>
      </w:pPr>
      <w:r>
        <w:rPr>
          <w:rFonts w:hint="eastAsia"/>
          <w:b/>
          <w:bCs/>
          <w:lang w:val="zh-CN"/>
        </w:rPr>
        <w:t>黄坑社区</w:t>
      </w:r>
      <w:r>
        <w:rPr>
          <w:rFonts w:hint="eastAsia"/>
          <w:b/>
          <w:bCs/>
          <w:lang w:val="en-US" w:eastAsia="zh-CN"/>
        </w:rPr>
        <w:t xml:space="preserve">   </w:t>
      </w:r>
      <w:r>
        <w:rPr>
          <w:rFonts w:hint="eastAsia"/>
          <w:lang w:val="zh-CN"/>
        </w:rPr>
        <w:t>1个居民小组，总户数1120户，户籍人口2080人，常住人口约5000人，辖区卫生环境整洁，集商贸、教育、医疗于一体。主要分为四个片区：文明路片区、商贸城片区、老墟场片区、红石岭片区。社区办公地点位于商贸城东侧文化广场旁边，设有电子商务服务站、公共文化电子阅览室，建有现代远程教育网等。</w:t>
      </w:r>
      <w:r>
        <w:rPr>
          <w:rFonts w:hint="eastAsia"/>
          <w:b/>
          <w:bCs/>
          <w:lang w:val="zh-CN"/>
        </w:rPr>
        <w:t>（张球生）</w:t>
      </w:r>
    </w:p>
    <w:p w14:paraId="3EC1449C">
      <w:pPr>
        <w:pStyle w:val="11"/>
        <w:bidi w:val="0"/>
        <w:rPr>
          <w:rFonts w:hint="eastAsia"/>
          <w:b/>
          <w:bCs/>
          <w:lang w:val="zh-CN"/>
        </w:rPr>
      </w:pPr>
      <w:r>
        <w:rPr>
          <w:rFonts w:hint="eastAsia"/>
          <w:b/>
          <w:bCs/>
          <w:lang w:val="zh-CN"/>
        </w:rPr>
        <w:t>附：2018年黄坑镇领导班子成员名单</w:t>
      </w:r>
    </w:p>
    <w:p w14:paraId="5D0C4B47">
      <w:pPr>
        <w:pStyle w:val="11"/>
        <w:bidi w:val="0"/>
        <w:rPr>
          <w:rFonts w:hint="eastAsia"/>
          <w:lang w:val="zh-CN"/>
        </w:rPr>
      </w:pPr>
      <w:r>
        <w:rPr>
          <w:rFonts w:hint="eastAsia"/>
          <w:b/>
          <w:bCs/>
          <w:lang w:val="zh-CN"/>
        </w:rPr>
        <w:t>党委书记：</w:t>
      </w:r>
      <w:r>
        <w:rPr>
          <w:rFonts w:hint="eastAsia"/>
          <w:lang w:val="zh-CN"/>
        </w:rPr>
        <w:t>陈冬生</w:t>
      </w:r>
    </w:p>
    <w:p w14:paraId="13CAB865">
      <w:pPr>
        <w:pStyle w:val="11"/>
        <w:bidi w:val="0"/>
        <w:rPr>
          <w:rFonts w:hint="eastAsia"/>
          <w:lang w:val="zh-CN"/>
        </w:rPr>
      </w:pPr>
      <w:r>
        <w:rPr>
          <w:rFonts w:hint="eastAsia"/>
          <w:b/>
          <w:bCs/>
          <w:lang w:val="zh-CN"/>
        </w:rPr>
        <w:t>党委副书记、镇长：</w:t>
      </w:r>
      <w:r>
        <w:rPr>
          <w:rFonts w:hint="eastAsia"/>
          <w:lang w:val="zh-CN"/>
        </w:rPr>
        <w:t>胡军华</w:t>
      </w:r>
    </w:p>
    <w:p w14:paraId="5137B48F">
      <w:pPr>
        <w:pStyle w:val="11"/>
        <w:bidi w:val="0"/>
        <w:rPr>
          <w:rFonts w:hint="eastAsia"/>
          <w:lang w:val="zh-CN"/>
        </w:rPr>
      </w:pPr>
      <w:r>
        <w:rPr>
          <w:rFonts w:hint="eastAsia"/>
          <w:b/>
          <w:bCs/>
          <w:lang w:val="zh-CN"/>
        </w:rPr>
        <w:t>人大主席：</w:t>
      </w:r>
      <w:r>
        <w:rPr>
          <w:rFonts w:hint="eastAsia"/>
          <w:lang w:val="zh-CN"/>
        </w:rPr>
        <w:t>林祥辉</w:t>
      </w:r>
    </w:p>
    <w:p w14:paraId="6E0C8D7E">
      <w:pPr>
        <w:pStyle w:val="11"/>
        <w:bidi w:val="0"/>
        <w:rPr>
          <w:rFonts w:hint="eastAsia"/>
          <w:lang w:val="zh-CN"/>
        </w:rPr>
      </w:pPr>
      <w:r>
        <w:rPr>
          <w:rFonts w:hint="eastAsia"/>
          <w:b/>
          <w:bCs/>
          <w:lang w:val="zh-CN"/>
        </w:rPr>
        <w:t>党委副书记（党建）：</w:t>
      </w:r>
      <w:r>
        <w:rPr>
          <w:rFonts w:hint="eastAsia"/>
          <w:lang w:val="zh-CN"/>
        </w:rPr>
        <w:t>王翔华</w:t>
      </w:r>
    </w:p>
    <w:p w14:paraId="10789E2A">
      <w:pPr>
        <w:pStyle w:val="11"/>
        <w:bidi w:val="0"/>
        <w:rPr>
          <w:rFonts w:hint="eastAsia"/>
          <w:lang w:val="zh-CN"/>
        </w:rPr>
      </w:pPr>
      <w:r>
        <w:rPr>
          <w:rFonts w:hint="eastAsia"/>
          <w:b/>
          <w:bCs/>
          <w:lang w:val="zh-CN"/>
        </w:rPr>
        <w:t>党委副书记（综治）：</w:t>
      </w:r>
      <w:r>
        <w:rPr>
          <w:rFonts w:hint="eastAsia"/>
          <w:lang w:val="zh-CN"/>
        </w:rPr>
        <w:t>蓝连山</w:t>
      </w:r>
    </w:p>
    <w:p w14:paraId="5DF40417">
      <w:pPr>
        <w:pStyle w:val="11"/>
        <w:bidi w:val="0"/>
        <w:rPr>
          <w:rFonts w:hint="eastAsia"/>
          <w:b/>
          <w:bCs/>
          <w:lang w:val="zh-CN"/>
        </w:rPr>
      </w:pPr>
      <w:r>
        <w:rPr>
          <w:rFonts w:hint="eastAsia"/>
          <w:b/>
          <w:bCs/>
          <w:lang w:val="zh-CN"/>
        </w:rPr>
        <w:t>党委委员、纪委书记：</w:t>
      </w:r>
    </w:p>
    <w:p w14:paraId="02A15E42">
      <w:pPr>
        <w:pStyle w:val="11"/>
        <w:bidi w:val="0"/>
        <w:ind w:leftChars="500"/>
        <w:rPr>
          <w:rFonts w:hint="eastAsia"/>
          <w:lang w:val="zh-CN"/>
        </w:rPr>
      </w:pPr>
      <w:r>
        <w:rPr>
          <w:rFonts w:hint="eastAsia"/>
          <w:lang w:val="zh-CN"/>
        </w:rPr>
        <w:t>钟宇飞（1月任职）</w:t>
      </w:r>
    </w:p>
    <w:p w14:paraId="60B3B62E">
      <w:pPr>
        <w:pStyle w:val="11"/>
        <w:bidi w:val="0"/>
        <w:rPr>
          <w:rFonts w:hint="eastAsia"/>
          <w:lang w:val="zh-CN"/>
        </w:rPr>
      </w:pPr>
      <w:r>
        <w:rPr>
          <w:rFonts w:hint="eastAsia"/>
          <w:b/>
          <w:bCs/>
          <w:lang w:val="zh-CN"/>
        </w:rPr>
        <w:t>党委组织委员：</w:t>
      </w:r>
      <w:r>
        <w:rPr>
          <w:rFonts w:hint="eastAsia"/>
          <w:lang w:val="zh-CN"/>
        </w:rPr>
        <w:t>赖毅鹏</w:t>
      </w:r>
    </w:p>
    <w:p w14:paraId="334CD276">
      <w:pPr>
        <w:pStyle w:val="11"/>
        <w:bidi w:val="0"/>
        <w:rPr>
          <w:rFonts w:hint="eastAsia"/>
          <w:lang w:val="zh-CN"/>
        </w:rPr>
      </w:pPr>
      <w:r>
        <w:rPr>
          <w:rFonts w:hint="eastAsia"/>
          <w:b/>
          <w:bCs/>
          <w:lang w:val="zh-CN"/>
        </w:rPr>
        <w:t>党委宣传委员：</w:t>
      </w:r>
      <w:r>
        <w:rPr>
          <w:rFonts w:hint="eastAsia"/>
          <w:lang w:val="zh-CN"/>
        </w:rPr>
        <w:t>黄祖旺</w:t>
      </w:r>
    </w:p>
    <w:p w14:paraId="4C37AF3C">
      <w:pPr>
        <w:pStyle w:val="11"/>
        <w:bidi w:val="0"/>
        <w:rPr>
          <w:rFonts w:hint="eastAsia"/>
          <w:lang w:val="zh-CN"/>
        </w:rPr>
      </w:pPr>
      <w:r>
        <w:rPr>
          <w:rFonts w:hint="eastAsia"/>
          <w:b/>
          <w:bCs/>
          <w:lang w:val="zh-CN"/>
        </w:rPr>
        <w:t>党委委员、武装部部长</w:t>
      </w:r>
      <w:r>
        <w:rPr>
          <w:rFonts w:hint="eastAsia"/>
          <w:lang w:val="zh-CN"/>
        </w:rPr>
        <w:t>：杨华斌</w:t>
      </w:r>
    </w:p>
    <w:p w14:paraId="56C79451">
      <w:pPr>
        <w:pStyle w:val="11"/>
        <w:bidi w:val="0"/>
        <w:rPr>
          <w:rFonts w:hint="eastAsia"/>
          <w:lang w:val="zh-CN"/>
        </w:rPr>
      </w:pPr>
      <w:r>
        <w:rPr>
          <w:rFonts w:hint="eastAsia"/>
          <w:b/>
          <w:bCs/>
          <w:lang w:val="zh-CN"/>
        </w:rPr>
        <w:t>党委委员、副镇长：</w:t>
      </w:r>
      <w:r>
        <w:rPr>
          <w:rFonts w:hint="eastAsia"/>
          <w:lang w:val="zh-CN"/>
        </w:rPr>
        <w:t>陈清文</w:t>
      </w:r>
    </w:p>
    <w:p w14:paraId="63C32CA4">
      <w:pPr>
        <w:pStyle w:val="11"/>
        <w:bidi w:val="0"/>
        <w:rPr>
          <w:rFonts w:hint="eastAsia"/>
          <w:lang w:val="zh-CN"/>
        </w:rPr>
      </w:pPr>
      <w:r>
        <w:rPr>
          <w:rFonts w:hint="eastAsia"/>
          <w:b/>
          <w:bCs/>
          <w:lang w:val="zh-CN"/>
        </w:rPr>
        <w:t>副</w:t>
      </w:r>
      <w:r>
        <w:rPr>
          <w:rFonts w:hint="eastAsia"/>
          <w:b/>
          <w:bCs/>
          <w:lang w:val="en-US" w:eastAsia="zh-CN"/>
        </w:rPr>
        <w:t xml:space="preserve">  </w:t>
      </w:r>
      <w:r>
        <w:rPr>
          <w:rFonts w:hint="eastAsia"/>
          <w:b/>
          <w:bCs/>
          <w:lang w:val="zh-CN"/>
        </w:rPr>
        <w:t>镇</w:t>
      </w:r>
      <w:r>
        <w:rPr>
          <w:rFonts w:hint="eastAsia"/>
          <w:b/>
          <w:bCs/>
          <w:lang w:val="en-US" w:eastAsia="zh-CN"/>
        </w:rPr>
        <w:t xml:space="preserve">  </w:t>
      </w:r>
      <w:r>
        <w:rPr>
          <w:rFonts w:hint="eastAsia"/>
          <w:b/>
          <w:bCs/>
          <w:lang w:val="zh-CN"/>
        </w:rPr>
        <w:t>长：</w:t>
      </w:r>
      <w:r>
        <w:rPr>
          <w:rFonts w:hint="eastAsia"/>
          <w:lang w:val="zh-CN"/>
        </w:rPr>
        <w:t>吴</w:t>
      </w:r>
      <w:r>
        <w:rPr>
          <w:rFonts w:hint="eastAsia"/>
          <w:lang w:val="en-US" w:eastAsia="zh-CN"/>
        </w:rPr>
        <w:t xml:space="preserve">  </w:t>
      </w:r>
      <w:r>
        <w:rPr>
          <w:rFonts w:hint="eastAsia"/>
          <w:lang w:val="zh-CN"/>
        </w:rPr>
        <w:t>慧</w:t>
      </w:r>
    </w:p>
    <w:p w14:paraId="2382F96B">
      <w:pPr>
        <w:pStyle w:val="11"/>
        <w:bidi w:val="0"/>
        <w:ind w:leftChars="600"/>
        <w:rPr>
          <w:rFonts w:hint="eastAsia"/>
          <w:lang w:val="zh-CN"/>
        </w:rPr>
      </w:pPr>
      <w:r>
        <w:rPr>
          <w:rFonts w:hint="eastAsia"/>
          <w:lang w:val="zh-CN"/>
        </w:rPr>
        <w:t>郑坤锋（3月任职）</w:t>
      </w:r>
    </w:p>
    <w:p w14:paraId="7AE841BD">
      <w:pPr>
        <w:pStyle w:val="11"/>
        <w:bidi w:val="0"/>
        <w:ind w:leftChars="600"/>
        <w:rPr>
          <w:rFonts w:hint="eastAsia"/>
          <w:lang w:val="zh-CN"/>
        </w:rPr>
      </w:pPr>
      <w:r>
        <w:rPr>
          <w:rFonts w:hint="eastAsia"/>
          <w:lang w:val="zh-CN"/>
        </w:rPr>
        <w:t>钟宇飞（任至1月）</w:t>
      </w:r>
    </w:p>
    <w:p w14:paraId="1D9E36A8">
      <w:pPr>
        <w:pStyle w:val="11"/>
        <w:bidi w:val="0"/>
        <w:rPr>
          <w:rFonts w:hint="eastAsia"/>
          <w:b/>
          <w:bCs/>
          <w:lang w:val="zh-CN"/>
        </w:rPr>
      </w:pPr>
      <w:r>
        <w:rPr>
          <w:rFonts w:hint="eastAsia"/>
          <w:b/>
          <w:bCs/>
          <w:lang w:val="zh-CN"/>
        </w:rPr>
        <w:t>人大副主席：</w:t>
      </w:r>
    </w:p>
    <w:p w14:paraId="69C4A488">
      <w:pPr>
        <w:pStyle w:val="11"/>
        <w:bidi w:val="0"/>
        <w:ind w:leftChars="600"/>
        <w:rPr>
          <w:rFonts w:hint="eastAsia"/>
          <w:lang w:val="zh-CN"/>
        </w:rPr>
      </w:pPr>
      <w:r>
        <w:rPr>
          <w:rFonts w:hint="eastAsia"/>
          <w:lang w:val="zh-CN"/>
        </w:rPr>
        <w:t>王小清（3月—9月）</w:t>
      </w:r>
    </w:p>
    <w:p w14:paraId="315285E0">
      <w:pPr>
        <w:pStyle w:val="2"/>
        <w:bidi w:val="0"/>
        <w:rPr>
          <w:rFonts w:hint="eastAsia"/>
        </w:rPr>
      </w:pPr>
      <w:r>
        <w:rPr>
          <w:rFonts w:hint="eastAsia"/>
        </w:rPr>
        <w:t>附录</w:t>
      </w:r>
    </w:p>
    <w:p w14:paraId="269CBC32">
      <w:pPr>
        <w:pStyle w:val="3"/>
        <w:bidi w:val="0"/>
        <w:rPr>
          <w:rFonts w:hint="eastAsia"/>
        </w:rPr>
      </w:pPr>
      <w:r>
        <w:rPr>
          <w:rFonts w:hint="eastAsia"/>
        </w:rPr>
        <w:t>社会经济统计资料</w:t>
      </w:r>
    </w:p>
    <w:p w14:paraId="02EBAE06">
      <w:pPr>
        <w:bidi w:val="0"/>
        <w:ind w:left="0" w:leftChars="0" w:firstLine="0" w:firstLineChars="0"/>
        <w:jc w:val="center"/>
        <w:rPr>
          <w:rFonts w:hint="eastAsia"/>
          <w:b/>
          <w:bCs/>
        </w:rPr>
      </w:pPr>
      <w:r>
        <w:rPr>
          <w:rFonts w:hint="eastAsia"/>
          <w:b/>
          <w:bCs/>
        </w:rPr>
        <w:t>2018年南雄市国民经济和社会发展公报</w:t>
      </w:r>
    </w:p>
    <w:p w14:paraId="0014BB0E">
      <w:pPr>
        <w:bidi w:val="0"/>
        <w:ind w:left="0" w:leftChars="0" w:firstLine="0" w:firstLineChars="0"/>
        <w:jc w:val="center"/>
        <w:rPr>
          <w:rFonts w:hint="eastAsia"/>
          <w:b/>
          <w:bCs/>
        </w:rPr>
      </w:pPr>
      <w:r>
        <w:rPr>
          <w:rFonts w:hint="eastAsia"/>
          <w:b/>
          <w:bCs/>
        </w:rPr>
        <w:t>南雄市统计局</w:t>
      </w:r>
    </w:p>
    <w:p w14:paraId="5F4E0870">
      <w:pPr>
        <w:bidi w:val="0"/>
        <w:ind w:left="0" w:leftChars="0" w:firstLine="0" w:firstLineChars="0"/>
        <w:jc w:val="center"/>
        <w:rPr>
          <w:rFonts w:hint="eastAsia"/>
          <w:b/>
          <w:bCs/>
        </w:rPr>
      </w:pPr>
      <w:r>
        <w:rPr>
          <w:rFonts w:hint="eastAsia"/>
          <w:b/>
          <w:bCs/>
        </w:rPr>
        <w:t>（2019年3月20日）</w:t>
      </w:r>
    </w:p>
    <w:p w14:paraId="0E6659A1">
      <w:pPr>
        <w:bidi w:val="0"/>
        <w:rPr>
          <w:rFonts w:hint="eastAsia"/>
        </w:rPr>
      </w:pPr>
      <w:r>
        <w:rPr>
          <w:rFonts w:hint="eastAsia"/>
        </w:rPr>
        <w:t>2018年，南雄市深入贯彻落实党的十九大、习近平总书记视察广东重要讲话及对广东工作一系列重要指示精神，团结带领全市人民按照既定的总体发展思路和发展战略，积极作为、迎难而上、扎实推动高质量发展，县域经济呈现稳中回升、稳中向好的良好态势，年初制定的主要预期目标较好完成，经济和社会各项事业迈上新台阶。</w:t>
      </w:r>
    </w:p>
    <w:p w14:paraId="3BE3EFB6">
      <w:pPr>
        <w:bidi w:val="0"/>
        <w:ind w:left="0" w:leftChars="0" w:firstLine="422" w:firstLineChars="200"/>
        <w:jc w:val="both"/>
        <w:rPr>
          <w:rFonts w:hint="eastAsia"/>
          <w:b/>
          <w:bCs/>
        </w:rPr>
      </w:pPr>
      <w:r>
        <w:rPr>
          <w:rFonts w:hint="eastAsia"/>
          <w:b/>
          <w:bCs/>
        </w:rPr>
        <w:t>一、综合</w:t>
      </w:r>
    </w:p>
    <w:p w14:paraId="007CA830">
      <w:pPr>
        <w:bidi w:val="0"/>
        <w:rPr>
          <w:rFonts w:hint="eastAsia"/>
        </w:rPr>
      </w:pPr>
      <w:r>
        <w:rPr>
          <w:rFonts w:hint="eastAsia"/>
        </w:rPr>
        <w:t>初步核算，全市实现地区生产总值120.22亿元，按可比价计算，比上年同期增长7.5%，经济增速位居韶关各县市区第二位。人均地区生产总值35706元（按平均汇率折算为5203美元），同比增长6.7%。分产业看：第一产业增加值27.93亿元，增长6.3%；第二产业增加值23.81亿元，增长9%（其中，工业增加值15.67亿元、增长15.2%，建筑业增加值8.14亿元、下降2.5%）；第三产业增加值68.48亿元，增长7.5%。三次产业对GDP增长的贡献率分别为20%、23.1%和56.9%，分别拉动GDP增长1.5个百分点、1.7个百分点和4.3个百分点。三次产业结构为23.2∶19.8∶57。</w:t>
      </w:r>
    </w:p>
    <w:p w14:paraId="7BB17EC6">
      <w:pPr>
        <w:bidi w:val="0"/>
        <w:rPr>
          <w:rFonts w:hint="eastAsia"/>
        </w:rPr>
      </w:pPr>
      <w:r>
        <w:rPr>
          <w:rFonts w:hint="eastAsia"/>
        </w:rPr>
        <w:t>在第三产业中，交通运输、仓储和邮政业增加值增长2.4%，批发和零售业增加值增长3.8%，住宿和餐饮业增加值增长4%，金融业增加值增长1%，房地产业增加值增长4.3%，其他营利性服务业增加值增长15.2%，非营利性服务业增加值增长13.1%。民营经济增加值81.01亿元，按可比价计算，同比增长6%，占全市地区生产总值的比重为67.4%。</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8FE1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6A06279">
            <w:pPr>
              <w:bidi w:val="0"/>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3899535" cy="2642235"/>
                  <wp:effectExtent l="0" t="0" r="5715" b="5715"/>
                  <wp:docPr id="142" name="图片 1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1"/>
                          <pic:cNvPicPr>
                            <a:picLocks noChangeAspect="1"/>
                          </pic:cNvPicPr>
                        </pic:nvPicPr>
                        <pic:blipFill>
                          <a:blip r:embed="rId129"/>
                          <a:stretch>
                            <a:fillRect/>
                          </a:stretch>
                        </pic:blipFill>
                        <pic:spPr>
                          <a:xfrm>
                            <a:off x="0" y="0"/>
                            <a:ext cx="3899535" cy="2642235"/>
                          </a:xfrm>
                          <a:prstGeom prst="rect">
                            <a:avLst/>
                          </a:prstGeom>
                        </pic:spPr>
                      </pic:pic>
                    </a:graphicData>
                  </a:graphic>
                </wp:inline>
              </w:drawing>
            </w:r>
          </w:p>
        </w:tc>
      </w:tr>
    </w:tbl>
    <w:p w14:paraId="2F4249B1">
      <w:pPr>
        <w:bidi w:val="0"/>
        <w:ind w:left="0" w:leftChars="0" w:firstLine="0" w:firstLineChars="0"/>
        <w:jc w:val="center"/>
        <w:rPr>
          <w:rFonts w:hint="eastAsia"/>
          <w:b/>
          <w:bCs/>
        </w:rPr>
      </w:pPr>
      <w:r>
        <w:rPr>
          <w:rFonts w:hint="eastAsia"/>
          <w:b/>
          <w:bCs/>
        </w:rPr>
        <w:t>表27</w:t>
      </w:r>
      <w:r>
        <w:rPr>
          <w:rFonts w:hint="eastAsia"/>
          <w:b/>
          <w:bCs/>
          <w:lang w:val="en-US" w:eastAsia="zh-CN"/>
        </w:rPr>
        <w:t xml:space="preserve">  </w:t>
      </w:r>
      <w:r>
        <w:rPr>
          <w:rFonts w:hint="eastAsia"/>
          <w:b/>
          <w:bCs/>
        </w:rPr>
        <w:t>2018年南雄市地区生产总值（GDP）</w:t>
      </w:r>
    </w:p>
    <w:p w14:paraId="3818A898">
      <w:pPr>
        <w:bidi w:val="0"/>
        <w:jc w:val="right"/>
        <w:rPr>
          <w:rFonts w:hint="eastAsia"/>
        </w:rPr>
      </w:pPr>
      <w:r>
        <w:rPr>
          <w:rFonts w:hint="eastAsia"/>
        </w:rPr>
        <w:t>单位：万元</w:t>
      </w:r>
    </w:p>
    <w:tbl>
      <w:tblPr>
        <w:tblStyle w:val="7"/>
        <w:tblW w:w="4998" w:type="pct"/>
        <w:tblInd w:w="0" w:type="dxa"/>
        <w:tblBorders>
          <w:top w:val="single" w:color="000000" w:sz="4" w:space="0"/>
          <w:left w:val="none" w:color="auto" w:sz="0" w:space="0"/>
          <w:bottom w:val="none" w:color="auto" w:sz="0"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265"/>
        <w:gridCol w:w="3267"/>
        <w:gridCol w:w="3266"/>
      </w:tblGrid>
      <w:tr w14:paraId="4F6565BB">
        <w:tblPrEx>
          <w:tblBorders>
            <w:top w:val="single" w:color="000000" w:sz="4" w:space="0"/>
            <w:left w:val="none" w:color="auto" w:sz="0" w:space="0"/>
            <w:bottom w:val="none" w:color="auto" w:sz="0"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666" w:type="pct"/>
            <w:shd w:val="clear" w:color="auto" w:fill="FFFFFF"/>
            <w:noWrap w:val="0"/>
            <w:tcMar>
              <w:top w:w="28" w:type="dxa"/>
              <w:left w:w="28" w:type="dxa"/>
              <w:bottom w:w="28" w:type="dxa"/>
              <w:right w:w="28" w:type="dxa"/>
            </w:tcMar>
            <w:vAlign w:val="center"/>
          </w:tcPr>
          <w:p w14:paraId="38347220">
            <w:pPr>
              <w:pStyle w:val="11"/>
              <w:bidi w:val="0"/>
              <w:jc w:val="center"/>
              <w:rPr>
                <w:rFonts w:hint="eastAsia" w:eastAsia="宋体"/>
                <w:b/>
                <w:bCs/>
                <w:color w:val="000000"/>
                <w:lang w:eastAsia="zh-CN"/>
              </w:rPr>
            </w:pPr>
            <w:r>
              <w:rPr>
                <w:rFonts w:hint="eastAsia"/>
                <w:b/>
                <w:bCs/>
                <w:color w:val="000000"/>
              </w:rPr>
              <w:t>指标</w:t>
            </w:r>
          </w:p>
        </w:tc>
        <w:tc>
          <w:tcPr>
            <w:tcW w:w="1667" w:type="pct"/>
            <w:shd w:val="clear" w:color="auto" w:fill="FFFFFF"/>
            <w:noWrap w:val="0"/>
            <w:tcMar>
              <w:top w:w="28" w:type="dxa"/>
              <w:left w:w="28" w:type="dxa"/>
              <w:bottom w:w="28" w:type="dxa"/>
              <w:right w:w="28" w:type="dxa"/>
            </w:tcMar>
            <w:vAlign w:val="center"/>
          </w:tcPr>
          <w:p w14:paraId="47D4FA3C">
            <w:pPr>
              <w:pStyle w:val="11"/>
              <w:bidi w:val="0"/>
              <w:jc w:val="center"/>
              <w:rPr>
                <w:rFonts w:hint="eastAsia" w:eastAsia="宋体"/>
                <w:b/>
                <w:bCs/>
                <w:color w:val="000000"/>
                <w:lang w:eastAsia="zh-CN"/>
              </w:rPr>
            </w:pPr>
            <w:r>
              <w:rPr>
                <w:rFonts w:hint="eastAsia"/>
                <w:b/>
                <w:bCs/>
                <w:color w:val="000000"/>
              </w:rPr>
              <w:t>2018年</w:t>
            </w:r>
          </w:p>
        </w:tc>
        <w:tc>
          <w:tcPr>
            <w:tcW w:w="1666" w:type="pct"/>
            <w:shd w:val="clear" w:color="auto" w:fill="FFFFFF"/>
            <w:noWrap w:val="0"/>
            <w:tcMar>
              <w:top w:w="28" w:type="dxa"/>
              <w:left w:w="28" w:type="dxa"/>
              <w:bottom w:w="28" w:type="dxa"/>
              <w:right w:w="28" w:type="dxa"/>
            </w:tcMar>
            <w:vAlign w:val="center"/>
          </w:tcPr>
          <w:p w14:paraId="6AE5C514">
            <w:pPr>
              <w:pStyle w:val="11"/>
              <w:bidi w:val="0"/>
              <w:jc w:val="center"/>
              <w:rPr>
                <w:rFonts w:hint="eastAsia" w:eastAsia="宋体"/>
                <w:b/>
                <w:bCs/>
                <w:color w:val="000000"/>
                <w:lang w:eastAsia="zh-CN"/>
              </w:rPr>
            </w:pPr>
            <w:r>
              <w:rPr>
                <w:rFonts w:hint="eastAsia"/>
                <w:b/>
                <w:bCs/>
                <w:color w:val="000000"/>
              </w:rPr>
              <w:t>比上年增长（%）</w:t>
            </w:r>
          </w:p>
        </w:tc>
      </w:tr>
      <w:tr w14:paraId="65E33655">
        <w:tblPrEx>
          <w:tblBorders>
            <w:top w:val="single" w:color="000000" w:sz="4" w:space="0"/>
            <w:left w:val="none" w:color="auto" w:sz="0" w:space="0"/>
            <w:bottom w:val="none" w:color="auto" w:sz="0"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666" w:type="pct"/>
            <w:shd w:val="clear" w:color="auto" w:fill="FFFFFF"/>
            <w:noWrap w:val="0"/>
            <w:tcMar>
              <w:left w:w="397" w:type="dxa"/>
            </w:tcMar>
            <w:vAlign w:val="center"/>
          </w:tcPr>
          <w:p w14:paraId="32ACB792">
            <w:pPr>
              <w:pStyle w:val="11"/>
              <w:bidi w:val="0"/>
              <w:rPr>
                <w:rFonts w:hint="eastAsia" w:eastAsia="宋体"/>
                <w:color w:val="000000"/>
                <w:lang w:eastAsia="zh-CN"/>
              </w:rPr>
            </w:pPr>
            <w:r>
              <w:rPr>
                <w:rFonts w:hint="eastAsia"/>
                <w:color w:val="000000"/>
              </w:rPr>
              <w:t>地区生产总值</w:t>
            </w:r>
          </w:p>
        </w:tc>
        <w:tc>
          <w:tcPr>
            <w:tcW w:w="1667" w:type="pct"/>
            <w:shd w:val="clear" w:color="auto" w:fill="FFFFFF"/>
            <w:noWrap w:val="0"/>
            <w:tcMar>
              <w:top w:w="28" w:type="dxa"/>
              <w:left w:w="28" w:type="dxa"/>
              <w:bottom w:w="28" w:type="dxa"/>
              <w:right w:w="28" w:type="dxa"/>
            </w:tcMar>
            <w:vAlign w:val="center"/>
          </w:tcPr>
          <w:p w14:paraId="13154467">
            <w:pPr>
              <w:pStyle w:val="11"/>
              <w:bidi w:val="0"/>
              <w:jc w:val="center"/>
              <w:rPr>
                <w:rFonts w:hint="eastAsia"/>
                <w:color w:val="000000"/>
              </w:rPr>
            </w:pPr>
            <w:r>
              <w:rPr>
                <w:rFonts w:hint="eastAsia"/>
                <w:color w:val="000000"/>
              </w:rPr>
              <w:t>1202219</w:t>
            </w:r>
          </w:p>
        </w:tc>
        <w:tc>
          <w:tcPr>
            <w:tcW w:w="1666" w:type="pct"/>
            <w:shd w:val="clear" w:color="auto" w:fill="FFFFFF"/>
            <w:noWrap w:val="0"/>
            <w:tcMar>
              <w:top w:w="28" w:type="dxa"/>
              <w:bottom w:w="28" w:type="dxa"/>
              <w:right w:w="28" w:type="dxa"/>
            </w:tcMar>
            <w:vAlign w:val="center"/>
          </w:tcPr>
          <w:p w14:paraId="0A5CD6E4">
            <w:pPr>
              <w:pStyle w:val="11"/>
              <w:bidi w:val="0"/>
              <w:jc w:val="center"/>
              <w:rPr>
                <w:rFonts w:hint="eastAsia"/>
                <w:color w:val="000000"/>
              </w:rPr>
            </w:pPr>
            <w:r>
              <w:rPr>
                <w:rFonts w:hint="eastAsia"/>
                <w:color w:val="000000"/>
              </w:rPr>
              <w:t>7.5</w:t>
            </w:r>
          </w:p>
        </w:tc>
      </w:tr>
      <w:tr w14:paraId="5B3DB75A">
        <w:tblPrEx>
          <w:tblBorders>
            <w:top w:val="single" w:color="000000" w:sz="4" w:space="0"/>
            <w:left w:val="none" w:color="auto" w:sz="0" w:space="0"/>
            <w:bottom w:val="none" w:color="auto" w:sz="0"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666" w:type="pct"/>
            <w:shd w:val="clear" w:color="auto" w:fill="FFFFFF"/>
            <w:noWrap w:val="0"/>
            <w:tcMar>
              <w:left w:w="397" w:type="dxa"/>
            </w:tcMar>
            <w:vAlign w:val="center"/>
          </w:tcPr>
          <w:p w14:paraId="0AC95A02">
            <w:pPr>
              <w:pStyle w:val="11"/>
              <w:bidi w:val="0"/>
              <w:rPr>
                <w:rFonts w:hint="eastAsia" w:eastAsia="宋体"/>
                <w:color w:val="000000"/>
                <w:lang w:eastAsia="zh-CN"/>
              </w:rPr>
            </w:pPr>
            <w:r>
              <w:rPr>
                <w:rFonts w:hint="eastAsia"/>
                <w:color w:val="000000"/>
              </w:rPr>
              <w:t>第一产业</w:t>
            </w:r>
          </w:p>
        </w:tc>
        <w:tc>
          <w:tcPr>
            <w:tcW w:w="1667" w:type="pct"/>
            <w:shd w:val="clear" w:color="auto" w:fill="FFFFFF"/>
            <w:noWrap w:val="0"/>
            <w:tcMar>
              <w:top w:w="28" w:type="dxa"/>
              <w:left w:w="28" w:type="dxa"/>
              <w:bottom w:w="28" w:type="dxa"/>
              <w:right w:w="28" w:type="dxa"/>
            </w:tcMar>
            <w:vAlign w:val="center"/>
          </w:tcPr>
          <w:p w14:paraId="288F3538">
            <w:pPr>
              <w:pStyle w:val="11"/>
              <w:bidi w:val="0"/>
              <w:jc w:val="center"/>
              <w:rPr>
                <w:rFonts w:hint="eastAsia"/>
                <w:color w:val="000000"/>
              </w:rPr>
            </w:pPr>
            <w:r>
              <w:rPr>
                <w:rFonts w:hint="eastAsia"/>
                <w:color w:val="000000"/>
              </w:rPr>
              <w:t>279315</w:t>
            </w:r>
          </w:p>
        </w:tc>
        <w:tc>
          <w:tcPr>
            <w:tcW w:w="1666" w:type="pct"/>
            <w:shd w:val="clear" w:color="auto" w:fill="FFFFFF"/>
            <w:noWrap w:val="0"/>
            <w:tcMar>
              <w:top w:w="28" w:type="dxa"/>
              <w:bottom w:w="28" w:type="dxa"/>
              <w:right w:w="28" w:type="dxa"/>
            </w:tcMar>
            <w:vAlign w:val="center"/>
          </w:tcPr>
          <w:p w14:paraId="1222E644">
            <w:pPr>
              <w:pStyle w:val="11"/>
              <w:bidi w:val="0"/>
              <w:jc w:val="center"/>
              <w:rPr>
                <w:rFonts w:hint="eastAsia"/>
                <w:color w:val="000000"/>
              </w:rPr>
            </w:pPr>
            <w:r>
              <w:rPr>
                <w:rFonts w:hint="eastAsia"/>
                <w:color w:val="000000"/>
              </w:rPr>
              <w:t>6.3</w:t>
            </w:r>
          </w:p>
        </w:tc>
      </w:tr>
      <w:tr w14:paraId="34DAE700">
        <w:tblPrEx>
          <w:tblBorders>
            <w:top w:val="single" w:color="000000" w:sz="4" w:space="0"/>
            <w:left w:val="none" w:color="auto" w:sz="0" w:space="0"/>
            <w:bottom w:val="none" w:color="auto" w:sz="0"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666" w:type="pct"/>
            <w:shd w:val="clear" w:color="auto" w:fill="FFFFFF"/>
            <w:noWrap w:val="0"/>
            <w:tcMar>
              <w:left w:w="397" w:type="dxa"/>
            </w:tcMar>
            <w:vAlign w:val="center"/>
          </w:tcPr>
          <w:p w14:paraId="0EEAB743">
            <w:pPr>
              <w:pStyle w:val="11"/>
              <w:bidi w:val="0"/>
              <w:rPr>
                <w:rFonts w:hint="eastAsia" w:eastAsia="宋体"/>
                <w:color w:val="000000"/>
                <w:lang w:eastAsia="zh-CN"/>
              </w:rPr>
            </w:pPr>
            <w:r>
              <w:rPr>
                <w:rFonts w:hint="eastAsia"/>
                <w:color w:val="000000"/>
              </w:rPr>
              <w:t>第二产业</w:t>
            </w:r>
          </w:p>
        </w:tc>
        <w:tc>
          <w:tcPr>
            <w:tcW w:w="1667" w:type="pct"/>
            <w:shd w:val="clear" w:color="auto" w:fill="FFFFFF"/>
            <w:noWrap w:val="0"/>
            <w:tcMar>
              <w:top w:w="28" w:type="dxa"/>
              <w:left w:w="28" w:type="dxa"/>
              <w:bottom w:w="28" w:type="dxa"/>
              <w:right w:w="28" w:type="dxa"/>
            </w:tcMar>
            <w:vAlign w:val="center"/>
          </w:tcPr>
          <w:p w14:paraId="5CA9F03A">
            <w:pPr>
              <w:pStyle w:val="11"/>
              <w:bidi w:val="0"/>
              <w:jc w:val="center"/>
              <w:rPr>
                <w:rFonts w:hint="eastAsia"/>
                <w:color w:val="000000"/>
              </w:rPr>
            </w:pPr>
            <w:r>
              <w:rPr>
                <w:rFonts w:hint="eastAsia"/>
                <w:color w:val="000000"/>
              </w:rPr>
              <w:t>238145</w:t>
            </w:r>
          </w:p>
        </w:tc>
        <w:tc>
          <w:tcPr>
            <w:tcW w:w="1666" w:type="pct"/>
            <w:shd w:val="clear" w:color="auto" w:fill="FFFFFF"/>
            <w:noWrap w:val="0"/>
            <w:tcMar>
              <w:top w:w="28" w:type="dxa"/>
              <w:bottom w:w="28" w:type="dxa"/>
              <w:right w:w="28" w:type="dxa"/>
            </w:tcMar>
            <w:vAlign w:val="center"/>
          </w:tcPr>
          <w:p w14:paraId="5B5B8370">
            <w:pPr>
              <w:pStyle w:val="11"/>
              <w:bidi w:val="0"/>
              <w:jc w:val="center"/>
              <w:rPr>
                <w:rFonts w:hint="eastAsia"/>
                <w:color w:val="000000"/>
              </w:rPr>
            </w:pPr>
            <w:r>
              <w:rPr>
                <w:rFonts w:hint="eastAsia"/>
                <w:color w:val="000000"/>
              </w:rPr>
              <w:t>9.0</w:t>
            </w:r>
          </w:p>
        </w:tc>
      </w:tr>
      <w:tr w14:paraId="7D229C44">
        <w:tblPrEx>
          <w:tblBorders>
            <w:top w:val="single" w:color="000000" w:sz="4" w:space="0"/>
            <w:left w:val="none" w:color="auto" w:sz="0" w:space="0"/>
            <w:bottom w:val="none" w:color="auto" w:sz="0"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666" w:type="pct"/>
            <w:shd w:val="clear" w:color="auto" w:fill="FFFFFF"/>
            <w:noWrap w:val="0"/>
            <w:tcMar>
              <w:left w:w="397" w:type="dxa"/>
            </w:tcMar>
            <w:vAlign w:val="center"/>
          </w:tcPr>
          <w:p w14:paraId="4708C488">
            <w:pPr>
              <w:pStyle w:val="11"/>
              <w:bidi w:val="0"/>
              <w:rPr>
                <w:rFonts w:hint="eastAsia" w:eastAsia="宋体"/>
                <w:color w:val="000000"/>
                <w:lang w:eastAsia="zh-CN"/>
              </w:rPr>
            </w:pPr>
            <w:r>
              <w:rPr>
                <w:rFonts w:hint="eastAsia"/>
                <w:color w:val="000000"/>
              </w:rPr>
              <w:t>工业</w:t>
            </w:r>
          </w:p>
        </w:tc>
        <w:tc>
          <w:tcPr>
            <w:tcW w:w="1667" w:type="pct"/>
            <w:shd w:val="clear" w:color="auto" w:fill="FFFFFF"/>
            <w:noWrap w:val="0"/>
            <w:tcMar>
              <w:top w:w="28" w:type="dxa"/>
              <w:left w:w="28" w:type="dxa"/>
              <w:bottom w:w="28" w:type="dxa"/>
              <w:right w:w="28" w:type="dxa"/>
            </w:tcMar>
            <w:vAlign w:val="center"/>
          </w:tcPr>
          <w:p w14:paraId="08A107CE">
            <w:pPr>
              <w:pStyle w:val="11"/>
              <w:bidi w:val="0"/>
              <w:jc w:val="center"/>
              <w:rPr>
                <w:rFonts w:hint="eastAsia"/>
                <w:color w:val="000000"/>
              </w:rPr>
            </w:pPr>
            <w:r>
              <w:rPr>
                <w:rFonts w:hint="eastAsia"/>
                <w:color w:val="000000"/>
              </w:rPr>
              <w:t>156695</w:t>
            </w:r>
          </w:p>
        </w:tc>
        <w:tc>
          <w:tcPr>
            <w:tcW w:w="1666" w:type="pct"/>
            <w:shd w:val="clear" w:color="auto" w:fill="FFFFFF"/>
            <w:noWrap w:val="0"/>
            <w:tcMar>
              <w:top w:w="28" w:type="dxa"/>
              <w:bottom w:w="28" w:type="dxa"/>
              <w:right w:w="28" w:type="dxa"/>
            </w:tcMar>
            <w:vAlign w:val="center"/>
          </w:tcPr>
          <w:p w14:paraId="50AB66F8">
            <w:pPr>
              <w:pStyle w:val="11"/>
              <w:bidi w:val="0"/>
              <w:jc w:val="center"/>
              <w:rPr>
                <w:rFonts w:hint="eastAsia"/>
                <w:color w:val="000000"/>
              </w:rPr>
            </w:pPr>
            <w:r>
              <w:rPr>
                <w:rFonts w:hint="eastAsia"/>
                <w:color w:val="000000"/>
              </w:rPr>
              <w:t>15.2</w:t>
            </w:r>
          </w:p>
        </w:tc>
      </w:tr>
      <w:tr w14:paraId="6D3B87D1">
        <w:tblPrEx>
          <w:tblBorders>
            <w:top w:val="single" w:color="000000" w:sz="4" w:space="0"/>
            <w:left w:val="none" w:color="auto" w:sz="0" w:space="0"/>
            <w:bottom w:val="none" w:color="auto" w:sz="0"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666" w:type="pct"/>
            <w:shd w:val="clear" w:color="auto" w:fill="FFFFFF"/>
            <w:noWrap w:val="0"/>
            <w:tcMar>
              <w:left w:w="397" w:type="dxa"/>
            </w:tcMar>
            <w:vAlign w:val="center"/>
          </w:tcPr>
          <w:p w14:paraId="42DB197F">
            <w:pPr>
              <w:pStyle w:val="11"/>
              <w:bidi w:val="0"/>
              <w:rPr>
                <w:rFonts w:hint="eastAsia" w:eastAsia="宋体"/>
                <w:color w:val="000000"/>
                <w:lang w:eastAsia="zh-CN"/>
              </w:rPr>
            </w:pPr>
            <w:r>
              <w:rPr>
                <w:rFonts w:hint="eastAsia"/>
                <w:color w:val="000000"/>
              </w:rPr>
              <w:t>建筑业</w:t>
            </w:r>
          </w:p>
        </w:tc>
        <w:tc>
          <w:tcPr>
            <w:tcW w:w="1667" w:type="pct"/>
            <w:shd w:val="clear" w:color="auto" w:fill="FFFFFF"/>
            <w:noWrap w:val="0"/>
            <w:tcMar>
              <w:top w:w="28" w:type="dxa"/>
              <w:left w:w="28" w:type="dxa"/>
              <w:bottom w:w="28" w:type="dxa"/>
              <w:right w:w="28" w:type="dxa"/>
            </w:tcMar>
            <w:vAlign w:val="center"/>
          </w:tcPr>
          <w:p w14:paraId="2419B9A7">
            <w:pPr>
              <w:pStyle w:val="11"/>
              <w:bidi w:val="0"/>
              <w:jc w:val="center"/>
              <w:rPr>
                <w:rFonts w:hint="eastAsia"/>
                <w:color w:val="000000"/>
              </w:rPr>
            </w:pPr>
            <w:r>
              <w:rPr>
                <w:rFonts w:hint="eastAsia"/>
                <w:color w:val="000000"/>
              </w:rPr>
              <w:t>81450</w:t>
            </w:r>
          </w:p>
        </w:tc>
        <w:tc>
          <w:tcPr>
            <w:tcW w:w="1666" w:type="pct"/>
            <w:shd w:val="clear" w:color="auto" w:fill="FFFFFF"/>
            <w:noWrap w:val="0"/>
            <w:tcMar>
              <w:top w:w="28" w:type="dxa"/>
              <w:bottom w:w="28" w:type="dxa"/>
              <w:right w:w="28" w:type="dxa"/>
            </w:tcMar>
            <w:vAlign w:val="center"/>
          </w:tcPr>
          <w:p w14:paraId="47599D61">
            <w:pPr>
              <w:pStyle w:val="11"/>
              <w:bidi w:val="0"/>
              <w:jc w:val="center"/>
              <w:rPr>
                <w:rFonts w:hint="eastAsia"/>
                <w:color w:val="000000"/>
              </w:rPr>
            </w:pPr>
            <w:r>
              <w:rPr>
                <w:rFonts w:hint="eastAsia"/>
                <w:color w:val="000000"/>
              </w:rPr>
              <w:t>-2.5</w:t>
            </w:r>
          </w:p>
        </w:tc>
      </w:tr>
      <w:tr w14:paraId="6675E67B">
        <w:tblPrEx>
          <w:tblBorders>
            <w:top w:val="single" w:color="000000" w:sz="4" w:space="0"/>
            <w:left w:val="none" w:color="auto" w:sz="0" w:space="0"/>
            <w:bottom w:val="none" w:color="auto" w:sz="0"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666" w:type="pct"/>
            <w:shd w:val="clear" w:color="auto" w:fill="FFFFFF"/>
            <w:noWrap w:val="0"/>
            <w:tcMar>
              <w:left w:w="397" w:type="dxa"/>
            </w:tcMar>
            <w:vAlign w:val="center"/>
          </w:tcPr>
          <w:p w14:paraId="70605A62">
            <w:pPr>
              <w:pStyle w:val="11"/>
              <w:bidi w:val="0"/>
              <w:rPr>
                <w:rFonts w:hint="eastAsia" w:eastAsia="宋体"/>
                <w:color w:val="000000"/>
                <w:lang w:eastAsia="zh-CN"/>
              </w:rPr>
            </w:pPr>
            <w:r>
              <w:rPr>
                <w:rFonts w:hint="eastAsia"/>
                <w:color w:val="000000"/>
              </w:rPr>
              <w:t>第三产业</w:t>
            </w:r>
          </w:p>
        </w:tc>
        <w:tc>
          <w:tcPr>
            <w:tcW w:w="1667" w:type="pct"/>
            <w:shd w:val="clear" w:color="auto" w:fill="FFFFFF"/>
            <w:noWrap w:val="0"/>
            <w:tcMar>
              <w:top w:w="28" w:type="dxa"/>
              <w:left w:w="28" w:type="dxa"/>
              <w:bottom w:w="28" w:type="dxa"/>
              <w:right w:w="28" w:type="dxa"/>
            </w:tcMar>
            <w:vAlign w:val="center"/>
          </w:tcPr>
          <w:p w14:paraId="40C18795">
            <w:pPr>
              <w:pStyle w:val="11"/>
              <w:bidi w:val="0"/>
              <w:jc w:val="center"/>
              <w:rPr>
                <w:rFonts w:hint="eastAsia"/>
                <w:color w:val="000000"/>
              </w:rPr>
            </w:pPr>
            <w:r>
              <w:rPr>
                <w:rFonts w:hint="eastAsia"/>
                <w:color w:val="000000"/>
              </w:rPr>
              <w:t>684759</w:t>
            </w:r>
          </w:p>
        </w:tc>
        <w:tc>
          <w:tcPr>
            <w:tcW w:w="1666" w:type="pct"/>
            <w:shd w:val="clear" w:color="auto" w:fill="FFFFFF"/>
            <w:noWrap w:val="0"/>
            <w:tcMar>
              <w:top w:w="28" w:type="dxa"/>
              <w:bottom w:w="28" w:type="dxa"/>
              <w:right w:w="28" w:type="dxa"/>
            </w:tcMar>
            <w:vAlign w:val="center"/>
          </w:tcPr>
          <w:p w14:paraId="74916EB0">
            <w:pPr>
              <w:pStyle w:val="11"/>
              <w:bidi w:val="0"/>
              <w:jc w:val="center"/>
              <w:rPr>
                <w:rFonts w:hint="eastAsia"/>
                <w:color w:val="000000"/>
              </w:rPr>
            </w:pPr>
            <w:r>
              <w:rPr>
                <w:rFonts w:hint="eastAsia"/>
                <w:color w:val="000000"/>
              </w:rPr>
              <w:t>7.5</w:t>
            </w:r>
          </w:p>
        </w:tc>
      </w:tr>
      <w:tr w14:paraId="308DA159">
        <w:tblPrEx>
          <w:tblBorders>
            <w:top w:val="single" w:color="000000" w:sz="4" w:space="0"/>
            <w:left w:val="none" w:color="auto" w:sz="0" w:space="0"/>
            <w:bottom w:val="none" w:color="auto" w:sz="0"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666" w:type="pct"/>
            <w:shd w:val="clear" w:color="auto" w:fill="FFFFFF"/>
            <w:noWrap w:val="0"/>
            <w:tcMar>
              <w:left w:w="397" w:type="dxa"/>
            </w:tcMar>
            <w:vAlign w:val="center"/>
          </w:tcPr>
          <w:p w14:paraId="361EE25A">
            <w:pPr>
              <w:pStyle w:val="11"/>
              <w:bidi w:val="0"/>
              <w:rPr>
                <w:rFonts w:hint="eastAsia"/>
                <w:color w:val="000000"/>
              </w:rPr>
            </w:pPr>
            <w:r>
              <w:rPr>
                <w:rFonts w:hint="eastAsia"/>
                <w:color w:val="000000"/>
              </w:rPr>
              <w:t>交通运输、仓储和邮政业</w:t>
            </w:r>
          </w:p>
        </w:tc>
        <w:tc>
          <w:tcPr>
            <w:tcW w:w="1667" w:type="pct"/>
            <w:shd w:val="clear" w:color="auto" w:fill="FFFFFF"/>
            <w:noWrap w:val="0"/>
            <w:tcMar>
              <w:top w:w="28" w:type="dxa"/>
              <w:left w:w="28" w:type="dxa"/>
              <w:bottom w:w="28" w:type="dxa"/>
              <w:right w:w="28" w:type="dxa"/>
            </w:tcMar>
            <w:vAlign w:val="center"/>
          </w:tcPr>
          <w:p w14:paraId="253E8362">
            <w:pPr>
              <w:pStyle w:val="11"/>
              <w:bidi w:val="0"/>
              <w:jc w:val="center"/>
              <w:rPr>
                <w:rFonts w:hint="eastAsia"/>
                <w:color w:val="000000"/>
              </w:rPr>
            </w:pPr>
            <w:r>
              <w:rPr>
                <w:rFonts w:hint="eastAsia"/>
                <w:color w:val="000000"/>
              </w:rPr>
              <w:t>66645</w:t>
            </w:r>
          </w:p>
        </w:tc>
        <w:tc>
          <w:tcPr>
            <w:tcW w:w="1666" w:type="pct"/>
            <w:shd w:val="clear" w:color="auto" w:fill="FFFFFF"/>
            <w:noWrap w:val="0"/>
            <w:tcMar>
              <w:top w:w="28" w:type="dxa"/>
              <w:bottom w:w="28" w:type="dxa"/>
              <w:right w:w="28" w:type="dxa"/>
            </w:tcMar>
            <w:vAlign w:val="center"/>
          </w:tcPr>
          <w:p w14:paraId="08655E9E">
            <w:pPr>
              <w:pStyle w:val="11"/>
              <w:bidi w:val="0"/>
              <w:jc w:val="center"/>
              <w:rPr>
                <w:rFonts w:hint="eastAsia"/>
                <w:color w:val="000000"/>
              </w:rPr>
            </w:pPr>
            <w:r>
              <w:rPr>
                <w:rFonts w:hint="eastAsia"/>
                <w:color w:val="000000"/>
              </w:rPr>
              <w:t>2.4</w:t>
            </w:r>
          </w:p>
        </w:tc>
      </w:tr>
      <w:tr w14:paraId="0F085FBC">
        <w:tblPrEx>
          <w:tblBorders>
            <w:top w:val="single" w:color="000000" w:sz="4" w:space="0"/>
            <w:left w:val="none" w:color="auto" w:sz="0" w:space="0"/>
            <w:bottom w:val="none" w:color="auto" w:sz="0"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666" w:type="pct"/>
            <w:shd w:val="clear" w:color="auto" w:fill="FFFFFF"/>
            <w:noWrap w:val="0"/>
            <w:tcMar>
              <w:left w:w="397" w:type="dxa"/>
            </w:tcMar>
            <w:vAlign w:val="center"/>
          </w:tcPr>
          <w:p w14:paraId="429CA0CD">
            <w:pPr>
              <w:pStyle w:val="11"/>
              <w:bidi w:val="0"/>
              <w:rPr>
                <w:rFonts w:hint="eastAsia" w:eastAsia="宋体"/>
                <w:color w:val="000000"/>
                <w:lang w:eastAsia="zh-CN"/>
              </w:rPr>
            </w:pPr>
            <w:r>
              <w:rPr>
                <w:rFonts w:hint="eastAsia"/>
                <w:color w:val="000000"/>
              </w:rPr>
              <w:t>批发和零售业</w:t>
            </w:r>
          </w:p>
        </w:tc>
        <w:tc>
          <w:tcPr>
            <w:tcW w:w="1667" w:type="pct"/>
            <w:shd w:val="clear" w:color="auto" w:fill="FFFFFF"/>
            <w:noWrap w:val="0"/>
            <w:tcMar>
              <w:top w:w="28" w:type="dxa"/>
              <w:left w:w="28" w:type="dxa"/>
              <w:bottom w:w="28" w:type="dxa"/>
              <w:right w:w="28" w:type="dxa"/>
            </w:tcMar>
            <w:vAlign w:val="center"/>
          </w:tcPr>
          <w:p w14:paraId="6A1E26A8">
            <w:pPr>
              <w:pStyle w:val="11"/>
              <w:bidi w:val="0"/>
              <w:jc w:val="center"/>
              <w:rPr>
                <w:rFonts w:hint="eastAsia"/>
                <w:color w:val="000000"/>
              </w:rPr>
            </w:pPr>
            <w:r>
              <w:rPr>
                <w:rFonts w:hint="eastAsia"/>
                <w:color w:val="000000"/>
              </w:rPr>
              <w:t>176194</w:t>
            </w:r>
          </w:p>
        </w:tc>
        <w:tc>
          <w:tcPr>
            <w:tcW w:w="1666" w:type="pct"/>
            <w:shd w:val="clear" w:color="auto" w:fill="FFFFFF"/>
            <w:noWrap w:val="0"/>
            <w:tcMar>
              <w:top w:w="28" w:type="dxa"/>
              <w:bottom w:w="28" w:type="dxa"/>
              <w:right w:w="28" w:type="dxa"/>
            </w:tcMar>
            <w:vAlign w:val="center"/>
          </w:tcPr>
          <w:p w14:paraId="2DA4535C">
            <w:pPr>
              <w:pStyle w:val="11"/>
              <w:bidi w:val="0"/>
              <w:jc w:val="center"/>
              <w:rPr>
                <w:rFonts w:hint="eastAsia"/>
                <w:color w:val="000000"/>
              </w:rPr>
            </w:pPr>
            <w:r>
              <w:rPr>
                <w:rFonts w:hint="eastAsia"/>
                <w:color w:val="000000"/>
              </w:rPr>
              <w:t>3.8</w:t>
            </w:r>
          </w:p>
        </w:tc>
      </w:tr>
      <w:tr w14:paraId="7D84B077">
        <w:tblPrEx>
          <w:tblBorders>
            <w:top w:val="single" w:color="000000" w:sz="4" w:space="0"/>
            <w:left w:val="none" w:color="auto" w:sz="0" w:space="0"/>
            <w:bottom w:val="none" w:color="auto" w:sz="0"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666" w:type="pct"/>
            <w:shd w:val="clear" w:color="auto" w:fill="FFFFFF"/>
            <w:noWrap w:val="0"/>
            <w:tcMar>
              <w:left w:w="397" w:type="dxa"/>
            </w:tcMar>
            <w:vAlign w:val="center"/>
          </w:tcPr>
          <w:p w14:paraId="0E4FD1FB">
            <w:pPr>
              <w:pStyle w:val="11"/>
              <w:bidi w:val="0"/>
              <w:rPr>
                <w:rFonts w:hint="eastAsia" w:eastAsia="宋体"/>
                <w:color w:val="000000"/>
                <w:lang w:eastAsia="zh-CN"/>
              </w:rPr>
            </w:pPr>
            <w:r>
              <w:rPr>
                <w:rFonts w:hint="eastAsia"/>
                <w:color w:val="000000"/>
              </w:rPr>
              <w:t>住宿和餐饮业</w:t>
            </w:r>
          </w:p>
        </w:tc>
        <w:tc>
          <w:tcPr>
            <w:tcW w:w="1667" w:type="pct"/>
            <w:shd w:val="clear" w:color="auto" w:fill="FFFFFF"/>
            <w:noWrap w:val="0"/>
            <w:tcMar>
              <w:top w:w="28" w:type="dxa"/>
              <w:left w:w="28" w:type="dxa"/>
              <w:bottom w:w="28" w:type="dxa"/>
              <w:right w:w="28" w:type="dxa"/>
            </w:tcMar>
            <w:vAlign w:val="center"/>
          </w:tcPr>
          <w:p w14:paraId="5B583216">
            <w:pPr>
              <w:pStyle w:val="11"/>
              <w:bidi w:val="0"/>
              <w:jc w:val="center"/>
              <w:rPr>
                <w:rFonts w:hint="eastAsia"/>
                <w:color w:val="000000"/>
              </w:rPr>
            </w:pPr>
            <w:r>
              <w:rPr>
                <w:rFonts w:hint="eastAsia"/>
                <w:color w:val="000000"/>
              </w:rPr>
              <w:t>39801</w:t>
            </w:r>
          </w:p>
        </w:tc>
        <w:tc>
          <w:tcPr>
            <w:tcW w:w="1666" w:type="pct"/>
            <w:shd w:val="clear" w:color="auto" w:fill="FFFFFF"/>
            <w:noWrap w:val="0"/>
            <w:tcMar>
              <w:top w:w="28" w:type="dxa"/>
              <w:bottom w:w="28" w:type="dxa"/>
              <w:right w:w="28" w:type="dxa"/>
            </w:tcMar>
            <w:vAlign w:val="center"/>
          </w:tcPr>
          <w:p w14:paraId="341B4C95">
            <w:pPr>
              <w:pStyle w:val="11"/>
              <w:bidi w:val="0"/>
              <w:jc w:val="center"/>
              <w:rPr>
                <w:rFonts w:hint="eastAsia"/>
                <w:color w:val="000000"/>
              </w:rPr>
            </w:pPr>
            <w:r>
              <w:rPr>
                <w:rFonts w:hint="eastAsia"/>
                <w:color w:val="000000"/>
              </w:rPr>
              <w:t>4.0</w:t>
            </w:r>
          </w:p>
        </w:tc>
      </w:tr>
      <w:tr w14:paraId="3C855E2C">
        <w:tblPrEx>
          <w:tblBorders>
            <w:top w:val="single" w:color="000000" w:sz="4" w:space="0"/>
            <w:left w:val="none" w:color="auto" w:sz="0" w:space="0"/>
            <w:bottom w:val="none" w:color="auto" w:sz="0"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666" w:type="pct"/>
            <w:shd w:val="clear" w:color="auto" w:fill="FFFFFF"/>
            <w:noWrap w:val="0"/>
            <w:tcMar>
              <w:left w:w="397" w:type="dxa"/>
            </w:tcMar>
            <w:vAlign w:val="center"/>
          </w:tcPr>
          <w:p w14:paraId="42A67D63">
            <w:pPr>
              <w:pStyle w:val="11"/>
              <w:bidi w:val="0"/>
              <w:rPr>
                <w:rFonts w:hint="eastAsia" w:eastAsia="宋体"/>
                <w:color w:val="000000"/>
                <w:lang w:eastAsia="zh-CN"/>
              </w:rPr>
            </w:pPr>
            <w:r>
              <w:rPr>
                <w:rFonts w:hint="eastAsia"/>
                <w:color w:val="000000"/>
              </w:rPr>
              <w:t>金融业</w:t>
            </w:r>
          </w:p>
        </w:tc>
        <w:tc>
          <w:tcPr>
            <w:tcW w:w="1667" w:type="pct"/>
            <w:shd w:val="clear" w:color="auto" w:fill="FFFFFF"/>
            <w:noWrap w:val="0"/>
            <w:tcMar>
              <w:top w:w="28" w:type="dxa"/>
              <w:left w:w="28" w:type="dxa"/>
              <w:bottom w:w="28" w:type="dxa"/>
              <w:right w:w="28" w:type="dxa"/>
            </w:tcMar>
            <w:vAlign w:val="center"/>
          </w:tcPr>
          <w:p w14:paraId="6FF13ECF">
            <w:pPr>
              <w:pStyle w:val="11"/>
              <w:bidi w:val="0"/>
              <w:jc w:val="center"/>
              <w:rPr>
                <w:rFonts w:hint="eastAsia"/>
                <w:color w:val="000000"/>
              </w:rPr>
            </w:pPr>
            <w:r>
              <w:rPr>
                <w:rFonts w:hint="eastAsia"/>
                <w:color w:val="000000"/>
              </w:rPr>
              <w:t>35566</w:t>
            </w:r>
          </w:p>
        </w:tc>
        <w:tc>
          <w:tcPr>
            <w:tcW w:w="1666" w:type="pct"/>
            <w:shd w:val="clear" w:color="auto" w:fill="FFFFFF"/>
            <w:noWrap w:val="0"/>
            <w:tcMar>
              <w:top w:w="28" w:type="dxa"/>
              <w:bottom w:w="28" w:type="dxa"/>
              <w:right w:w="28" w:type="dxa"/>
            </w:tcMar>
            <w:vAlign w:val="center"/>
          </w:tcPr>
          <w:p w14:paraId="6E1A2E3D">
            <w:pPr>
              <w:pStyle w:val="11"/>
              <w:bidi w:val="0"/>
              <w:jc w:val="center"/>
              <w:rPr>
                <w:rFonts w:hint="eastAsia"/>
                <w:color w:val="000000"/>
              </w:rPr>
            </w:pPr>
            <w:r>
              <w:rPr>
                <w:rFonts w:hint="eastAsia"/>
                <w:color w:val="000000"/>
              </w:rPr>
              <w:t>1.0</w:t>
            </w:r>
          </w:p>
        </w:tc>
      </w:tr>
      <w:tr w14:paraId="42BD9E32">
        <w:tblPrEx>
          <w:tblBorders>
            <w:top w:val="single" w:color="000000" w:sz="4" w:space="0"/>
            <w:left w:val="none" w:color="auto" w:sz="0" w:space="0"/>
            <w:bottom w:val="none" w:color="auto" w:sz="0"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666" w:type="pct"/>
            <w:shd w:val="clear" w:color="auto" w:fill="FFFFFF"/>
            <w:noWrap w:val="0"/>
            <w:tcMar>
              <w:left w:w="397" w:type="dxa"/>
            </w:tcMar>
            <w:vAlign w:val="center"/>
          </w:tcPr>
          <w:p w14:paraId="1BE9FAF8">
            <w:pPr>
              <w:pStyle w:val="11"/>
              <w:bidi w:val="0"/>
              <w:rPr>
                <w:rFonts w:hint="eastAsia" w:eastAsia="宋体"/>
                <w:color w:val="000000"/>
                <w:lang w:eastAsia="zh-CN"/>
              </w:rPr>
            </w:pPr>
            <w:r>
              <w:rPr>
                <w:rFonts w:hint="eastAsia"/>
                <w:color w:val="000000"/>
              </w:rPr>
              <w:t>房地产业</w:t>
            </w:r>
          </w:p>
        </w:tc>
        <w:tc>
          <w:tcPr>
            <w:tcW w:w="1667" w:type="pct"/>
            <w:shd w:val="clear" w:color="auto" w:fill="FFFFFF"/>
            <w:noWrap w:val="0"/>
            <w:tcMar>
              <w:top w:w="28" w:type="dxa"/>
              <w:left w:w="28" w:type="dxa"/>
              <w:bottom w:w="28" w:type="dxa"/>
              <w:right w:w="28" w:type="dxa"/>
            </w:tcMar>
            <w:vAlign w:val="center"/>
          </w:tcPr>
          <w:p w14:paraId="4AD1A3D0">
            <w:pPr>
              <w:pStyle w:val="11"/>
              <w:bidi w:val="0"/>
              <w:jc w:val="center"/>
              <w:rPr>
                <w:rFonts w:hint="eastAsia"/>
                <w:color w:val="000000"/>
              </w:rPr>
            </w:pPr>
            <w:r>
              <w:rPr>
                <w:rFonts w:hint="eastAsia"/>
                <w:color w:val="000000"/>
              </w:rPr>
              <w:t>80567</w:t>
            </w:r>
          </w:p>
        </w:tc>
        <w:tc>
          <w:tcPr>
            <w:tcW w:w="1666" w:type="pct"/>
            <w:shd w:val="clear" w:color="auto" w:fill="FFFFFF"/>
            <w:noWrap w:val="0"/>
            <w:tcMar>
              <w:top w:w="28" w:type="dxa"/>
              <w:bottom w:w="28" w:type="dxa"/>
              <w:right w:w="28" w:type="dxa"/>
            </w:tcMar>
            <w:vAlign w:val="center"/>
          </w:tcPr>
          <w:p w14:paraId="18C1A981">
            <w:pPr>
              <w:pStyle w:val="11"/>
              <w:bidi w:val="0"/>
              <w:jc w:val="center"/>
              <w:rPr>
                <w:rFonts w:hint="eastAsia"/>
                <w:color w:val="000000"/>
              </w:rPr>
            </w:pPr>
            <w:r>
              <w:rPr>
                <w:rFonts w:hint="eastAsia"/>
                <w:color w:val="000000"/>
              </w:rPr>
              <w:t>4.3</w:t>
            </w:r>
          </w:p>
        </w:tc>
      </w:tr>
      <w:tr w14:paraId="3F7724D9">
        <w:tblPrEx>
          <w:tblBorders>
            <w:top w:val="single" w:color="000000" w:sz="4" w:space="0"/>
            <w:left w:val="none" w:color="auto" w:sz="0" w:space="0"/>
            <w:bottom w:val="none" w:color="auto" w:sz="0"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666" w:type="pct"/>
            <w:shd w:val="clear" w:color="auto" w:fill="FFFFFF"/>
            <w:noWrap w:val="0"/>
            <w:tcMar>
              <w:left w:w="397" w:type="dxa"/>
            </w:tcMar>
            <w:vAlign w:val="center"/>
          </w:tcPr>
          <w:p w14:paraId="79318D13">
            <w:pPr>
              <w:pStyle w:val="11"/>
              <w:bidi w:val="0"/>
              <w:rPr>
                <w:rFonts w:hint="eastAsia" w:eastAsia="宋体"/>
                <w:color w:val="000000"/>
                <w:lang w:eastAsia="zh-CN"/>
              </w:rPr>
            </w:pPr>
            <w:r>
              <w:rPr>
                <w:rFonts w:hint="eastAsia"/>
                <w:color w:val="000000"/>
              </w:rPr>
              <w:t>其他营利性服务业</w:t>
            </w:r>
          </w:p>
        </w:tc>
        <w:tc>
          <w:tcPr>
            <w:tcW w:w="1667" w:type="pct"/>
            <w:shd w:val="clear" w:color="auto" w:fill="FFFFFF"/>
            <w:noWrap w:val="0"/>
            <w:tcMar>
              <w:top w:w="28" w:type="dxa"/>
              <w:left w:w="28" w:type="dxa"/>
              <w:bottom w:w="28" w:type="dxa"/>
              <w:right w:w="28" w:type="dxa"/>
            </w:tcMar>
            <w:vAlign w:val="center"/>
          </w:tcPr>
          <w:p w14:paraId="16161EDE">
            <w:pPr>
              <w:pStyle w:val="11"/>
              <w:bidi w:val="0"/>
              <w:jc w:val="center"/>
              <w:rPr>
                <w:rFonts w:hint="eastAsia"/>
                <w:color w:val="000000"/>
              </w:rPr>
            </w:pPr>
            <w:r>
              <w:rPr>
                <w:rFonts w:hint="eastAsia"/>
                <w:color w:val="000000"/>
              </w:rPr>
              <w:t>95299</w:t>
            </w:r>
          </w:p>
        </w:tc>
        <w:tc>
          <w:tcPr>
            <w:tcW w:w="1666" w:type="pct"/>
            <w:shd w:val="clear" w:color="auto" w:fill="FFFFFF"/>
            <w:noWrap w:val="0"/>
            <w:tcMar>
              <w:top w:w="28" w:type="dxa"/>
              <w:bottom w:w="28" w:type="dxa"/>
              <w:right w:w="28" w:type="dxa"/>
            </w:tcMar>
            <w:vAlign w:val="center"/>
          </w:tcPr>
          <w:p w14:paraId="14B10F30">
            <w:pPr>
              <w:pStyle w:val="11"/>
              <w:bidi w:val="0"/>
              <w:jc w:val="center"/>
              <w:rPr>
                <w:rFonts w:hint="eastAsia"/>
                <w:color w:val="000000"/>
              </w:rPr>
            </w:pPr>
            <w:r>
              <w:rPr>
                <w:rFonts w:hint="eastAsia"/>
                <w:color w:val="000000"/>
              </w:rPr>
              <w:t>15.2</w:t>
            </w:r>
          </w:p>
        </w:tc>
      </w:tr>
      <w:tr w14:paraId="7470AEB1">
        <w:tblPrEx>
          <w:tblBorders>
            <w:top w:val="single" w:color="000000" w:sz="4" w:space="0"/>
            <w:left w:val="none" w:color="auto" w:sz="0" w:space="0"/>
            <w:bottom w:val="none" w:color="auto" w:sz="0"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666" w:type="pct"/>
            <w:shd w:val="clear" w:color="auto" w:fill="FFFFFF"/>
            <w:noWrap w:val="0"/>
            <w:tcMar>
              <w:left w:w="397" w:type="dxa"/>
            </w:tcMar>
            <w:vAlign w:val="center"/>
          </w:tcPr>
          <w:p w14:paraId="21676C49">
            <w:pPr>
              <w:pStyle w:val="11"/>
              <w:bidi w:val="0"/>
              <w:rPr>
                <w:rFonts w:hint="eastAsia" w:eastAsia="宋体"/>
                <w:color w:val="000000"/>
                <w:lang w:eastAsia="zh-CN"/>
              </w:rPr>
            </w:pPr>
            <w:r>
              <w:rPr>
                <w:rFonts w:hint="eastAsia"/>
                <w:color w:val="000000"/>
              </w:rPr>
              <w:t>非营利性服务业</w:t>
            </w:r>
          </w:p>
        </w:tc>
        <w:tc>
          <w:tcPr>
            <w:tcW w:w="1667" w:type="pct"/>
            <w:shd w:val="clear" w:color="auto" w:fill="FFFFFF"/>
            <w:noWrap w:val="0"/>
            <w:tcMar>
              <w:top w:w="28" w:type="dxa"/>
              <w:left w:w="28" w:type="dxa"/>
              <w:bottom w:w="28" w:type="dxa"/>
              <w:right w:w="28" w:type="dxa"/>
            </w:tcMar>
            <w:vAlign w:val="center"/>
          </w:tcPr>
          <w:p w14:paraId="380015D5">
            <w:pPr>
              <w:pStyle w:val="11"/>
              <w:bidi w:val="0"/>
              <w:jc w:val="center"/>
              <w:rPr>
                <w:rFonts w:hint="eastAsia"/>
                <w:color w:val="000000"/>
              </w:rPr>
            </w:pPr>
            <w:r>
              <w:rPr>
                <w:rFonts w:hint="eastAsia"/>
                <w:color w:val="000000"/>
              </w:rPr>
              <w:t>188671</w:t>
            </w:r>
          </w:p>
        </w:tc>
        <w:tc>
          <w:tcPr>
            <w:tcW w:w="1666" w:type="pct"/>
            <w:shd w:val="clear" w:color="auto" w:fill="FFFFFF"/>
            <w:noWrap w:val="0"/>
            <w:tcMar>
              <w:top w:w="28" w:type="dxa"/>
              <w:bottom w:w="28" w:type="dxa"/>
              <w:right w:w="28" w:type="dxa"/>
            </w:tcMar>
            <w:vAlign w:val="center"/>
          </w:tcPr>
          <w:p w14:paraId="30E3389F">
            <w:pPr>
              <w:pStyle w:val="11"/>
              <w:bidi w:val="0"/>
              <w:jc w:val="center"/>
              <w:rPr>
                <w:rFonts w:hint="eastAsia"/>
                <w:color w:val="000000"/>
              </w:rPr>
            </w:pPr>
            <w:r>
              <w:rPr>
                <w:rFonts w:hint="eastAsia"/>
                <w:color w:val="000000"/>
              </w:rPr>
              <w:t>13.1</w:t>
            </w:r>
          </w:p>
        </w:tc>
      </w:tr>
      <w:tr w14:paraId="63F3C1B9">
        <w:tblPrEx>
          <w:tblBorders>
            <w:top w:val="single" w:color="000000" w:sz="4" w:space="0"/>
            <w:left w:val="none" w:color="auto" w:sz="0" w:space="0"/>
            <w:bottom w:val="none" w:color="auto" w:sz="0"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666" w:type="pct"/>
            <w:shd w:val="clear" w:color="auto" w:fill="FFFFFF"/>
            <w:noWrap w:val="0"/>
            <w:tcMar>
              <w:left w:w="397" w:type="dxa"/>
            </w:tcMar>
            <w:vAlign w:val="center"/>
          </w:tcPr>
          <w:p w14:paraId="0D817324">
            <w:pPr>
              <w:pStyle w:val="11"/>
              <w:bidi w:val="0"/>
              <w:rPr>
                <w:rFonts w:hint="eastAsia" w:eastAsia="宋体"/>
                <w:color w:val="000000"/>
                <w:lang w:eastAsia="zh-CN"/>
              </w:rPr>
            </w:pPr>
            <w:r>
              <w:rPr>
                <w:rFonts w:hint="eastAsia"/>
                <w:color w:val="000000"/>
              </w:rPr>
              <w:t>农林牧渔服务业</w:t>
            </w:r>
          </w:p>
        </w:tc>
        <w:tc>
          <w:tcPr>
            <w:tcW w:w="1667" w:type="pct"/>
            <w:shd w:val="clear" w:color="auto" w:fill="FFFFFF"/>
            <w:noWrap w:val="0"/>
            <w:tcMar>
              <w:top w:w="28" w:type="dxa"/>
              <w:left w:w="28" w:type="dxa"/>
              <w:bottom w:w="28" w:type="dxa"/>
              <w:right w:w="28" w:type="dxa"/>
            </w:tcMar>
            <w:vAlign w:val="center"/>
          </w:tcPr>
          <w:p w14:paraId="6AD0448A">
            <w:pPr>
              <w:pStyle w:val="11"/>
              <w:bidi w:val="0"/>
              <w:jc w:val="center"/>
              <w:rPr>
                <w:rFonts w:hint="eastAsia"/>
                <w:color w:val="000000"/>
              </w:rPr>
            </w:pPr>
            <w:r>
              <w:rPr>
                <w:rFonts w:hint="eastAsia"/>
                <w:color w:val="000000"/>
              </w:rPr>
              <w:t>2016</w:t>
            </w:r>
          </w:p>
        </w:tc>
        <w:tc>
          <w:tcPr>
            <w:tcW w:w="1666" w:type="pct"/>
            <w:shd w:val="clear" w:color="auto" w:fill="FFFFFF"/>
            <w:noWrap w:val="0"/>
            <w:tcMar>
              <w:top w:w="28" w:type="dxa"/>
              <w:bottom w:w="28" w:type="dxa"/>
              <w:right w:w="28" w:type="dxa"/>
            </w:tcMar>
            <w:vAlign w:val="center"/>
          </w:tcPr>
          <w:p w14:paraId="217ECABD">
            <w:pPr>
              <w:pStyle w:val="11"/>
              <w:bidi w:val="0"/>
              <w:jc w:val="center"/>
              <w:rPr>
                <w:rFonts w:hint="eastAsia"/>
                <w:color w:val="000000"/>
              </w:rPr>
            </w:pPr>
            <w:r>
              <w:rPr>
                <w:rFonts w:hint="eastAsia"/>
                <w:color w:val="000000"/>
              </w:rPr>
              <w:t>3.1</w:t>
            </w:r>
          </w:p>
        </w:tc>
      </w:tr>
    </w:tbl>
    <w:p w14:paraId="4FF1D05B">
      <w:pPr>
        <w:bidi w:val="0"/>
        <w:rPr>
          <w:rFonts w:hint="eastAsia"/>
        </w:rPr>
      </w:pPr>
      <w:r>
        <w:rPr>
          <w:rFonts w:hint="eastAsia"/>
        </w:rPr>
        <w:t>全年居民消费价格总指数（CPI）累计上涨2.1%，涨幅比上年提高0.5个百分点。分类别看，消费品价格上涨1.6%，服务项目价格上涨2.9%，非食品价格上涨2.1%。</w:t>
      </w:r>
    </w:p>
    <w:p w14:paraId="186180AF">
      <w:pPr>
        <w:bidi w:val="0"/>
        <w:rPr>
          <w:rFonts w:hint="eastAsia"/>
        </w:rPr>
      </w:pPr>
      <w:r>
        <w:rPr>
          <w:rFonts w:hint="eastAsia"/>
        </w:rPr>
        <w:t>八大类商品（服务）价格与上年同月相比全线上涨：医疗保健类价格上涨3.6%，衣着类价格上涨3.2%，居住类价格上涨5%，交通通信类价格上涨0.5%，教育文化和娱乐类价格上涨1.2%，其他用品和服务类价格上涨0.7%，生活用品及服务类价格上涨1.7%，食品烟酒类价格上涨2.7%。</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0E22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1982C43">
            <w:pPr>
              <w:bidi w:val="0"/>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3898265" cy="2448560"/>
                  <wp:effectExtent l="0" t="0" r="6985" b="8890"/>
                  <wp:docPr id="143" name="图片 1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2"/>
                          <pic:cNvPicPr>
                            <a:picLocks noChangeAspect="1"/>
                          </pic:cNvPicPr>
                        </pic:nvPicPr>
                        <pic:blipFill>
                          <a:blip r:embed="rId130"/>
                          <a:stretch>
                            <a:fillRect/>
                          </a:stretch>
                        </pic:blipFill>
                        <pic:spPr>
                          <a:xfrm>
                            <a:off x="0" y="0"/>
                            <a:ext cx="3898265" cy="2448560"/>
                          </a:xfrm>
                          <a:prstGeom prst="rect">
                            <a:avLst/>
                          </a:prstGeom>
                        </pic:spPr>
                      </pic:pic>
                    </a:graphicData>
                  </a:graphic>
                </wp:inline>
              </w:drawing>
            </w:r>
          </w:p>
        </w:tc>
      </w:tr>
    </w:tbl>
    <w:p w14:paraId="1232A6D5">
      <w:pPr>
        <w:bidi w:val="0"/>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E9E8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E83B9A6">
            <w:pPr>
              <w:bidi w:val="0"/>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3850005" cy="2449830"/>
                  <wp:effectExtent l="0" t="0" r="17145" b="7620"/>
                  <wp:docPr id="144" name="图片 1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3"/>
                          <pic:cNvPicPr>
                            <a:picLocks noChangeAspect="1"/>
                          </pic:cNvPicPr>
                        </pic:nvPicPr>
                        <pic:blipFill>
                          <a:blip r:embed="rId131"/>
                          <a:stretch>
                            <a:fillRect/>
                          </a:stretch>
                        </pic:blipFill>
                        <pic:spPr>
                          <a:xfrm>
                            <a:off x="0" y="0"/>
                            <a:ext cx="3850005" cy="2449830"/>
                          </a:xfrm>
                          <a:prstGeom prst="rect">
                            <a:avLst/>
                          </a:prstGeom>
                        </pic:spPr>
                      </pic:pic>
                    </a:graphicData>
                  </a:graphic>
                </wp:inline>
              </w:drawing>
            </w:r>
          </w:p>
        </w:tc>
      </w:tr>
    </w:tbl>
    <w:p w14:paraId="68E62C16">
      <w:pPr>
        <w:bidi w:val="0"/>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5096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4A97A69">
            <w:pPr>
              <w:bidi w:val="0"/>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3880485" cy="2379345"/>
                  <wp:effectExtent l="0" t="0" r="5715" b="1905"/>
                  <wp:docPr id="145" name="图片 1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4"/>
                          <pic:cNvPicPr>
                            <a:picLocks noChangeAspect="1"/>
                          </pic:cNvPicPr>
                        </pic:nvPicPr>
                        <pic:blipFill>
                          <a:blip r:embed="rId132"/>
                          <a:stretch>
                            <a:fillRect/>
                          </a:stretch>
                        </pic:blipFill>
                        <pic:spPr>
                          <a:xfrm>
                            <a:off x="0" y="0"/>
                            <a:ext cx="3880485" cy="2379345"/>
                          </a:xfrm>
                          <a:prstGeom prst="rect">
                            <a:avLst/>
                          </a:prstGeom>
                        </pic:spPr>
                      </pic:pic>
                    </a:graphicData>
                  </a:graphic>
                </wp:inline>
              </w:drawing>
            </w:r>
          </w:p>
        </w:tc>
      </w:tr>
    </w:tbl>
    <w:p w14:paraId="64776F9E">
      <w:pPr>
        <w:bidi w:val="0"/>
        <w:rPr>
          <w:rFonts w:hint="eastAsia"/>
        </w:rPr>
      </w:pPr>
      <w:r>
        <w:rPr>
          <w:rFonts w:hint="eastAsia"/>
        </w:rPr>
        <w:t>全市年末从业人员18.28万人。其中，第一产业8.74万人；第二产业3.27万人（工业从业人员2.28万人，建筑业从业人员0.99万人）；第三产业6.27万人。城镇新增就业人数3288人，转移就业6065人，城镇登记失业率2.31%。</w:t>
      </w:r>
    </w:p>
    <w:p w14:paraId="7AEF75AB">
      <w:pPr>
        <w:bidi w:val="0"/>
        <w:rPr>
          <w:rFonts w:hint="eastAsia"/>
        </w:rPr>
      </w:pPr>
      <w:r>
        <w:rPr>
          <w:rFonts w:hint="eastAsia"/>
        </w:rPr>
        <w:t>地方一般公共预算收入5.1亿元，同比下降16.7%。其中，税收收入3.38亿元，同比下降11.2%。按常住人口计算，人均财力1515元。一般公共预算支出38.07亿元，同比增长21.3%，预算支出总量位居韶关各县市区第一位。其中，教育支出6.05亿元，增长27.8%；文化体育与传媒支出0.56亿元，下降2.4%；医疗卫生与计划生育支出4.63亿元，下降6.8%；城乡社区支出3.93亿元，增长2.3倍；农林水支出7.95亿元，增长13.9%；交通运输支出15.04亿元，增长1.4倍；社会保障和就业支出5.6亿元，增长22.7%；科学技术支出0.15亿元，下降44.6%。民生类资金支出32.06亿元，占一般公共预算支出的84.2%。</w:t>
      </w:r>
    </w:p>
    <w:p w14:paraId="33C6300F">
      <w:pPr>
        <w:bidi w:val="0"/>
        <w:ind w:left="0" w:leftChars="0" w:firstLine="422" w:firstLineChars="200"/>
        <w:jc w:val="both"/>
        <w:rPr>
          <w:rFonts w:hint="eastAsia"/>
          <w:b/>
          <w:bCs/>
        </w:rPr>
      </w:pPr>
      <w:r>
        <w:rPr>
          <w:rFonts w:hint="eastAsia"/>
          <w:b/>
          <w:bCs/>
        </w:rPr>
        <w:t>二、农业</w:t>
      </w:r>
    </w:p>
    <w:p w14:paraId="2C074EFB">
      <w:pPr>
        <w:bidi w:val="0"/>
        <w:rPr>
          <w:rFonts w:hint="eastAsia"/>
        </w:rPr>
      </w:pPr>
      <w:r>
        <w:rPr>
          <w:rFonts w:hint="eastAsia"/>
        </w:rPr>
        <w:t>全市完成农林牧渔业总产值46.35亿元，同比增长5.6%。</w:t>
      </w:r>
    </w:p>
    <w:p w14:paraId="090E0DBA">
      <w:pPr>
        <w:bidi w:val="0"/>
        <w:rPr>
          <w:rFonts w:hint="eastAsia"/>
        </w:rPr>
      </w:pPr>
      <w:r>
        <w:rPr>
          <w:rFonts w:hint="eastAsia"/>
        </w:rPr>
        <w:t>农林牧渔业增加值28.13亿元，同比增长6.3%。</w:t>
      </w:r>
    </w:p>
    <w:p w14:paraId="052272E9">
      <w:pPr>
        <w:bidi w:val="0"/>
        <w:rPr>
          <w:rFonts w:hint="eastAsia"/>
        </w:rPr>
      </w:pPr>
      <w:r>
        <w:rPr>
          <w:rFonts w:hint="eastAsia"/>
        </w:rPr>
        <w:t>全年粮食作物播种面积50.11万亩，同比下降0.2%；粮食总产量18.45万吨，同比下降0.2%。其中，全年水稻播种面积42.27万亩，同比下降0.1%；水稻总产量16.72万吨，同比下降0.4%。黄烟种植面积9.33万亩、同比下降1.1%，烟叶总产量1.53万吨，同比下降1.8%。油料播种面积11.77万亩，同比增长0.4%，油料总产量2.69万吨，同比增长0.9%。蔬菜播种面积11.38万亩，总产量18.46万吨。</w:t>
      </w:r>
    </w:p>
    <w:p w14:paraId="6ED0431E">
      <w:pPr>
        <w:bidi w:val="0"/>
        <w:rPr>
          <w:rFonts w:hint="eastAsia"/>
        </w:rPr>
      </w:pPr>
      <w:r>
        <w:rPr>
          <w:rFonts w:hint="eastAsia"/>
        </w:rPr>
        <w:t>生猪出栏50.86万头，同比增长0.7%；存栏28.9万头，同比下降0.6%。家禽出栏904.7万只，同比增长2.8%；存栏183.78万只，同比增长1.3%。肉类总产量5.12万吨，同比增长0.7%。水产品产量1.76万吨，同比增长4.7%。</w:t>
      </w:r>
    </w:p>
    <w:p w14:paraId="3030A373">
      <w:pPr>
        <w:bidi w:val="0"/>
        <w:rPr>
          <w:rFonts w:hint="eastAsia"/>
        </w:rPr>
      </w:pPr>
      <w:r>
        <w:rPr>
          <w:rFonts w:hint="eastAsia"/>
        </w:rPr>
        <w:t>农用化肥施用量（折纯）16227吨，同比下降0.31%。</w:t>
      </w:r>
    </w:p>
    <w:p w14:paraId="4FA3C88B">
      <w:pPr>
        <w:bidi w:val="0"/>
        <w:rPr>
          <w:rFonts w:hint="eastAsia"/>
        </w:rPr>
      </w:pPr>
      <w:r>
        <w:rPr>
          <w:rFonts w:hint="eastAsia"/>
        </w:rPr>
        <w:t>农药使用量787吨，同比下降0.5%。农业机械总动力45.25万千瓦，同比增长1.5%。</w:t>
      </w:r>
    </w:p>
    <w:p w14:paraId="6F548B52">
      <w:pPr>
        <w:bidi w:val="0"/>
        <w:ind w:left="0" w:leftChars="0" w:firstLine="0" w:firstLineChars="0"/>
        <w:jc w:val="center"/>
        <w:rPr>
          <w:rFonts w:hint="eastAsia"/>
          <w:b/>
          <w:bCs/>
        </w:rPr>
      </w:pPr>
      <w:r>
        <w:rPr>
          <w:rFonts w:hint="eastAsia"/>
          <w:b/>
          <w:bCs/>
        </w:rPr>
        <w:t>表28</w:t>
      </w:r>
      <w:r>
        <w:rPr>
          <w:rFonts w:hint="eastAsia"/>
          <w:b/>
          <w:bCs/>
          <w:lang w:val="en-US" w:eastAsia="zh-CN"/>
        </w:rPr>
        <w:t xml:space="preserve">  </w:t>
      </w:r>
      <w:r>
        <w:rPr>
          <w:rFonts w:hint="eastAsia"/>
          <w:b/>
          <w:bCs/>
        </w:rPr>
        <w:t>2018年南雄市主要农产品产量</w:t>
      </w:r>
    </w:p>
    <w:tbl>
      <w:tblPr>
        <w:tblStyle w:val="7"/>
        <w:tblW w:w="4998" w:type="pct"/>
        <w:tblInd w:w="0" w:type="dxa"/>
        <w:tblLayout w:type="autofit"/>
        <w:tblCellMar>
          <w:top w:w="0" w:type="dxa"/>
          <w:left w:w="0" w:type="dxa"/>
          <w:bottom w:w="0" w:type="dxa"/>
          <w:right w:w="0" w:type="dxa"/>
        </w:tblCellMar>
      </w:tblPr>
      <w:tblGrid>
        <w:gridCol w:w="2450"/>
        <w:gridCol w:w="2448"/>
        <w:gridCol w:w="2451"/>
        <w:gridCol w:w="2449"/>
      </w:tblGrid>
      <w:tr w14:paraId="749CC11E">
        <w:tblPrEx>
          <w:tblCellMar>
            <w:top w:w="0" w:type="dxa"/>
            <w:left w:w="0" w:type="dxa"/>
            <w:bottom w:w="0" w:type="dxa"/>
            <w:right w:w="0" w:type="dxa"/>
          </w:tblCellMar>
        </w:tblPrEx>
        <w:trPr>
          <w:trHeight w:val="453" w:hRule="atLeast"/>
        </w:trPr>
        <w:tc>
          <w:tcPr>
            <w:tcW w:w="1250" w:type="pct"/>
            <w:tcBorders>
              <w:top w:val="single" w:color="000000" w:sz="4" w:space="0"/>
              <w:left w:val="nil"/>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6DD2E66F">
            <w:pPr>
              <w:pStyle w:val="11"/>
              <w:bidi w:val="0"/>
              <w:jc w:val="center"/>
              <w:rPr>
                <w:rFonts w:hint="eastAsia" w:eastAsia="宋体"/>
                <w:b/>
                <w:bCs/>
                <w:color w:val="000000"/>
                <w:lang w:eastAsia="zh-CN"/>
              </w:rPr>
            </w:pPr>
            <w:r>
              <w:rPr>
                <w:rFonts w:hint="eastAsia"/>
                <w:b/>
                <w:bCs/>
                <w:color w:val="000000"/>
              </w:rPr>
              <w:t>农产品名称</w:t>
            </w:r>
          </w:p>
        </w:tc>
        <w:tc>
          <w:tcPr>
            <w:tcW w:w="1249"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56C15912">
            <w:pPr>
              <w:pStyle w:val="11"/>
              <w:bidi w:val="0"/>
              <w:jc w:val="center"/>
              <w:rPr>
                <w:rFonts w:hint="eastAsia" w:eastAsia="宋体"/>
                <w:b/>
                <w:bCs/>
                <w:color w:val="000000"/>
                <w:lang w:eastAsia="zh-CN"/>
              </w:rPr>
            </w:pPr>
            <w:r>
              <w:rPr>
                <w:rFonts w:hint="eastAsia"/>
                <w:b/>
                <w:bCs/>
                <w:color w:val="000000"/>
              </w:rPr>
              <w:t>计量单位</w:t>
            </w:r>
          </w:p>
        </w:tc>
        <w:tc>
          <w:tcPr>
            <w:tcW w:w="1250"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2788FEC3">
            <w:pPr>
              <w:pStyle w:val="11"/>
              <w:bidi w:val="0"/>
              <w:jc w:val="center"/>
              <w:rPr>
                <w:rFonts w:hint="eastAsia" w:eastAsia="宋体"/>
                <w:b/>
                <w:bCs/>
                <w:color w:val="000000"/>
                <w:lang w:eastAsia="zh-CN"/>
              </w:rPr>
            </w:pPr>
            <w:r>
              <w:rPr>
                <w:rFonts w:hint="eastAsia"/>
                <w:b/>
                <w:bCs/>
                <w:color w:val="000000"/>
              </w:rPr>
              <w:t>产量</w:t>
            </w:r>
          </w:p>
        </w:tc>
        <w:tc>
          <w:tcPr>
            <w:tcW w:w="1249" w:type="pct"/>
            <w:tcBorders>
              <w:top w:val="single" w:color="000000" w:sz="4" w:space="0"/>
              <w:left w:val="single" w:color="000000" w:sz="4" w:space="0"/>
              <w:bottom w:val="single" w:color="000000" w:sz="4" w:space="0"/>
              <w:right w:val="nil"/>
            </w:tcBorders>
            <w:shd w:val="clear" w:color="auto" w:fill="FFFFFF"/>
            <w:noWrap w:val="0"/>
            <w:tcMar>
              <w:top w:w="28" w:type="dxa"/>
              <w:left w:w="28" w:type="dxa"/>
              <w:bottom w:w="28" w:type="dxa"/>
              <w:right w:w="28" w:type="dxa"/>
            </w:tcMar>
            <w:vAlign w:val="center"/>
          </w:tcPr>
          <w:p w14:paraId="4F18EFF0">
            <w:pPr>
              <w:pStyle w:val="11"/>
              <w:bidi w:val="0"/>
              <w:jc w:val="center"/>
              <w:rPr>
                <w:rFonts w:hint="eastAsia" w:eastAsia="宋体"/>
                <w:b/>
                <w:bCs/>
                <w:color w:val="000000"/>
                <w:lang w:eastAsia="zh-CN"/>
              </w:rPr>
            </w:pPr>
            <w:r>
              <w:rPr>
                <w:rFonts w:hint="eastAsia"/>
                <w:b/>
                <w:bCs/>
                <w:color w:val="000000"/>
              </w:rPr>
              <w:t>比上年增长（%）</w:t>
            </w:r>
          </w:p>
        </w:tc>
      </w:tr>
      <w:tr w14:paraId="035BB4FD">
        <w:tblPrEx>
          <w:tblCellMar>
            <w:top w:w="0" w:type="dxa"/>
            <w:left w:w="0" w:type="dxa"/>
            <w:bottom w:w="0" w:type="dxa"/>
            <w:right w:w="0" w:type="dxa"/>
          </w:tblCellMar>
        </w:tblPrEx>
        <w:trPr>
          <w:trHeight w:val="453" w:hRule="atLeast"/>
        </w:trPr>
        <w:tc>
          <w:tcPr>
            <w:tcW w:w="1250" w:type="pct"/>
            <w:tcBorders>
              <w:top w:val="single" w:color="000000" w:sz="4" w:space="0"/>
              <w:left w:val="nil"/>
              <w:bottom w:val="single" w:color="000000" w:sz="4" w:space="0"/>
              <w:right w:val="single" w:color="000000" w:sz="4" w:space="0"/>
            </w:tcBorders>
            <w:shd w:val="clear" w:color="auto" w:fill="FFFFFF"/>
            <w:noWrap w:val="0"/>
            <w:vAlign w:val="center"/>
          </w:tcPr>
          <w:p w14:paraId="46824164">
            <w:pPr>
              <w:pStyle w:val="11"/>
              <w:bidi w:val="0"/>
              <w:jc w:val="center"/>
              <w:rPr>
                <w:rFonts w:hint="eastAsia" w:eastAsia="宋体"/>
                <w:color w:val="000000"/>
                <w:lang w:eastAsia="zh-CN"/>
              </w:rPr>
            </w:pPr>
            <w:r>
              <w:rPr>
                <w:rFonts w:hint="eastAsia"/>
                <w:color w:val="000000"/>
              </w:rPr>
              <w:t>粮食总产量</w:t>
            </w:r>
          </w:p>
        </w:tc>
        <w:tc>
          <w:tcPr>
            <w:tcW w:w="1249"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02273A4B">
            <w:pPr>
              <w:pStyle w:val="11"/>
              <w:bidi w:val="0"/>
              <w:jc w:val="center"/>
              <w:rPr>
                <w:rFonts w:hint="eastAsia" w:eastAsia="宋体"/>
                <w:color w:val="000000"/>
                <w:lang w:eastAsia="zh-CN"/>
              </w:rPr>
            </w:pPr>
            <w:r>
              <w:rPr>
                <w:rFonts w:hint="eastAsia"/>
                <w:color w:val="000000"/>
              </w:rPr>
              <w:t>吨</w:t>
            </w:r>
          </w:p>
        </w:tc>
        <w:tc>
          <w:tcPr>
            <w:tcW w:w="1250"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397" w:type="dxa"/>
              <w:bottom w:w="28" w:type="dxa"/>
              <w:right w:w="28" w:type="dxa"/>
            </w:tcMar>
            <w:vAlign w:val="center"/>
          </w:tcPr>
          <w:p w14:paraId="379318FE">
            <w:pPr>
              <w:pStyle w:val="11"/>
              <w:bidi w:val="0"/>
              <w:jc w:val="center"/>
              <w:rPr>
                <w:rFonts w:hint="eastAsia" w:eastAsia="宋体"/>
                <w:color w:val="000000"/>
                <w:lang w:eastAsia="zh-CN"/>
              </w:rPr>
            </w:pPr>
            <w:r>
              <w:rPr>
                <w:rFonts w:hint="eastAsia"/>
                <w:color w:val="000000"/>
              </w:rPr>
              <w:t>184473</w:t>
            </w:r>
          </w:p>
        </w:tc>
        <w:tc>
          <w:tcPr>
            <w:tcW w:w="1249" w:type="pct"/>
            <w:tcBorders>
              <w:top w:val="single" w:color="000000" w:sz="4" w:space="0"/>
              <w:left w:val="single" w:color="000000" w:sz="4" w:space="0"/>
              <w:bottom w:val="single" w:color="000000" w:sz="4" w:space="0"/>
              <w:right w:val="nil"/>
            </w:tcBorders>
            <w:shd w:val="clear" w:color="auto" w:fill="FFFFFF"/>
            <w:noWrap w:val="0"/>
            <w:tcMar>
              <w:left w:w="397" w:type="dxa"/>
            </w:tcMar>
            <w:vAlign w:val="center"/>
          </w:tcPr>
          <w:p w14:paraId="28E84AF3">
            <w:pPr>
              <w:pStyle w:val="11"/>
              <w:bidi w:val="0"/>
              <w:jc w:val="center"/>
              <w:rPr>
                <w:rFonts w:hint="eastAsia"/>
                <w:color w:val="000000"/>
              </w:rPr>
            </w:pPr>
            <w:r>
              <w:rPr>
                <w:rFonts w:hint="eastAsia"/>
                <w:color w:val="000000"/>
              </w:rPr>
              <w:t>-0.2</w:t>
            </w:r>
          </w:p>
        </w:tc>
      </w:tr>
      <w:tr w14:paraId="063BDEA4">
        <w:tblPrEx>
          <w:tblCellMar>
            <w:top w:w="0" w:type="dxa"/>
            <w:left w:w="0" w:type="dxa"/>
            <w:bottom w:w="0" w:type="dxa"/>
            <w:right w:w="0" w:type="dxa"/>
          </w:tblCellMar>
        </w:tblPrEx>
        <w:trPr>
          <w:trHeight w:val="453" w:hRule="atLeast"/>
        </w:trPr>
        <w:tc>
          <w:tcPr>
            <w:tcW w:w="1250" w:type="pct"/>
            <w:tcBorders>
              <w:top w:val="single" w:color="000000" w:sz="4" w:space="0"/>
              <w:left w:val="nil"/>
              <w:bottom w:val="single" w:color="000000" w:sz="4" w:space="0"/>
              <w:right w:val="single" w:color="000000" w:sz="4" w:space="0"/>
            </w:tcBorders>
            <w:shd w:val="clear" w:color="auto" w:fill="FFFFFF"/>
            <w:noWrap w:val="0"/>
            <w:vAlign w:val="center"/>
          </w:tcPr>
          <w:p w14:paraId="7F205747">
            <w:pPr>
              <w:pStyle w:val="11"/>
              <w:bidi w:val="0"/>
              <w:jc w:val="center"/>
              <w:rPr>
                <w:rFonts w:hint="eastAsia" w:eastAsia="宋体"/>
                <w:color w:val="000000"/>
                <w:lang w:eastAsia="zh-CN"/>
              </w:rPr>
            </w:pPr>
            <w:r>
              <w:rPr>
                <w:rFonts w:hint="eastAsia"/>
                <w:color w:val="000000"/>
              </w:rPr>
              <w:t>#稻谷</w:t>
            </w:r>
          </w:p>
        </w:tc>
        <w:tc>
          <w:tcPr>
            <w:tcW w:w="1249"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345D7A52">
            <w:pPr>
              <w:pStyle w:val="11"/>
              <w:bidi w:val="0"/>
              <w:jc w:val="center"/>
              <w:rPr>
                <w:rFonts w:hint="eastAsia" w:eastAsia="宋体"/>
                <w:color w:val="000000"/>
                <w:lang w:eastAsia="zh-CN"/>
              </w:rPr>
            </w:pPr>
            <w:r>
              <w:rPr>
                <w:rFonts w:hint="eastAsia"/>
                <w:color w:val="000000"/>
              </w:rPr>
              <w:t>吨</w:t>
            </w:r>
          </w:p>
        </w:tc>
        <w:tc>
          <w:tcPr>
            <w:tcW w:w="1250"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397" w:type="dxa"/>
              <w:bottom w:w="28" w:type="dxa"/>
              <w:right w:w="28" w:type="dxa"/>
            </w:tcMar>
            <w:vAlign w:val="center"/>
          </w:tcPr>
          <w:p w14:paraId="27988452">
            <w:pPr>
              <w:pStyle w:val="11"/>
              <w:bidi w:val="0"/>
              <w:jc w:val="center"/>
              <w:rPr>
                <w:rFonts w:hint="eastAsia" w:eastAsia="宋体"/>
                <w:color w:val="000000"/>
                <w:lang w:eastAsia="zh-CN"/>
              </w:rPr>
            </w:pPr>
            <w:r>
              <w:rPr>
                <w:rFonts w:hint="eastAsia"/>
                <w:color w:val="000000"/>
              </w:rPr>
              <w:t>167247</w:t>
            </w:r>
          </w:p>
        </w:tc>
        <w:tc>
          <w:tcPr>
            <w:tcW w:w="1249" w:type="pct"/>
            <w:tcBorders>
              <w:top w:val="single" w:color="000000" w:sz="4" w:space="0"/>
              <w:left w:val="single" w:color="000000" w:sz="4" w:space="0"/>
              <w:bottom w:val="single" w:color="000000" w:sz="4" w:space="0"/>
              <w:right w:val="nil"/>
            </w:tcBorders>
            <w:shd w:val="clear" w:color="auto" w:fill="FFFFFF"/>
            <w:noWrap w:val="0"/>
            <w:tcMar>
              <w:left w:w="397" w:type="dxa"/>
            </w:tcMar>
            <w:vAlign w:val="center"/>
          </w:tcPr>
          <w:p w14:paraId="72155B5B">
            <w:pPr>
              <w:pStyle w:val="11"/>
              <w:bidi w:val="0"/>
              <w:jc w:val="center"/>
              <w:rPr>
                <w:rFonts w:hint="eastAsia"/>
                <w:color w:val="000000"/>
              </w:rPr>
            </w:pPr>
            <w:r>
              <w:rPr>
                <w:rFonts w:hint="eastAsia"/>
                <w:color w:val="000000"/>
              </w:rPr>
              <w:t>-0.4</w:t>
            </w:r>
          </w:p>
        </w:tc>
      </w:tr>
      <w:tr w14:paraId="4402396D">
        <w:tblPrEx>
          <w:tblCellMar>
            <w:top w:w="0" w:type="dxa"/>
            <w:left w:w="0" w:type="dxa"/>
            <w:bottom w:w="0" w:type="dxa"/>
            <w:right w:w="0" w:type="dxa"/>
          </w:tblCellMar>
        </w:tblPrEx>
        <w:trPr>
          <w:trHeight w:val="453" w:hRule="atLeast"/>
        </w:trPr>
        <w:tc>
          <w:tcPr>
            <w:tcW w:w="1250" w:type="pct"/>
            <w:tcBorders>
              <w:top w:val="single" w:color="000000" w:sz="4" w:space="0"/>
              <w:left w:val="nil"/>
              <w:bottom w:val="single" w:color="000000" w:sz="4" w:space="0"/>
              <w:right w:val="single" w:color="000000" w:sz="4" w:space="0"/>
            </w:tcBorders>
            <w:shd w:val="clear" w:color="auto" w:fill="FFFFFF"/>
            <w:noWrap w:val="0"/>
            <w:vAlign w:val="center"/>
          </w:tcPr>
          <w:p w14:paraId="055AC74D">
            <w:pPr>
              <w:pStyle w:val="11"/>
              <w:bidi w:val="0"/>
              <w:jc w:val="center"/>
              <w:rPr>
                <w:rFonts w:hint="eastAsia" w:eastAsia="宋体"/>
                <w:color w:val="000000"/>
                <w:lang w:eastAsia="zh-CN"/>
              </w:rPr>
            </w:pPr>
            <w:r>
              <w:rPr>
                <w:rFonts w:hint="eastAsia"/>
                <w:color w:val="000000"/>
              </w:rPr>
              <w:t>蔬菜</w:t>
            </w:r>
          </w:p>
        </w:tc>
        <w:tc>
          <w:tcPr>
            <w:tcW w:w="1249"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4EC8E134">
            <w:pPr>
              <w:pStyle w:val="11"/>
              <w:bidi w:val="0"/>
              <w:jc w:val="center"/>
              <w:rPr>
                <w:rFonts w:hint="eastAsia" w:eastAsia="宋体"/>
                <w:color w:val="000000"/>
                <w:lang w:eastAsia="zh-CN"/>
              </w:rPr>
            </w:pPr>
            <w:r>
              <w:rPr>
                <w:rFonts w:hint="eastAsia"/>
                <w:color w:val="000000"/>
              </w:rPr>
              <w:t>吨</w:t>
            </w:r>
          </w:p>
        </w:tc>
        <w:tc>
          <w:tcPr>
            <w:tcW w:w="1250"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397" w:type="dxa"/>
              <w:bottom w:w="28" w:type="dxa"/>
              <w:right w:w="28" w:type="dxa"/>
            </w:tcMar>
            <w:vAlign w:val="center"/>
          </w:tcPr>
          <w:p w14:paraId="76542892">
            <w:pPr>
              <w:pStyle w:val="11"/>
              <w:bidi w:val="0"/>
              <w:jc w:val="center"/>
              <w:rPr>
                <w:rFonts w:hint="eastAsia" w:eastAsia="宋体"/>
                <w:color w:val="000000"/>
                <w:lang w:eastAsia="zh-CN"/>
              </w:rPr>
            </w:pPr>
            <w:r>
              <w:rPr>
                <w:rFonts w:hint="eastAsia"/>
                <w:color w:val="000000"/>
              </w:rPr>
              <w:t>184579</w:t>
            </w:r>
          </w:p>
        </w:tc>
        <w:tc>
          <w:tcPr>
            <w:tcW w:w="1249" w:type="pct"/>
            <w:tcBorders>
              <w:top w:val="single" w:color="000000" w:sz="4" w:space="0"/>
              <w:left w:val="single" w:color="000000" w:sz="4" w:space="0"/>
              <w:bottom w:val="single" w:color="000000" w:sz="4" w:space="0"/>
              <w:right w:val="nil"/>
            </w:tcBorders>
            <w:shd w:val="clear" w:color="auto" w:fill="FFFFFF"/>
            <w:noWrap w:val="0"/>
            <w:tcMar>
              <w:left w:w="397" w:type="dxa"/>
            </w:tcMar>
            <w:vAlign w:val="center"/>
          </w:tcPr>
          <w:p w14:paraId="342CD8D8">
            <w:pPr>
              <w:pStyle w:val="11"/>
              <w:bidi w:val="0"/>
              <w:jc w:val="center"/>
              <w:rPr>
                <w:rFonts w:hint="eastAsia" w:eastAsia="宋体"/>
                <w:color w:val="000000"/>
                <w:lang w:eastAsia="zh-CN"/>
              </w:rPr>
            </w:pPr>
            <w:r>
              <w:rPr>
                <w:rFonts w:hint="eastAsia"/>
                <w:color w:val="000000"/>
              </w:rPr>
              <w:t>8.2</w:t>
            </w:r>
          </w:p>
        </w:tc>
      </w:tr>
      <w:tr w14:paraId="4DE568A9">
        <w:tblPrEx>
          <w:tblCellMar>
            <w:top w:w="0" w:type="dxa"/>
            <w:left w:w="0" w:type="dxa"/>
            <w:bottom w:w="0" w:type="dxa"/>
            <w:right w:w="0" w:type="dxa"/>
          </w:tblCellMar>
        </w:tblPrEx>
        <w:trPr>
          <w:trHeight w:val="453" w:hRule="atLeast"/>
        </w:trPr>
        <w:tc>
          <w:tcPr>
            <w:tcW w:w="1250" w:type="pct"/>
            <w:tcBorders>
              <w:top w:val="single" w:color="000000" w:sz="4" w:space="0"/>
              <w:left w:val="nil"/>
              <w:bottom w:val="single" w:color="000000" w:sz="4" w:space="0"/>
              <w:right w:val="single" w:color="000000" w:sz="4" w:space="0"/>
            </w:tcBorders>
            <w:shd w:val="clear" w:color="auto" w:fill="FFFFFF"/>
            <w:noWrap w:val="0"/>
            <w:vAlign w:val="center"/>
          </w:tcPr>
          <w:p w14:paraId="042BA1C7">
            <w:pPr>
              <w:pStyle w:val="11"/>
              <w:bidi w:val="0"/>
              <w:jc w:val="center"/>
              <w:rPr>
                <w:rFonts w:hint="eastAsia" w:eastAsia="宋体"/>
                <w:color w:val="000000"/>
                <w:lang w:eastAsia="zh-CN"/>
              </w:rPr>
            </w:pPr>
            <w:r>
              <w:rPr>
                <w:rFonts w:hint="eastAsia"/>
                <w:color w:val="000000"/>
              </w:rPr>
              <w:t>油料作物</w:t>
            </w:r>
          </w:p>
        </w:tc>
        <w:tc>
          <w:tcPr>
            <w:tcW w:w="1249"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46D5BB5D">
            <w:pPr>
              <w:pStyle w:val="11"/>
              <w:bidi w:val="0"/>
              <w:jc w:val="center"/>
              <w:rPr>
                <w:rFonts w:hint="eastAsia" w:eastAsia="宋体"/>
                <w:color w:val="000000"/>
                <w:lang w:eastAsia="zh-CN"/>
              </w:rPr>
            </w:pPr>
            <w:r>
              <w:rPr>
                <w:rFonts w:hint="eastAsia"/>
                <w:color w:val="000000"/>
              </w:rPr>
              <w:t>吨</w:t>
            </w:r>
          </w:p>
        </w:tc>
        <w:tc>
          <w:tcPr>
            <w:tcW w:w="1250"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397" w:type="dxa"/>
              <w:bottom w:w="28" w:type="dxa"/>
              <w:right w:w="28" w:type="dxa"/>
            </w:tcMar>
            <w:vAlign w:val="center"/>
          </w:tcPr>
          <w:p w14:paraId="5C48CB6C">
            <w:pPr>
              <w:pStyle w:val="11"/>
              <w:bidi w:val="0"/>
              <w:jc w:val="center"/>
              <w:rPr>
                <w:rFonts w:hint="eastAsia" w:eastAsia="宋体"/>
                <w:color w:val="000000"/>
                <w:lang w:eastAsia="zh-CN"/>
              </w:rPr>
            </w:pPr>
            <w:r>
              <w:rPr>
                <w:rFonts w:hint="eastAsia"/>
                <w:color w:val="000000"/>
              </w:rPr>
              <w:t>26914</w:t>
            </w:r>
          </w:p>
        </w:tc>
        <w:tc>
          <w:tcPr>
            <w:tcW w:w="1249" w:type="pct"/>
            <w:tcBorders>
              <w:top w:val="single" w:color="000000" w:sz="4" w:space="0"/>
              <w:left w:val="single" w:color="000000" w:sz="4" w:space="0"/>
              <w:bottom w:val="single" w:color="000000" w:sz="4" w:space="0"/>
              <w:right w:val="nil"/>
            </w:tcBorders>
            <w:shd w:val="clear" w:color="auto" w:fill="FFFFFF"/>
            <w:noWrap w:val="0"/>
            <w:tcMar>
              <w:left w:w="397" w:type="dxa"/>
            </w:tcMar>
            <w:vAlign w:val="center"/>
          </w:tcPr>
          <w:p w14:paraId="77F1DE2E">
            <w:pPr>
              <w:pStyle w:val="11"/>
              <w:bidi w:val="0"/>
              <w:jc w:val="center"/>
              <w:rPr>
                <w:rFonts w:hint="eastAsia"/>
                <w:color w:val="000000"/>
              </w:rPr>
            </w:pPr>
            <w:r>
              <w:rPr>
                <w:rFonts w:hint="eastAsia"/>
                <w:color w:val="000000"/>
              </w:rPr>
              <w:t>0.9</w:t>
            </w:r>
          </w:p>
        </w:tc>
      </w:tr>
      <w:tr w14:paraId="59910C22">
        <w:tblPrEx>
          <w:tblCellMar>
            <w:top w:w="0" w:type="dxa"/>
            <w:left w:w="0" w:type="dxa"/>
            <w:bottom w:w="0" w:type="dxa"/>
            <w:right w:w="0" w:type="dxa"/>
          </w:tblCellMar>
        </w:tblPrEx>
        <w:trPr>
          <w:trHeight w:val="453" w:hRule="atLeast"/>
        </w:trPr>
        <w:tc>
          <w:tcPr>
            <w:tcW w:w="1250" w:type="pct"/>
            <w:tcBorders>
              <w:top w:val="single" w:color="000000" w:sz="4" w:space="0"/>
              <w:left w:val="nil"/>
              <w:bottom w:val="single" w:color="000000" w:sz="4" w:space="0"/>
              <w:right w:val="single" w:color="000000" w:sz="4" w:space="0"/>
            </w:tcBorders>
            <w:shd w:val="clear" w:color="auto" w:fill="FFFFFF"/>
            <w:noWrap w:val="0"/>
            <w:vAlign w:val="center"/>
          </w:tcPr>
          <w:p w14:paraId="31FBA91F">
            <w:pPr>
              <w:pStyle w:val="11"/>
              <w:bidi w:val="0"/>
              <w:jc w:val="center"/>
              <w:rPr>
                <w:rFonts w:hint="eastAsia" w:eastAsia="宋体"/>
                <w:color w:val="000000"/>
                <w:lang w:eastAsia="zh-CN"/>
              </w:rPr>
            </w:pPr>
            <w:r>
              <w:rPr>
                <w:rFonts w:hint="eastAsia"/>
                <w:color w:val="000000"/>
              </w:rPr>
              <w:t>#花生</w:t>
            </w:r>
          </w:p>
        </w:tc>
        <w:tc>
          <w:tcPr>
            <w:tcW w:w="1249"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37DCE026">
            <w:pPr>
              <w:pStyle w:val="11"/>
              <w:bidi w:val="0"/>
              <w:jc w:val="center"/>
              <w:rPr>
                <w:rFonts w:hint="eastAsia" w:eastAsia="宋体"/>
                <w:color w:val="000000"/>
                <w:lang w:eastAsia="zh-CN"/>
              </w:rPr>
            </w:pPr>
            <w:r>
              <w:rPr>
                <w:rFonts w:hint="eastAsia"/>
                <w:color w:val="000000"/>
              </w:rPr>
              <w:t>吨</w:t>
            </w:r>
          </w:p>
        </w:tc>
        <w:tc>
          <w:tcPr>
            <w:tcW w:w="1250"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397" w:type="dxa"/>
              <w:bottom w:w="28" w:type="dxa"/>
              <w:right w:w="28" w:type="dxa"/>
            </w:tcMar>
            <w:vAlign w:val="center"/>
          </w:tcPr>
          <w:p w14:paraId="0B5468A3">
            <w:pPr>
              <w:pStyle w:val="11"/>
              <w:bidi w:val="0"/>
              <w:jc w:val="center"/>
              <w:rPr>
                <w:rFonts w:hint="eastAsia" w:eastAsia="宋体"/>
                <w:color w:val="000000"/>
                <w:lang w:eastAsia="zh-CN"/>
              </w:rPr>
            </w:pPr>
            <w:r>
              <w:rPr>
                <w:rFonts w:hint="eastAsia"/>
                <w:color w:val="000000"/>
              </w:rPr>
              <w:t>26801</w:t>
            </w:r>
          </w:p>
        </w:tc>
        <w:tc>
          <w:tcPr>
            <w:tcW w:w="1249" w:type="pct"/>
            <w:tcBorders>
              <w:top w:val="single" w:color="000000" w:sz="4" w:space="0"/>
              <w:left w:val="single" w:color="000000" w:sz="4" w:space="0"/>
              <w:bottom w:val="single" w:color="000000" w:sz="4" w:space="0"/>
              <w:right w:val="nil"/>
            </w:tcBorders>
            <w:shd w:val="clear" w:color="auto" w:fill="FFFFFF"/>
            <w:noWrap w:val="0"/>
            <w:tcMar>
              <w:left w:w="397" w:type="dxa"/>
            </w:tcMar>
            <w:vAlign w:val="center"/>
          </w:tcPr>
          <w:p w14:paraId="61B2C1C9">
            <w:pPr>
              <w:pStyle w:val="11"/>
              <w:bidi w:val="0"/>
              <w:jc w:val="center"/>
              <w:rPr>
                <w:rFonts w:hint="eastAsia" w:eastAsia="宋体"/>
                <w:color w:val="000000"/>
                <w:lang w:eastAsia="zh-CN"/>
              </w:rPr>
            </w:pPr>
            <w:r>
              <w:rPr>
                <w:rFonts w:hint="eastAsia"/>
                <w:color w:val="000000"/>
              </w:rPr>
              <w:t>0.9</w:t>
            </w:r>
          </w:p>
        </w:tc>
      </w:tr>
      <w:tr w14:paraId="7EF592A2">
        <w:tblPrEx>
          <w:tblCellMar>
            <w:top w:w="0" w:type="dxa"/>
            <w:left w:w="0" w:type="dxa"/>
            <w:bottom w:w="0" w:type="dxa"/>
            <w:right w:w="0" w:type="dxa"/>
          </w:tblCellMar>
        </w:tblPrEx>
        <w:trPr>
          <w:trHeight w:val="453" w:hRule="atLeast"/>
        </w:trPr>
        <w:tc>
          <w:tcPr>
            <w:tcW w:w="1250" w:type="pct"/>
            <w:tcBorders>
              <w:top w:val="single" w:color="000000" w:sz="4" w:space="0"/>
              <w:left w:val="nil"/>
              <w:bottom w:val="single" w:color="000000" w:sz="4" w:space="0"/>
              <w:right w:val="single" w:color="000000" w:sz="4" w:space="0"/>
            </w:tcBorders>
            <w:shd w:val="clear" w:color="auto" w:fill="FFFFFF"/>
            <w:noWrap w:val="0"/>
            <w:vAlign w:val="center"/>
          </w:tcPr>
          <w:p w14:paraId="1988015F">
            <w:pPr>
              <w:pStyle w:val="11"/>
              <w:bidi w:val="0"/>
              <w:jc w:val="center"/>
              <w:rPr>
                <w:rFonts w:hint="eastAsia" w:eastAsia="宋体"/>
                <w:color w:val="000000"/>
                <w:lang w:eastAsia="zh-CN"/>
              </w:rPr>
            </w:pPr>
            <w:r>
              <w:rPr>
                <w:rFonts w:hint="eastAsia"/>
                <w:color w:val="000000"/>
              </w:rPr>
              <w:t>烟叶</w:t>
            </w:r>
          </w:p>
        </w:tc>
        <w:tc>
          <w:tcPr>
            <w:tcW w:w="1249"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507B4DDD">
            <w:pPr>
              <w:pStyle w:val="11"/>
              <w:bidi w:val="0"/>
              <w:jc w:val="center"/>
              <w:rPr>
                <w:rFonts w:hint="eastAsia" w:eastAsia="宋体"/>
                <w:color w:val="000000"/>
                <w:lang w:eastAsia="zh-CN"/>
              </w:rPr>
            </w:pPr>
            <w:r>
              <w:rPr>
                <w:rFonts w:hint="eastAsia"/>
                <w:color w:val="000000"/>
              </w:rPr>
              <w:t>吨</w:t>
            </w:r>
          </w:p>
        </w:tc>
        <w:tc>
          <w:tcPr>
            <w:tcW w:w="1250"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397" w:type="dxa"/>
              <w:bottom w:w="28" w:type="dxa"/>
              <w:right w:w="28" w:type="dxa"/>
            </w:tcMar>
            <w:vAlign w:val="center"/>
          </w:tcPr>
          <w:p w14:paraId="47E14672">
            <w:pPr>
              <w:pStyle w:val="11"/>
              <w:bidi w:val="0"/>
              <w:jc w:val="center"/>
              <w:rPr>
                <w:rFonts w:hint="eastAsia" w:eastAsia="宋体"/>
                <w:color w:val="000000"/>
                <w:lang w:eastAsia="zh-CN"/>
              </w:rPr>
            </w:pPr>
            <w:r>
              <w:rPr>
                <w:rFonts w:hint="eastAsia"/>
                <w:color w:val="000000"/>
              </w:rPr>
              <w:t>15310</w:t>
            </w:r>
          </w:p>
        </w:tc>
        <w:tc>
          <w:tcPr>
            <w:tcW w:w="1249" w:type="pct"/>
            <w:tcBorders>
              <w:top w:val="single" w:color="000000" w:sz="4" w:space="0"/>
              <w:left w:val="single" w:color="000000" w:sz="4" w:space="0"/>
              <w:bottom w:val="single" w:color="000000" w:sz="4" w:space="0"/>
              <w:right w:val="nil"/>
            </w:tcBorders>
            <w:shd w:val="clear" w:color="auto" w:fill="FFFFFF"/>
            <w:noWrap w:val="0"/>
            <w:tcMar>
              <w:left w:w="397" w:type="dxa"/>
            </w:tcMar>
            <w:vAlign w:val="center"/>
          </w:tcPr>
          <w:p w14:paraId="45B8F726">
            <w:pPr>
              <w:pStyle w:val="11"/>
              <w:bidi w:val="0"/>
              <w:jc w:val="center"/>
              <w:rPr>
                <w:rFonts w:hint="eastAsia"/>
                <w:color w:val="000000"/>
              </w:rPr>
            </w:pPr>
            <w:r>
              <w:rPr>
                <w:rFonts w:hint="eastAsia"/>
                <w:color w:val="000000"/>
              </w:rPr>
              <w:t>-1.8</w:t>
            </w:r>
          </w:p>
        </w:tc>
      </w:tr>
      <w:tr w14:paraId="32AEDBA8">
        <w:tblPrEx>
          <w:tblCellMar>
            <w:top w:w="0" w:type="dxa"/>
            <w:left w:w="0" w:type="dxa"/>
            <w:bottom w:w="0" w:type="dxa"/>
            <w:right w:w="0" w:type="dxa"/>
          </w:tblCellMar>
        </w:tblPrEx>
        <w:trPr>
          <w:trHeight w:val="453" w:hRule="atLeast"/>
        </w:trPr>
        <w:tc>
          <w:tcPr>
            <w:tcW w:w="1250" w:type="pct"/>
            <w:tcBorders>
              <w:top w:val="single" w:color="000000" w:sz="4" w:space="0"/>
              <w:left w:val="nil"/>
              <w:bottom w:val="single" w:color="000000" w:sz="4" w:space="0"/>
              <w:right w:val="single" w:color="000000" w:sz="4" w:space="0"/>
            </w:tcBorders>
            <w:shd w:val="clear" w:color="auto" w:fill="FFFFFF"/>
            <w:noWrap w:val="0"/>
            <w:vAlign w:val="center"/>
          </w:tcPr>
          <w:p w14:paraId="4DB6C3B8">
            <w:pPr>
              <w:pStyle w:val="11"/>
              <w:bidi w:val="0"/>
              <w:jc w:val="center"/>
              <w:rPr>
                <w:rFonts w:hint="eastAsia" w:eastAsia="宋体"/>
                <w:color w:val="000000"/>
                <w:lang w:eastAsia="zh-CN"/>
              </w:rPr>
            </w:pPr>
            <w:r>
              <w:rPr>
                <w:rFonts w:hint="eastAsia"/>
                <w:color w:val="000000"/>
              </w:rPr>
              <w:t>水果</w:t>
            </w:r>
          </w:p>
        </w:tc>
        <w:tc>
          <w:tcPr>
            <w:tcW w:w="1249"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2CCF945A">
            <w:pPr>
              <w:pStyle w:val="11"/>
              <w:bidi w:val="0"/>
              <w:jc w:val="center"/>
              <w:rPr>
                <w:rFonts w:hint="eastAsia" w:eastAsia="宋体"/>
                <w:color w:val="000000"/>
                <w:lang w:eastAsia="zh-CN"/>
              </w:rPr>
            </w:pPr>
            <w:r>
              <w:rPr>
                <w:rFonts w:hint="eastAsia"/>
                <w:color w:val="000000"/>
              </w:rPr>
              <w:t>吨</w:t>
            </w:r>
          </w:p>
        </w:tc>
        <w:tc>
          <w:tcPr>
            <w:tcW w:w="1250"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397" w:type="dxa"/>
              <w:bottom w:w="28" w:type="dxa"/>
              <w:right w:w="28" w:type="dxa"/>
            </w:tcMar>
            <w:vAlign w:val="center"/>
          </w:tcPr>
          <w:p w14:paraId="12B00456">
            <w:pPr>
              <w:pStyle w:val="11"/>
              <w:bidi w:val="0"/>
              <w:jc w:val="center"/>
              <w:rPr>
                <w:rFonts w:hint="eastAsia" w:eastAsia="宋体"/>
                <w:color w:val="000000"/>
                <w:lang w:eastAsia="zh-CN"/>
              </w:rPr>
            </w:pPr>
            <w:r>
              <w:rPr>
                <w:rFonts w:hint="eastAsia"/>
                <w:color w:val="000000"/>
              </w:rPr>
              <w:t>56210</w:t>
            </w:r>
          </w:p>
        </w:tc>
        <w:tc>
          <w:tcPr>
            <w:tcW w:w="1249" w:type="pct"/>
            <w:tcBorders>
              <w:top w:val="single" w:color="000000" w:sz="4" w:space="0"/>
              <w:left w:val="single" w:color="000000" w:sz="4" w:space="0"/>
              <w:bottom w:val="single" w:color="000000" w:sz="4" w:space="0"/>
              <w:right w:val="nil"/>
            </w:tcBorders>
            <w:shd w:val="clear" w:color="auto" w:fill="FFFFFF"/>
            <w:noWrap w:val="0"/>
            <w:tcMar>
              <w:left w:w="397" w:type="dxa"/>
            </w:tcMar>
            <w:vAlign w:val="center"/>
          </w:tcPr>
          <w:p w14:paraId="78BACFC2">
            <w:pPr>
              <w:pStyle w:val="11"/>
              <w:bidi w:val="0"/>
              <w:jc w:val="center"/>
              <w:rPr>
                <w:rFonts w:hint="eastAsia"/>
                <w:color w:val="000000"/>
              </w:rPr>
            </w:pPr>
            <w:r>
              <w:rPr>
                <w:rFonts w:hint="eastAsia"/>
                <w:color w:val="000000"/>
              </w:rPr>
              <w:t>4.9</w:t>
            </w:r>
          </w:p>
        </w:tc>
      </w:tr>
      <w:tr w14:paraId="505D63B0">
        <w:tblPrEx>
          <w:tblCellMar>
            <w:top w:w="0" w:type="dxa"/>
            <w:left w:w="0" w:type="dxa"/>
            <w:bottom w:w="0" w:type="dxa"/>
            <w:right w:w="0" w:type="dxa"/>
          </w:tblCellMar>
        </w:tblPrEx>
        <w:trPr>
          <w:trHeight w:val="453" w:hRule="atLeast"/>
        </w:trPr>
        <w:tc>
          <w:tcPr>
            <w:tcW w:w="1250" w:type="pct"/>
            <w:tcBorders>
              <w:top w:val="single" w:color="000000" w:sz="4" w:space="0"/>
              <w:left w:val="nil"/>
              <w:bottom w:val="single" w:color="000000" w:sz="4" w:space="0"/>
              <w:right w:val="single" w:color="000000" w:sz="4" w:space="0"/>
            </w:tcBorders>
            <w:shd w:val="clear" w:color="auto" w:fill="FFFFFF"/>
            <w:noWrap w:val="0"/>
            <w:vAlign w:val="center"/>
          </w:tcPr>
          <w:p w14:paraId="0511F0A5">
            <w:pPr>
              <w:pStyle w:val="11"/>
              <w:bidi w:val="0"/>
              <w:jc w:val="center"/>
              <w:rPr>
                <w:rFonts w:hint="eastAsia" w:eastAsia="宋体"/>
                <w:color w:val="000000"/>
                <w:lang w:eastAsia="zh-CN"/>
              </w:rPr>
            </w:pPr>
            <w:r>
              <w:rPr>
                <w:rFonts w:hint="eastAsia"/>
                <w:color w:val="000000"/>
              </w:rPr>
              <w:t>茶叶</w:t>
            </w:r>
          </w:p>
        </w:tc>
        <w:tc>
          <w:tcPr>
            <w:tcW w:w="1249"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7684BC88">
            <w:pPr>
              <w:pStyle w:val="11"/>
              <w:bidi w:val="0"/>
              <w:jc w:val="center"/>
              <w:rPr>
                <w:rFonts w:hint="eastAsia" w:eastAsia="宋体"/>
                <w:color w:val="000000"/>
                <w:lang w:eastAsia="zh-CN"/>
              </w:rPr>
            </w:pPr>
            <w:r>
              <w:rPr>
                <w:rFonts w:hint="eastAsia"/>
                <w:color w:val="000000"/>
              </w:rPr>
              <w:t>吨</w:t>
            </w:r>
          </w:p>
        </w:tc>
        <w:tc>
          <w:tcPr>
            <w:tcW w:w="1250"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397" w:type="dxa"/>
              <w:bottom w:w="28" w:type="dxa"/>
              <w:right w:w="28" w:type="dxa"/>
            </w:tcMar>
            <w:vAlign w:val="center"/>
          </w:tcPr>
          <w:p w14:paraId="295DD8C9">
            <w:pPr>
              <w:pStyle w:val="11"/>
              <w:bidi w:val="0"/>
              <w:jc w:val="center"/>
              <w:rPr>
                <w:rFonts w:hint="eastAsia" w:eastAsia="宋体"/>
                <w:color w:val="000000"/>
                <w:lang w:eastAsia="zh-CN"/>
              </w:rPr>
            </w:pPr>
            <w:r>
              <w:rPr>
                <w:rFonts w:hint="eastAsia"/>
                <w:color w:val="000000"/>
              </w:rPr>
              <w:t>3687</w:t>
            </w:r>
          </w:p>
        </w:tc>
        <w:tc>
          <w:tcPr>
            <w:tcW w:w="1249" w:type="pct"/>
            <w:tcBorders>
              <w:top w:val="single" w:color="000000" w:sz="4" w:space="0"/>
              <w:left w:val="single" w:color="000000" w:sz="4" w:space="0"/>
              <w:bottom w:val="single" w:color="000000" w:sz="4" w:space="0"/>
              <w:right w:val="nil"/>
            </w:tcBorders>
            <w:shd w:val="clear" w:color="auto" w:fill="FFFFFF"/>
            <w:noWrap w:val="0"/>
            <w:tcMar>
              <w:left w:w="397" w:type="dxa"/>
            </w:tcMar>
            <w:vAlign w:val="center"/>
          </w:tcPr>
          <w:p w14:paraId="42334DE5">
            <w:pPr>
              <w:pStyle w:val="11"/>
              <w:bidi w:val="0"/>
              <w:jc w:val="center"/>
              <w:rPr>
                <w:rFonts w:hint="eastAsia"/>
                <w:color w:val="000000"/>
              </w:rPr>
            </w:pPr>
            <w:r>
              <w:rPr>
                <w:rFonts w:hint="eastAsia"/>
                <w:color w:val="000000"/>
              </w:rPr>
              <w:t>5.6</w:t>
            </w:r>
          </w:p>
        </w:tc>
      </w:tr>
      <w:tr w14:paraId="4B2CC995">
        <w:tblPrEx>
          <w:tblCellMar>
            <w:top w:w="0" w:type="dxa"/>
            <w:left w:w="0" w:type="dxa"/>
            <w:bottom w:w="0" w:type="dxa"/>
            <w:right w:w="0" w:type="dxa"/>
          </w:tblCellMar>
        </w:tblPrEx>
        <w:trPr>
          <w:trHeight w:val="453" w:hRule="atLeast"/>
        </w:trPr>
        <w:tc>
          <w:tcPr>
            <w:tcW w:w="1250" w:type="pct"/>
            <w:tcBorders>
              <w:top w:val="single" w:color="000000" w:sz="4" w:space="0"/>
              <w:left w:val="nil"/>
              <w:bottom w:val="single" w:color="000000" w:sz="4" w:space="0"/>
              <w:right w:val="single" w:color="000000" w:sz="4" w:space="0"/>
            </w:tcBorders>
            <w:shd w:val="clear" w:color="auto" w:fill="FFFFFF"/>
            <w:noWrap w:val="0"/>
            <w:vAlign w:val="center"/>
          </w:tcPr>
          <w:p w14:paraId="6CC47D64">
            <w:pPr>
              <w:pStyle w:val="11"/>
              <w:bidi w:val="0"/>
              <w:jc w:val="center"/>
              <w:rPr>
                <w:rFonts w:hint="eastAsia" w:eastAsia="宋体"/>
                <w:color w:val="000000"/>
                <w:lang w:eastAsia="zh-CN"/>
              </w:rPr>
            </w:pPr>
            <w:r>
              <w:rPr>
                <w:rFonts w:hint="eastAsia"/>
                <w:color w:val="000000"/>
              </w:rPr>
              <w:t>肉类</w:t>
            </w:r>
          </w:p>
        </w:tc>
        <w:tc>
          <w:tcPr>
            <w:tcW w:w="1249"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2007AE3B">
            <w:pPr>
              <w:pStyle w:val="11"/>
              <w:bidi w:val="0"/>
              <w:jc w:val="center"/>
              <w:rPr>
                <w:rFonts w:hint="eastAsia" w:eastAsia="宋体"/>
                <w:color w:val="000000"/>
                <w:lang w:eastAsia="zh-CN"/>
              </w:rPr>
            </w:pPr>
            <w:r>
              <w:rPr>
                <w:rFonts w:hint="eastAsia"/>
                <w:color w:val="000000"/>
              </w:rPr>
              <w:t>吨</w:t>
            </w:r>
          </w:p>
        </w:tc>
        <w:tc>
          <w:tcPr>
            <w:tcW w:w="1250"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397" w:type="dxa"/>
              <w:bottom w:w="28" w:type="dxa"/>
              <w:right w:w="28" w:type="dxa"/>
            </w:tcMar>
            <w:vAlign w:val="center"/>
          </w:tcPr>
          <w:p w14:paraId="3BCFAB4B">
            <w:pPr>
              <w:pStyle w:val="11"/>
              <w:bidi w:val="0"/>
              <w:jc w:val="center"/>
              <w:rPr>
                <w:rFonts w:hint="eastAsia" w:eastAsia="宋体"/>
                <w:color w:val="000000"/>
                <w:lang w:eastAsia="zh-CN"/>
              </w:rPr>
            </w:pPr>
            <w:r>
              <w:rPr>
                <w:rFonts w:hint="eastAsia"/>
                <w:color w:val="000000"/>
              </w:rPr>
              <w:t>51165</w:t>
            </w:r>
          </w:p>
        </w:tc>
        <w:tc>
          <w:tcPr>
            <w:tcW w:w="1249" w:type="pct"/>
            <w:tcBorders>
              <w:top w:val="single" w:color="000000" w:sz="4" w:space="0"/>
              <w:left w:val="single" w:color="000000" w:sz="4" w:space="0"/>
              <w:bottom w:val="single" w:color="000000" w:sz="4" w:space="0"/>
              <w:right w:val="nil"/>
            </w:tcBorders>
            <w:shd w:val="clear" w:color="auto" w:fill="FFFFFF"/>
            <w:noWrap w:val="0"/>
            <w:tcMar>
              <w:left w:w="397" w:type="dxa"/>
            </w:tcMar>
            <w:vAlign w:val="center"/>
          </w:tcPr>
          <w:p w14:paraId="4FC6FA61">
            <w:pPr>
              <w:pStyle w:val="11"/>
              <w:bidi w:val="0"/>
              <w:jc w:val="center"/>
              <w:rPr>
                <w:rFonts w:hint="eastAsia"/>
                <w:color w:val="000000"/>
              </w:rPr>
            </w:pPr>
            <w:r>
              <w:rPr>
                <w:rFonts w:hint="eastAsia"/>
                <w:color w:val="000000"/>
              </w:rPr>
              <w:t>0.7</w:t>
            </w:r>
          </w:p>
        </w:tc>
      </w:tr>
      <w:tr w14:paraId="7A2652AF">
        <w:tblPrEx>
          <w:tblCellMar>
            <w:top w:w="0" w:type="dxa"/>
            <w:left w:w="0" w:type="dxa"/>
            <w:bottom w:w="0" w:type="dxa"/>
            <w:right w:w="0" w:type="dxa"/>
          </w:tblCellMar>
        </w:tblPrEx>
        <w:trPr>
          <w:trHeight w:val="453" w:hRule="atLeast"/>
        </w:trPr>
        <w:tc>
          <w:tcPr>
            <w:tcW w:w="1250" w:type="pct"/>
            <w:tcBorders>
              <w:top w:val="single" w:color="000000" w:sz="4" w:space="0"/>
              <w:left w:val="nil"/>
              <w:bottom w:val="single" w:color="000000" w:sz="4" w:space="0"/>
              <w:right w:val="single" w:color="000000" w:sz="4" w:space="0"/>
            </w:tcBorders>
            <w:shd w:val="clear" w:color="auto" w:fill="FFFFFF"/>
            <w:noWrap w:val="0"/>
            <w:vAlign w:val="center"/>
          </w:tcPr>
          <w:p w14:paraId="309546A8">
            <w:pPr>
              <w:pStyle w:val="11"/>
              <w:bidi w:val="0"/>
              <w:jc w:val="center"/>
              <w:rPr>
                <w:rFonts w:hint="eastAsia" w:eastAsia="宋体"/>
                <w:color w:val="000000"/>
                <w:lang w:eastAsia="zh-CN"/>
              </w:rPr>
            </w:pPr>
            <w:r>
              <w:rPr>
                <w:rFonts w:hint="eastAsia"/>
                <w:color w:val="000000"/>
              </w:rPr>
              <w:t>#猪肉</w:t>
            </w:r>
          </w:p>
        </w:tc>
        <w:tc>
          <w:tcPr>
            <w:tcW w:w="1249"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45BA38CF">
            <w:pPr>
              <w:pStyle w:val="11"/>
              <w:bidi w:val="0"/>
              <w:jc w:val="center"/>
              <w:rPr>
                <w:rFonts w:hint="eastAsia" w:eastAsia="宋体"/>
                <w:color w:val="000000"/>
                <w:lang w:eastAsia="zh-CN"/>
              </w:rPr>
            </w:pPr>
            <w:r>
              <w:rPr>
                <w:rFonts w:hint="eastAsia"/>
                <w:color w:val="000000"/>
              </w:rPr>
              <w:t>吨</w:t>
            </w:r>
          </w:p>
        </w:tc>
        <w:tc>
          <w:tcPr>
            <w:tcW w:w="1250"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397" w:type="dxa"/>
              <w:bottom w:w="28" w:type="dxa"/>
              <w:right w:w="28" w:type="dxa"/>
            </w:tcMar>
            <w:vAlign w:val="center"/>
          </w:tcPr>
          <w:p w14:paraId="1B2846D1">
            <w:pPr>
              <w:pStyle w:val="11"/>
              <w:bidi w:val="0"/>
              <w:jc w:val="center"/>
              <w:rPr>
                <w:rFonts w:hint="eastAsia" w:eastAsia="宋体"/>
                <w:color w:val="000000"/>
                <w:lang w:eastAsia="zh-CN"/>
              </w:rPr>
            </w:pPr>
            <w:r>
              <w:rPr>
                <w:rFonts w:hint="eastAsia"/>
                <w:color w:val="000000"/>
              </w:rPr>
              <w:t>37742</w:t>
            </w:r>
          </w:p>
        </w:tc>
        <w:tc>
          <w:tcPr>
            <w:tcW w:w="1249" w:type="pct"/>
            <w:tcBorders>
              <w:top w:val="single" w:color="000000" w:sz="4" w:space="0"/>
              <w:left w:val="single" w:color="000000" w:sz="4" w:space="0"/>
              <w:bottom w:val="single" w:color="000000" w:sz="4" w:space="0"/>
              <w:right w:val="nil"/>
            </w:tcBorders>
            <w:shd w:val="clear" w:color="auto" w:fill="FFFFFF"/>
            <w:noWrap w:val="0"/>
            <w:tcMar>
              <w:left w:w="397" w:type="dxa"/>
            </w:tcMar>
            <w:vAlign w:val="center"/>
          </w:tcPr>
          <w:p w14:paraId="7AF49F27">
            <w:pPr>
              <w:pStyle w:val="11"/>
              <w:bidi w:val="0"/>
              <w:jc w:val="center"/>
              <w:rPr>
                <w:rFonts w:hint="eastAsia"/>
                <w:color w:val="000000"/>
              </w:rPr>
            </w:pPr>
            <w:r>
              <w:rPr>
                <w:rFonts w:hint="eastAsia"/>
                <w:color w:val="000000"/>
              </w:rPr>
              <w:t>1.2</w:t>
            </w:r>
          </w:p>
        </w:tc>
      </w:tr>
      <w:tr w14:paraId="69977FAA">
        <w:tblPrEx>
          <w:tblCellMar>
            <w:top w:w="0" w:type="dxa"/>
            <w:left w:w="0" w:type="dxa"/>
            <w:bottom w:w="0" w:type="dxa"/>
            <w:right w:w="0" w:type="dxa"/>
          </w:tblCellMar>
        </w:tblPrEx>
        <w:trPr>
          <w:trHeight w:val="453" w:hRule="atLeast"/>
        </w:trPr>
        <w:tc>
          <w:tcPr>
            <w:tcW w:w="1250" w:type="pct"/>
            <w:tcBorders>
              <w:top w:val="single" w:color="000000" w:sz="4" w:space="0"/>
              <w:left w:val="nil"/>
              <w:bottom w:val="single" w:color="000000" w:sz="4" w:space="0"/>
              <w:right w:val="single" w:color="000000" w:sz="4" w:space="0"/>
            </w:tcBorders>
            <w:shd w:val="clear" w:color="auto" w:fill="FFFFFF"/>
            <w:noWrap w:val="0"/>
            <w:vAlign w:val="center"/>
          </w:tcPr>
          <w:p w14:paraId="261BB2EA">
            <w:pPr>
              <w:pStyle w:val="11"/>
              <w:bidi w:val="0"/>
              <w:jc w:val="center"/>
              <w:rPr>
                <w:rFonts w:hint="eastAsia" w:eastAsia="宋体"/>
                <w:color w:val="000000"/>
                <w:lang w:eastAsia="zh-CN"/>
              </w:rPr>
            </w:pPr>
            <w:r>
              <w:rPr>
                <w:rFonts w:hint="eastAsia"/>
                <w:color w:val="000000"/>
              </w:rPr>
              <w:t>禽蛋</w:t>
            </w:r>
          </w:p>
        </w:tc>
        <w:tc>
          <w:tcPr>
            <w:tcW w:w="1249"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603C5F4C">
            <w:pPr>
              <w:pStyle w:val="11"/>
              <w:bidi w:val="0"/>
              <w:jc w:val="center"/>
              <w:rPr>
                <w:rFonts w:hint="eastAsia" w:eastAsia="宋体"/>
                <w:color w:val="000000"/>
                <w:lang w:eastAsia="zh-CN"/>
              </w:rPr>
            </w:pPr>
            <w:r>
              <w:rPr>
                <w:rFonts w:hint="eastAsia"/>
                <w:color w:val="000000"/>
              </w:rPr>
              <w:t>吨</w:t>
            </w:r>
          </w:p>
        </w:tc>
        <w:tc>
          <w:tcPr>
            <w:tcW w:w="1250"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397" w:type="dxa"/>
              <w:bottom w:w="28" w:type="dxa"/>
              <w:right w:w="28" w:type="dxa"/>
            </w:tcMar>
            <w:vAlign w:val="center"/>
          </w:tcPr>
          <w:p w14:paraId="004AB764">
            <w:pPr>
              <w:pStyle w:val="11"/>
              <w:bidi w:val="0"/>
              <w:jc w:val="center"/>
              <w:rPr>
                <w:rFonts w:hint="eastAsia" w:eastAsia="宋体"/>
                <w:color w:val="000000"/>
                <w:lang w:eastAsia="zh-CN"/>
              </w:rPr>
            </w:pPr>
            <w:r>
              <w:rPr>
                <w:rFonts w:hint="eastAsia"/>
                <w:color w:val="000000"/>
              </w:rPr>
              <w:t>4703</w:t>
            </w:r>
          </w:p>
        </w:tc>
        <w:tc>
          <w:tcPr>
            <w:tcW w:w="1249" w:type="pct"/>
            <w:tcBorders>
              <w:top w:val="single" w:color="000000" w:sz="4" w:space="0"/>
              <w:left w:val="single" w:color="000000" w:sz="4" w:space="0"/>
              <w:bottom w:val="single" w:color="000000" w:sz="4" w:space="0"/>
              <w:right w:val="nil"/>
            </w:tcBorders>
            <w:shd w:val="clear" w:color="auto" w:fill="FFFFFF"/>
            <w:noWrap w:val="0"/>
            <w:tcMar>
              <w:left w:w="397" w:type="dxa"/>
            </w:tcMar>
            <w:vAlign w:val="center"/>
          </w:tcPr>
          <w:p w14:paraId="20374E48">
            <w:pPr>
              <w:pStyle w:val="11"/>
              <w:bidi w:val="0"/>
              <w:jc w:val="center"/>
              <w:rPr>
                <w:rFonts w:hint="eastAsia"/>
                <w:color w:val="000000"/>
              </w:rPr>
            </w:pPr>
            <w:r>
              <w:rPr>
                <w:rFonts w:hint="eastAsia"/>
                <w:color w:val="000000"/>
              </w:rPr>
              <w:t>1.1</w:t>
            </w:r>
          </w:p>
        </w:tc>
      </w:tr>
      <w:tr w14:paraId="3D0263BD">
        <w:tblPrEx>
          <w:tblCellMar>
            <w:top w:w="0" w:type="dxa"/>
            <w:left w:w="0" w:type="dxa"/>
            <w:bottom w:w="0" w:type="dxa"/>
            <w:right w:w="0" w:type="dxa"/>
          </w:tblCellMar>
        </w:tblPrEx>
        <w:trPr>
          <w:trHeight w:val="453" w:hRule="atLeast"/>
        </w:trPr>
        <w:tc>
          <w:tcPr>
            <w:tcW w:w="1250" w:type="pct"/>
            <w:tcBorders>
              <w:top w:val="single" w:color="000000" w:sz="4" w:space="0"/>
              <w:left w:val="nil"/>
              <w:bottom w:val="single" w:color="000000" w:sz="4" w:space="0"/>
              <w:right w:val="single" w:color="000000" w:sz="4" w:space="0"/>
            </w:tcBorders>
            <w:shd w:val="clear" w:color="auto" w:fill="FFFFFF"/>
            <w:noWrap w:val="0"/>
            <w:vAlign w:val="center"/>
          </w:tcPr>
          <w:p w14:paraId="6EB795D5">
            <w:pPr>
              <w:pStyle w:val="11"/>
              <w:bidi w:val="0"/>
              <w:jc w:val="center"/>
              <w:rPr>
                <w:rFonts w:hint="eastAsia" w:eastAsia="宋体"/>
                <w:color w:val="000000"/>
                <w:lang w:eastAsia="zh-CN"/>
              </w:rPr>
            </w:pPr>
            <w:r>
              <w:rPr>
                <w:rFonts w:hint="eastAsia"/>
                <w:color w:val="000000"/>
              </w:rPr>
              <w:t>#鸡蛋</w:t>
            </w:r>
          </w:p>
        </w:tc>
        <w:tc>
          <w:tcPr>
            <w:tcW w:w="1249"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5467CAF5">
            <w:pPr>
              <w:pStyle w:val="11"/>
              <w:bidi w:val="0"/>
              <w:jc w:val="center"/>
              <w:rPr>
                <w:rFonts w:hint="eastAsia" w:eastAsia="宋体"/>
                <w:color w:val="000000"/>
                <w:lang w:eastAsia="zh-CN"/>
              </w:rPr>
            </w:pPr>
            <w:r>
              <w:rPr>
                <w:rFonts w:hint="eastAsia"/>
                <w:color w:val="000000"/>
              </w:rPr>
              <w:t>吨</w:t>
            </w:r>
          </w:p>
        </w:tc>
        <w:tc>
          <w:tcPr>
            <w:tcW w:w="1250"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397" w:type="dxa"/>
              <w:bottom w:w="28" w:type="dxa"/>
              <w:right w:w="28" w:type="dxa"/>
            </w:tcMar>
            <w:vAlign w:val="center"/>
          </w:tcPr>
          <w:p w14:paraId="21C15A08">
            <w:pPr>
              <w:pStyle w:val="11"/>
              <w:bidi w:val="0"/>
              <w:jc w:val="center"/>
              <w:rPr>
                <w:rFonts w:hint="eastAsia" w:eastAsia="宋体"/>
                <w:color w:val="000000"/>
                <w:lang w:eastAsia="zh-CN"/>
              </w:rPr>
            </w:pPr>
            <w:r>
              <w:rPr>
                <w:rFonts w:hint="eastAsia"/>
                <w:color w:val="000000"/>
              </w:rPr>
              <w:t>4638</w:t>
            </w:r>
          </w:p>
        </w:tc>
        <w:tc>
          <w:tcPr>
            <w:tcW w:w="1249" w:type="pct"/>
            <w:tcBorders>
              <w:top w:val="single" w:color="000000" w:sz="4" w:space="0"/>
              <w:left w:val="single" w:color="000000" w:sz="4" w:space="0"/>
              <w:bottom w:val="single" w:color="000000" w:sz="4" w:space="0"/>
              <w:right w:val="nil"/>
            </w:tcBorders>
            <w:shd w:val="clear" w:color="auto" w:fill="FFFFFF"/>
            <w:noWrap w:val="0"/>
            <w:tcMar>
              <w:left w:w="397" w:type="dxa"/>
            </w:tcMar>
            <w:vAlign w:val="center"/>
          </w:tcPr>
          <w:p w14:paraId="20EE8428">
            <w:pPr>
              <w:pStyle w:val="11"/>
              <w:bidi w:val="0"/>
              <w:jc w:val="center"/>
              <w:rPr>
                <w:rFonts w:hint="eastAsia"/>
                <w:color w:val="000000"/>
              </w:rPr>
            </w:pPr>
            <w:r>
              <w:rPr>
                <w:rFonts w:hint="eastAsia"/>
                <w:color w:val="000000"/>
              </w:rPr>
              <w:t>2.8</w:t>
            </w:r>
          </w:p>
        </w:tc>
      </w:tr>
      <w:tr w14:paraId="5C853B53">
        <w:tblPrEx>
          <w:tblCellMar>
            <w:top w:w="0" w:type="dxa"/>
            <w:left w:w="0" w:type="dxa"/>
            <w:bottom w:w="0" w:type="dxa"/>
            <w:right w:w="0" w:type="dxa"/>
          </w:tblCellMar>
        </w:tblPrEx>
        <w:trPr>
          <w:trHeight w:val="453" w:hRule="atLeast"/>
        </w:trPr>
        <w:tc>
          <w:tcPr>
            <w:tcW w:w="1250" w:type="pct"/>
            <w:tcBorders>
              <w:top w:val="single" w:color="000000" w:sz="4" w:space="0"/>
              <w:left w:val="nil"/>
              <w:bottom w:val="single" w:color="000000" w:sz="4" w:space="0"/>
              <w:right w:val="single" w:color="000000" w:sz="4" w:space="0"/>
            </w:tcBorders>
            <w:shd w:val="clear" w:color="auto" w:fill="FFFFFF"/>
            <w:noWrap w:val="0"/>
            <w:vAlign w:val="center"/>
          </w:tcPr>
          <w:p w14:paraId="1182C5ED">
            <w:pPr>
              <w:pStyle w:val="11"/>
              <w:bidi w:val="0"/>
              <w:jc w:val="center"/>
              <w:rPr>
                <w:rFonts w:hint="eastAsia" w:eastAsia="宋体"/>
                <w:color w:val="000000"/>
                <w:lang w:eastAsia="zh-CN"/>
              </w:rPr>
            </w:pPr>
            <w:r>
              <w:rPr>
                <w:rFonts w:hint="eastAsia"/>
                <w:color w:val="000000"/>
              </w:rPr>
              <w:t>水产品</w:t>
            </w:r>
          </w:p>
        </w:tc>
        <w:tc>
          <w:tcPr>
            <w:tcW w:w="1249"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28" w:type="dxa"/>
              <w:bottom w:w="28" w:type="dxa"/>
              <w:right w:w="28" w:type="dxa"/>
            </w:tcMar>
            <w:vAlign w:val="center"/>
          </w:tcPr>
          <w:p w14:paraId="62283D76">
            <w:pPr>
              <w:pStyle w:val="11"/>
              <w:bidi w:val="0"/>
              <w:jc w:val="center"/>
              <w:rPr>
                <w:rFonts w:hint="eastAsia" w:eastAsia="宋体"/>
                <w:color w:val="000000"/>
                <w:lang w:eastAsia="zh-CN"/>
              </w:rPr>
            </w:pPr>
            <w:r>
              <w:rPr>
                <w:rFonts w:hint="eastAsia"/>
                <w:color w:val="000000"/>
              </w:rPr>
              <w:t>吨</w:t>
            </w:r>
          </w:p>
        </w:tc>
        <w:tc>
          <w:tcPr>
            <w:tcW w:w="1250" w:type="pct"/>
            <w:tcBorders>
              <w:top w:val="single" w:color="000000" w:sz="4" w:space="0"/>
              <w:left w:val="single" w:color="000000" w:sz="4" w:space="0"/>
              <w:bottom w:val="single" w:color="000000" w:sz="4" w:space="0"/>
              <w:right w:val="single" w:color="000000" w:sz="4" w:space="0"/>
            </w:tcBorders>
            <w:shd w:val="clear" w:color="auto" w:fill="FFFFFF"/>
            <w:noWrap w:val="0"/>
            <w:tcMar>
              <w:top w:w="28" w:type="dxa"/>
              <w:left w:w="397" w:type="dxa"/>
              <w:bottom w:w="28" w:type="dxa"/>
              <w:right w:w="28" w:type="dxa"/>
            </w:tcMar>
            <w:vAlign w:val="center"/>
          </w:tcPr>
          <w:p w14:paraId="640B0E84">
            <w:pPr>
              <w:pStyle w:val="11"/>
              <w:bidi w:val="0"/>
              <w:jc w:val="center"/>
              <w:rPr>
                <w:rFonts w:hint="eastAsia" w:eastAsia="宋体"/>
                <w:color w:val="000000"/>
                <w:lang w:eastAsia="zh-CN"/>
              </w:rPr>
            </w:pPr>
            <w:r>
              <w:rPr>
                <w:rFonts w:hint="eastAsia"/>
                <w:color w:val="000000"/>
              </w:rPr>
              <w:t>17595</w:t>
            </w:r>
          </w:p>
        </w:tc>
        <w:tc>
          <w:tcPr>
            <w:tcW w:w="1249" w:type="pct"/>
            <w:tcBorders>
              <w:top w:val="single" w:color="000000" w:sz="4" w:space="0"/>
              <w:left w:val="single" w:color="000000" w:sz="4" w:space="0"/>
              <w:bottom w:val="single" w:color="000000" w:sz="4" w:space="0"/>
              <w:right w:val="nil"/>
            </w:tcBorders>
            <w:shd w:val="clear" w:color="auto" w:fill="FFFFFF"/>
            <w:noWrap w:val="0"/>
            <w:tcMar>
              <w:left w:w="397" w:type="dxa"/>
            </w:tcMar>
            <w:vAlign w:val="center"/>
          </w:tcPr>
          <w:p w14:paraId="70E6C74A">
            <w:pPr>
              <w:pStyle w:val="11"/>
              <w:bidi w:val="0"/>
              <w:jc w:val="center"/>
              <w:rPr>
                <w:rFonts w:hint="eastAsia" w:eastAsia="宋体"/>
                <w:color w:val="000000"/>
                <w:lang w:eastAsia="zh-CN"/>
              </w:rPr>
            </w:pPr>
            <w:r>
              <w:rPr>
                <w:rFonts w:hint="eastAsia"/>
                <w:color w:val="000000"/>
              </w:rPr>
              <w:t>4.7</w:t>
            </w:r>
          </w:p>
        </w:tc>
      </w:tr>
    </w:tbl>
    <w:p w14:paraId="6ED00878">
      <w:pPr>
        <w:bidi w:val="0"/>
        <w:rPr>
          <w:rFonts w:hint="eastAsia"/>
          <w:b/>
          <w:bCs/>
        </w:rPr>
      </w:pPr>
      <w:r>
        <w:rPr>
          <w:rFonts w:hint="eastAsia"/>
          <w:b/>
          <w:bCs/>
        </w:rPr>
        <w:t>三、工业和建筑业</w:t>
      </w:r>
    </w:p>
    <w:p w14:paraId="41DAA068">
      <w:pPr>
        <w:bidi w:val="0"/>
        <w:rPr>
          <w:rFonts w:hint="eastAsia"/>
        </w:rPr>
      </w:pPr>
      <w:r>
        <w:rPr>
          <w:rFonts w:hint="eastAsia"/>
        </w:rPr>
        <w:t>全市完成工业总产值69.77亿元，同比增长17.4%。实现工业增加值15.67亿元，同比增长15.2%。工业增加值占GDP的比重13%。</w:t>
      </w:r>
    </w:p>
    <w:p w14:paraId="010817FE">
      <w:pPr>
        <w:bidi w:val="0"/>
        <w:rPr>
          <w:rFonts w:hint="eastAsia"/>
        </w:rPr>
      </w:pPr>
      <w:r>
        <w:rPr>
          <w:rFonts w:hint="eastAsia"/>
        </w:rPr>
        <w:t>年末全市规模以上工业企业92家，同比减少8.9%。规模以上工业企业完成总产值45.77亿元，同比增长25.3%。其中，国有企业0.51亿元；股份制企业39.89亿元；其他经济类型企业4.48亿元；外商及港澳台企业0.89亿元。规模以上工业企业实现增加值11.65亿元，同比增长23.4%，增速在韶关各县市区排名第二。其中，工业支柱行业－化学原料和化学制品制造业增加值3.5亿元、增长5.2%；电力生产和供应业增加值2.75亿元、增长38.1%；非金属矿物制品业增加值2.28亿元、增长98.7%；造纸和纸制品业增加值1.84亿元、增长69.4%。</w:t>
      </w:r>
    </w:p>
    <w:p w14:paraId="3B163B95">
      <w:pPr>
        <w:bidi w:val="0"/>
        <w:rPr>
          <w:rFonts w:hint="eastAsia"/>
        </w:rPr>
      </w:pPr>
      <w:r>
        <w:rPr>
          <w:rFonts w:hint="eastAsia"/>
        </w:rPr>
        <w:t>年末园区入园企业106家。其中，规模以上工业企业61家。园区完成工业总产值23.32亿元，同比增长3.2%；实现工业增加值4.36亿元，增长2.7%。园区工业产值和增加值占全市工业总产值和增加值的比重分别为33.4%和27.8%。年末园区有高新技术企业23家，上市企业3家。</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964E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B782E75">
            <w:pPr>
              <w:bidi w:val="0"/>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3884295" cy="2760345"/>
                  <wp:effectExtent l="0" t="0" r="1905" b="1905"/>
                  <wp:docPr id="146" name="图片 14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5"/>
                          <pic:cNvPicPr>
                            <a:picLocks noChangeAspect="1"/>
                          </pic:cNvPicPr>
                        </pic:nvPicPr>
                        <pic:blipFill>
                          <a:blip r:embed="rId133"/>
                          <a:stretch>
                            <a:fillRect/>
                          </a:stretch>
                        </pic:blipFill>
                        <pic:spPr>
                          <a:xfrm>
                            <a:off x="0" y="0"/>
                            <a:ext cx="3884295" cy="2760345"/>
                          </a:xfrm>
                          <a:prstGeom prst="rect">
                            <a:avLst/>
                          </a:prstGeom>
                        </pic:spPr>
                      </pic:pic>
                    </a:graphicData>
                  </a:graphic>
                </wp:inline>
              </w:drawing>
            </w:r>
          </w:p>
        </w:tc>
      </w:tr>
    </w:tbl>
    <w:p w14:paraId="30EF01C0">
      <w:pPr>
        <w:bidi w:val="0"/>
        <w:ind w:left="0" w:leftChars="0" w:firstLine="0" w:firstLineChars="0"/>
        <w:jc w:val="center"/>
        <w:rPr>
          <w:rFonts w:hint="eastAsia"/>
          <w:b/>
          <w:bCs/>
        </w:rPr>
      </w:pPr>
      <w:r>
        <w:rPr>
          <w:rFonts w:hint="eastAsia"/>
          <w:b/>
          <w:bCs/>
        </w:rPr>
        <w:t>表29</w:t>
      </w:r>
      <w:r>
        <w:rPr>
          <w:rFonts w:hint="eastAsia"/>
          <w:b/>
          <w:bCs/>
          <w:lang w:val="en-US" w:eastAsia="zh-CN"/>
        </w:rPr>
        <w:t xml:space="preserve">  </w:t>
      </w:r>
      <w:r>
        <w:rPr>
          <w:rFonts w:hint="eastAsia"/>
          <w:b/>
          <w:bCs/>
        </w:rPr>
        <w:t>2018年南雄市规模以上工业分行业增加值</w:t>
      </w:r>
    </w:p>
    <w:tbl>
      <w:tblPr>
        <w:tblStyle w:val="7"/>
        <w:tblW w:w="4998"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380"/>
        <w:gridCol w:w="2709"/>
        <w:gridCol w:w="2709"/>
      </w:tblGrid>
      <w:tr w14:paraId="4E3AF3C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top w:w="28" w:type="dxa"/>
              <w:left w:w="28" w:type="dxa"/>
              <w:bottom w:w="28" w:type="dxa"/>
              <w:right w:w="28" w:type="dxa"/>
            </w:tcMar>
            <w:vAlign w:val="center"/>
          </w:tcPr>
          <w:p w14:paraId="2715C139">
            <w:pPr>
              <w:pStyle w:val="11"/>
              <w:bidi w:val="0"/>
              <w:jc w:val="center"/>
              <w:rPr>
                <w:rFonts w:hint="eastAsia" w:eastAsia="宋体"/>
                <w:b/>
                <w:bCs/>
                <w:color w:val="000000"/>
                <w:lang w:eastAsia="zh-CN"/>
              </w:rPr>
            </w:pPr>
            <w:r>
              <w:rPr>
                <w:rFonts w:hint="eastAsia"/>
                <w:b/>
                <w:bCs/>
                <w:color w:val="000000"/>
              </w:rPr>
              <w:t>行业</w:t>
            </w:r>
          </w:p>
        </w:tc>
        <w:tc>
          <w:tcPr>
            <w:tcW w:w="1382" w:type="pct"/>
            <w:shd w:val="clear" w:color="auto" w:fill="FFFFFF"/>
            <w:noWrap w:val="0"/>
            <w:tcMar>
              <w:top w:w="28" w:type="dxa"/>
              <w:left w:w="28" w:type="dxa"/>
              <w:bottom w:w="28" w:type="dxa"/>
              <w:right w:w="28" w:type="dxa"/>
            </w:tcMar>
            <w:vAlign w:val="center"/>
          </w:tcPr>
          <w:p w14:paraId="34DE6110">
            <w:pPr>
              <w:pStyle w:val="11"/>
              <w:bidi w:val="0"/>
              <w:jc w:val="center"/>
              <w:rPr>
                <w:rFonts w:hint="eastAsia" w:eastAsia="宋体"/>
                <w:b/>
                <w:bCs/>
                <w:color w:val="000000"/>
                <w:lang w:eastAsia="zh-CN"/>
              </w:rPr>
            </w:pPr>
            <w:r>
              <w:rPr>
                <w:rFonts w:hint="eastAsia"/>
                <w:b/>
                <w:bCs/>
                <w:color w:val="000000"/>
              </w:rPr>
              <w:t>增加值（万元）</w:t>
            </w:r>
          </w:p>
        </w:tc>
        <w:tc>
          <w:tcPr>
            <w:tcW w:w="1382" w:type="pct"/>
            <w:shd w:val="clear" w:color="auto" w:fill="FFFFFF"/>
            <w:noWrap w:val="0"/>
            <w:tcMar>
              <w:top w:w="28" w:type="dxa"/>
              <w:left w:w="28" w:type="dxa"/>
              <w:bottom w:w="28" w:type="dxa"/>
              <w:right w:w="28" w:type="dxa"/>
            </w:tcMar>
            <w:vAlign w:val="center"/>
          </w:tcPr>
          <w:p w14:paraId="30BC36D9">
            <w:pPr>
              <w:pStyle w:val="11"/>
              <w:bidi w:val="0"/>
              <w:jc w:val="center"/>
              <w:rPr>
                <w:rFonts w:hint="eastAsia" w:eastAsia="宋体"/>
                <w:b/>
                <w:bCs/>
                <w:color w:val="000000"/>
                <w:lang w:eastAsia="zh-CN"/>
              </w:rPr>
            </w:pPr>
            <w:r>
              <w:rPr>
                <w:rFonts w:hint="eastAsia"/>
                <w:b/>
                <w:bCs/>
                <w:color w:val="000000"/>
              </w:rPr>
              <w:t>比上年增长（%）</w:t>
            </w:r>
          </w:p>
        </w:tc>
      </w:tr>
      <w:tr w14:paraId="231ECEA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00C61B21">
            <w:pPr>
              <w:pStyle w:val="11"/>
              <w:bidi w:val="0"/>
              <w:rPr>
                <w:rFonts w:hint="eastAsia" w:eastAsia="宋体"/>
                <w:color w:val="000000"/>
                <w:lang w:eastAsia="zh-CN"/>
              </w:rPr>
            </w:pPr>
            <w:r>
              <w:rPr>
                <w:rFonts w:hint="eastAsia"/>
                <w:color w:val="000000"/>
              </w:rPr>
              <w:t>合计</w:t>
            </w:r>
          </w:p>
        </w:tc>
        <w:tc>
          <w:tcPr>
            <w:tcW w:w="1382" w:type="pct"/>
            <w:shd w:val="clear" w:color="auto" w:fill="FFFFFF"/>
            <w:noWrap w:val="0"/>
            <w:tcMar>
              <w:top w:w="28" w:type="dxa"/>
              <w:left w:w="28" w:type="dxa"/>
              <w:bottom w:w="28" w:type="dxa"/>
              <w:right w:w="28" w:type="dxa"/>
            </w:tcMar>
            <w:vAlign w:val="center"/>
          </w:tcPr>
          <w:p w14:paraId="1A09DA30">
            <w:pPr>
              <w:pStyle w:val="11"/>
              <w:bidi w:val="0"/>
              <w:jc w:val="center"/>
              <w:rPr>
                <w:rFonts w:hint="eastAsia"/>
                <w:color w:val="000000"/>
              </w:rPr>
            </w:pPr>
            <w:r>
              <w:rPr>
                <w:rFonts w:hint="eastAsia"/>
                <w:color w:val="000000"/>
              </w:rPr>
              <w:t>116473</w:t>
            </w:r>
          </w:p>
        </w:tc>
        <w:tc>
          <w:tcPr>
            <w:tcW w:w="1382" w:type="pct"/>
            <w:shd w:val="clear" w:color="auto" w:fill="FFFFFF"/>
            <w:noWrap w:val="0"/>
            <w:tcMar>
              <w:top w:w="28" w:type="dxa"/>
              <w:bottom w:w="28" w:type="dxa"/>
              <w:right w:w="28" w:type="dxa"/>
            </w:tcMar>
            <w:vAlign w:val="center"/>
          </w:tcPr>
          <w:p w14:paraId="5B86EB5C">
            <w:pPr>
              <w:pStyle w:val="11"/>
              <w:bidi w:val="0"/>
              <w:jc w:val="center"/>
              <w:rPr>
                <w:rFonts w:hint="eastAsia"/>
                <w:color w:val="000000"/>
              </w:rPr>
            </w:pPr>
            <w:r>
              <w:rPr>
                <w:rFonts w:hint="eastAsia"/>
                <w:color w:val="000000"/>
              </w:rPr>
              <w:t>23.4</w:t>
            </w:r>
          </w:p>
        </w:tc>
      </w:tr>
      <w:tr w14:paraId="71DC4FC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42DC1157">
            <w:pPr>
              <w:pStyle w:val="11"/>
              <w:bidi w:val="0"/>
              <w:rPr>
                <w:rFonts w:hint="eastAsia" w:eastAsia="宋体"/>
                <w:color w:val="000000"/>
                <w:lang w:eastAsia="zh-CN"/>
              </w:rPr>
            </w:pPr>
            <w:r>
              <w:rPr>
                <w:rFonts w:hint="eastAsia"/>
                <w:color w:val="000000"/>
              </w:rPr>
              <w:t>非金属矿采选业</w:t>
            </w:r>
          </w:p>
        </w:tc>
        <w:tc>
          <w:tcPr>
            <w:tcW w:w="1382" w:type="pct"/>
            <w:shd w:val="clear" w:color="auto" w:fill="FFFFFF"/>
            <w:noWrap w:val="0"/>
            <w:tcMar>
              <w:top w:w="28" w:type="dxa"/>
              <w:left w:w="28" w:type="dxa"/>
              <w:bottom w:w="28" w:type="dxa"/>
              <w:right w:w="28" w:type="dxa"/>
            </w:tcMar>
            <w:vAlign w:val="center"/>
          </w:tcPr>
          <w:p w14:paraId="2C8D1264">
            <w:pPr>
              <w:pStyle w:val="11"/>
              <w:bidi w:val="0"/>
              <w:jc w:val="center"/>
              <w:rPr>
                <w:rFonts w:hint="eastAsia"/>
                <w:color w:val="000000"/>
              </w:rPr>
            </w:pPr>
            <w:r>
              <w:rPr>
                <w:rFonts w:hint="eastAsia"/>
                <w:color w:val="000000"/>
              </w:rPr>
              <w:t>115</w:t>
            </w:r>
          </w:p>
        </w:tc>
        <w:tc>
          <w:tcPr>
            <w:tcW w:w="1382" w:type="pct"/>
            <w:shd w:val="clear" w:color="auto" w:fill="FFFFFF"/>
            <w:noWrap w:val="0"/>
            <w:tcMar>
              <w:top w:w="28" w:type="dxa"/>
              <w:bottom w:w="28" w:type="dxa"/>
              <w:right w:w="28" w:type="dxa"/>
            </w:tcMar>
            <w:vAlign w:val="center"/>
          </w:tcPr>
          <w:p w14:paraId="6FC59688">
            <w:pPr>
              <w:pStyle w:val="11"/>
              <w:bidi w:val="0"/>
              <w:jc w:val="center"/>
              <w:rPr>
                <w:rFonts w:hint="eastAsia"/>
                <w:color w:val="000000"/>
              </w:rPr>
            </w:pPr>
            <w:r>
              <w:rPr>
                <w:rFonts w:hint="eastAsia"/>
                <w:color w:val="000000"/>
              </w:rPr>
              <w:t>-72.9</w:t>
            </w:r>
          </w:p>
        </w:tc>
      </w:tr>
      <w:tr w14:paraId="7A1C679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7C8AE32B">
            <w:pPr>
              <w:pStyle w:val="11"/>
              <w:bidi w:val="0"/>
              <w:rPr>
                <w:rFonts w:hint="eastAsia" w:eastAsia="宋体"/>
                <w:color w:val="000000"/>
                <w:lang w:eastAsia="zh-CN"/>
              </w:rPr>
            </w:pPr>
            <w:r>
              <w:rPr>
                <w:rFonts w:hint="eastAsia"/>
                <w:color w:val="000000"/>
              </w:rPr>
              <w:t>农副食品加工业</w:t>
            </w:r>
          </w:p>
        </w:tc>
        <w:tc>
          <w:tcPr>
            <w:tcW w:w="1382" w:type="pct"/>
            <w:shd w:val="clear" w:color="auto" w:fill="FFFFFF"/>
            <w:noWrap w:val="0"/>
            <w:tcMar>
              <w:top w:w="28" w:type="dxa"/>
              <w:left w:w="28" w:type="dxa"/>
              <w:bottom w:w="28" w:type="dxa"/>
              <w:right w:w="28" w:type="dxa"/>
            </w:tcMar>
            <w:vAlign w:val="center"/>
          </w:tcPr>
          <w:p w14:paraId="1AD4F9DE">
            <w:pPr>
              <w:pStyle w:val="11"/>
              <w:bidi w:val="0"/>
              <w:jc w:val="center"/>
              <w:rPr>
                <w:rFonts w:hint="eastAsia"/>
                <w:color w:val="000000"/>
              </w:rPr>
            </w:pPr>
            <w:r>
              <w:rPr>
                <w:rFonts w:hint="eastAsia"/>
                <w:color w:val="000000"/>
              </w:rPr>
              <w:t>3742</w:t>
            </w:r>
          </w:p>
        </w:tc>
        <w:tc>
          <w:tcPr>
            <w:tcW w:w="1382" w:type="pct"/>
            <w:shd w:val="clear" w:color="auto" w:fill="FFFFFF"/>
            <w:noWrap w:val="0"/>
            <w:tcMar>
              <w:top w:w="28" w:type="dxa"/>
              <w:bottom w:w="28" w:type="dxa"/>
              <w:right w:w="28" w:type="dxa"/>
            </w:tcMar>
            <w:vAlign w:val="center"/>
          </w:tcPr>
          <w:p w14:paraId="5EF6E72A">
            <w:pPr>
              <w:pStyle w:val="11"/>
              <w:bidi w:val="0"/>
              <w:jc w:val="center"/>
              <w:rPr>
                <w:rFonts w:hint="eastAsia"/>
                <w:color w:val="000000"/>
              </w:rPr>
            </w:pPr>
            <w:r>
              <w:rPr>
                <w:rFonts w:hint="eastAsia"/>
                <w:color w:val="000000"/>
              </w:rPr>
              <w:t>-10.0</w:t>
            </w:r>
          </w:p>
        </w:tc>
      </w:tr>
      <w:tr w14:paraId="79B0AD9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4D66C92E">
            <w:pPr>
              <w:pStyle w:val="11"/>
              <w:bidi w:val="0"/>
              <w:rPr>
                <w:rFonts w:hint="eastAsia" w:eastAsia="宋体"/>
                <w:color w:val="000000"/>
                <w:lang w:eastAsia="zh-CN"/>
              </w:rPr>
            </w:pPr>
            <w:r>
              <w:rPr>
                <w:rFonts w:hint="eastAsia"/>
                <w:color w:val="000000"/>
              </w:rPr>
              <w:t>酒、饮料和精制茶制造业</w:t>
            </w:r>
          </w:p>
        </w:tc>
        <w:tc>
          <w:tcPr>
            <w:tcW w:w="1382" w:type="pct"/>
            <w:shd w:val="clear" w:color="auto" w:fill="FFFFFF"/>
            <w:noWrap w:val="0"/>
            <w:tcMar>
              <w:top w:w="28" w:type="dxa"/>
              <w:left w:w="28" w:type="dxa"/>
              <w:bottom w:w="28" w:type="dxa"/>
              <w:right w:w="28" w:type="dxa"/>
            </w:tcMar>
            <w:vAlign w:val="center"/>
          </w:tcPr>
          <w:p w14:paraId="1BFBAED0">
            <w:pPr>
              <w:pStyle w:val="11"/>
              <w:bidi w:val="0"/>
              <w:jc w:val="center"/>
              <w:rPr>
                <w:rFonts w:hint="eastAsia"/>
                <w:color w:val="000000"/>
              </w:rPr>
            </w:pPr>
            <w:r>
              <w:rPr>
                <w:rFonts w:hint="eastAsia"/>
                <w:color w:val="000000"/>
              </w:rPr>
              <w:t>4</w:t>
            </w:r>
          </w:p>
        </w:tc>
        <w:tc>
          <w:tcPr>
            <w:tcW w:w="1382" w:type="pct"/>
            <w:shd w:val="clear" w:color="auto" w:fill="FFFFFF"/>
            <w:noWrap w:val="0"/>
            <w:tcMar>
              <w:top w:w="28" w:type="dxa"/>
              <w:bottom w:w="28" w:type="dxa"/>
              <w:right w:w="28" w:type="dxa"/>
            </w:tcMar>
            <w:vAlign w:val="center"/>
          </w:tcPr>
          <w:p w14:paraId="195E08CC">
            <w:pPr>
              <w:pStyle w:val="11"/>
              <w:bidi w:val="0"/>
              <w:jc w:val="center"/>
              <w:rPr>
                <w:rFonts w:hint="eastAsia"/>
                <w:color w:val="000000"/>
              </w:rPr>
            </w:pPr>
            <w:r>
              <w:rPr>
                <w:rFonts w:hint="eastAsia"/>
                <w:color w:val="000000"/>
              </w:rPr>
              <w:t>-99.8</w:t>
            </w:r>
          </w:p>
        </w:tc>
      </w:tr>
      <w:tr w14:paraId="0278963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0711E5ED">
            <w:pPr>
              <w:pStyle w:val="11"/>
              <w:bidi w:val="0"/>
              <w:rPr>
                <w:rFonts w:hint="eastAsia" w:eastAsia="宋体"/>
                <w:color w:val="000000"/>
                <w:lang w:eastAsia="zh-CN"/>
              </w:rPr>
            </w:pPr>
            <w:r>
              <w:rPr>
                <w:rFonts w:hint="eastAsia"/>
                <w:color w:val="000000"/>
              </w:rPr>
              <w:t>纺织服装、服饰业</w:t>
            </w:r>
          </w:p>
        </w:tc>
        <w:tc>
          <w:tcPr>
            <w:tcW w:w="1382" w:type="pct"/>
            <w:shd w:val="clear" w:color="auto" w:fill="FFFFFF"/>
            <w:noWrap w:val="0"/>
            <w:tcMar>
              <w:top w:w="28" w:type="dxa"/>
              <w:left w:w="28" w:type="dxa"/>
              <w:bottom w:w="28" w:type="dxa"/>
              <w:right w:w="28" w:type="dxa"/>
            </w:tcMar>
            <w:vAlign w:val="center"/>
          </w:tcPr>
          <w:p w14:paraId="5FE3D81C">
            <w:pPr>
              <w:pStyle w:val="11"/>
              <w:bidi w:val="0"/>
              <w:jc w:val="center"/>
              <w:rPr>
                <w:rFonts w:hint="eastAsia"/>
                <w:color w:val="000000"/>
              </w:rPr>
            </w:pPr>
            <w:r>
              <w:rPr>
                <w:rFonts w:hint="eastAsia"/>
                <w:color w:val="000000"/>
              </w:rPr>
              <w:t>739</w:t>
            </w:r>
          </w:p>
        </w:tc>
        <w:tc>
          <w:tcPr>
            <w:tcW w:w="1382" w:type="pct"/>
            <w:shd w:val="clear" w:color="auto" w:fill="FFFFFF"/>
            <w:noWrap w:val="0"/>
            <w:tcMar>
              <w:top w:w="28" w:type="dxa"/>
              <w:bottom w:w="28" w:type="dxa"/>
              <w:right w:w="28" w:type="dxa"/>
            </w:tcMar>
            <w:vAlign w:val="center"/>
          </w:tcPr>
          <w:p w14:paraId="27DDA905">
            <w:pPr>
              <w:pStyle w:val="11"/>
              <w:bidi w:val="0"/>
              <w:jc w:val="center"/>
              <w:rPr>
                <w:rFonts w:hint="eastAsia"/>
                <w:color w:val="000000"/>
              </w:rPr>
            </w:pPr>
            <w:r>
              <w:rPr>
                <w:rFonts w:hint="eastAsia"/>
                <w:color w:val="000000"/>
              </w:rPr>
              <w:t>-26.9</w:t>
            </w:r>
          </w:p>
        </w:tc>
      </w:tr>
      <w:tr w14:paraId="187206A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0C6F7656">
            <w:pPr>
              <w:pStyle w:val="11"/>
              <w:bidi w:val="0"/>
              <w:rPr>
                <w:rFonts w:hint="eastAsia" w:eastAsia="宋体"/>
                <w:color w:val="000000"/>
                <w:lang w:eastAsia="zh-CN"/>
              </w:rPr>
            </w:pPr>
            <w:r>
              <w:rPr>
                <w:rFonts w:hint="eastAsia"/>
                <w:color w:val="000000"/>
              </w:rPr>
              <w:t>木材加工和木、竹、藤、棕、草制品业</w:t>
            </w:r>
          </w:p>
        </w:tc>
        <w:tc>
          <w:tcPr>
            <w:tcW w:w="1382" w:type="pct"/>
            <w:shd w:val="clear" w:color="auto" w:fill="FFFFFF"/>
            <w:noWrap w:val="0"/>
            <w:tcMar>
              <w:top w:w="28" w:type="dxa"/>
              <w:left w:w="28" w:type="dxa"/>
              <w:bottom w:w="28" w:type="dxa"/>
              <w:right w:w="28" w:type="dxa"/>
            </w:tcMar>
            <w:vAlign w:val="center"/>
          </w:tcPr>
          <w:p w14:paraId="0999CF56">
            <w:pPr>
              <w:pStyle w:val="11"/>
              <w:bidi w:val="0"/>
              <w:jc w:val="center"/>
              <w:rPr>
                <w:rFonts w:hint="eastAsia"/>
                <w:color w:val="000000"/>
              </w:rPr>
            </w:pPr>
            <w:r>
              <w:rPr>
                <w:rFonts w:hint="eastAsia"/>
                <w:color w:val="000000"/>
              </w:rPr>
              <w:t>122</w:t>
            </w:r>
          </w:p>
        </w:tc>
        <w:tc>
          <w:tcPr>
            <w:tcW w:w="1382" w:type="pct"/>
            <w:shd w:val="clear" w:color="auto" w:fill="FFFFFF"/>
            <w:noWrap w:val="0"/>
            <w:tcMar>
              <w:top w:w="28" w:type="dxa"/>
              <w:bottom w:w="28" w:type="dxa"/>
              <w:right w:w="28" w:type="dxa"/>
            </w:tcMar>
            <w:vAlign w:val="center"/>
          </w:tcPr>
          <w:p w14:paraId="48A1EF84">
            <w:pPr>
              <w:pStyle w:val="11"/>
              <w:bidi w:val="0"/>
              <w:jc w:val="center"/>
              <w:rPr>
                <w:rFonts w:hint="eastAsia"/>
                <w:color w:val="000000"/>
              </w:rPr>
            </w:pPr>
            <w:r>
              <w:rPr>
                <w:rFonts w:hint="eastAsia"/>
                <w:color w:val="000000"/>
              </w:rPr>
              <w:t>52.4</w:t>
            </w:r>
          </w:p>
        </w:tc>
      </w:tr>
      <w:tr w14:paraId="7FC47E7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757031B2">
            <w:pPr>
              <w:pStyle w:val="11"/>
              <w:bidi w:val="0"/>
              <w:rPr>
                <w:rFonts w:hint="eastAsia"/>
                <w:color w:val="000000"/>
              </w:rPr>
            </w:pPr>
            <w:r>
              <w:rPr>
                <w:rFonts w:hint="eastAsia"/>
                <w:color w:val="000000"/>
              </w:rPr>
              <w:t>家具制造业</w:t>
            </w:r>
          </w:p>
        </w:tc>
        <w:tc>
          <w:tcPr>
            <w:tcW w:w="1382" w:type="pct"/>
            <w:shd w:val="clear" w:color="auto" w:fill="FFFFFF"/>
            <w:noWrap w:val="0"/>
            <w:tcMar>
              <w:top w:w="28" w:type="dxa"/>
              <w:left w:w="28" w:type="dxa"/>
              <w:bottom w:w="28" w:type="dxa"/>
              <w:right w:w="28" w:type="dxa"/>
            </w:tcMar>
            <w:vAlign w:val="center"/>
          </w:tcPr>
          <w:p w14:paraId="70D11208">
            <w:pPr>
              <w:pStyle w:val="11"/>
              <w:bidi w:val="0"/>
              <w:jc w:val="center"/>
              <w:rPr>
                <w:rFonts w:hint="eastAsia"/>
                <w:color w:val="000000"/>
              </w:rPr>
            </w:pPr>
            <w:r>
              <w:rPr>
                <w:rFonts w:hint="eastAsia"/>
                <w:color w:val="000000"/>
              </w:rPr>
              <w:t>200</w:t>
            </w:r>
          </w:p>
        </w:tc>
        <w:tc>
          <w:tcPr>
            <w:tcW w:w="1382" w:type="pct"/>
            <w:shd w:val="clear" w:color="auto" w:fill="FFFFFF"/>
            <w:noWrap w:val="0"/>
            <w:tcMar>
              <w:top w:w="28" w:type="dxa"/>
              <w:bottom w:w="28" w:type="dxa"/>
              <w:right w:w="28" w:type="dxa"/>
            </w:tcMar>
            <w:vAlign w:val="center"/>
          </w:tcPr>
          <w:p w14:paraId="568CB521">
            <w:pPr>
              <w:pStyle w:val="11"/>
              <w:bidi w:val="0"/>
              <w:jc w:val="center"/>
              <w:rPr>
                <w:rFonts w:hint="eastAsia"/>
                <w:color w:val="000000"/>
              </w:rPr>
            </w:pPr>
            <w:r>
              <w:rPr>
                <w:rFonts w:hint="eastAsia"/>
                <w:color w:val="000000"/>
              </w:rPr>
              <w:t>202.5</w:t>
            </w:r>
          </w:p>
        </w:tc>
      </w:tr>
      <w:tr w14:paraId="1AE2E38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6F6E6374">
            <w:pPr>
              <w:pStyle w:val="11"/>
              <w:bidi w:val="0"/>
              <w:rPr>
                <w:rFonts w:hint="eastAsia"/>
                <w:color w:val="000000"/>
              </w:rPr>
            </w:pPr>
            <w:r>
              <w:rPr>
                <w:rFonts w:hint="eastAsia"/>
                <w:color w:val="000000"/>
              </w:rPr>
              <w:t>造纸和纸制品业</w:t>
            </w:r>
          </w:p>
        </w:tc>
        <w:tc>
          <w:tcPr>
            <w:tcW w:w="1382" w:type="pct"/>
            <w:shd w:val="clear" w:color="auto" w:fill="FFFFFF"/>
            <w:noWrap w:val="0"/>
            <w:tcMar>
              <w:top w:w="28" w:type="dxa"/>
              <w:left w:w="28" w:type="dxa"/>
              <w:bottom w:w="28" w:type="dxa"/>
              <w:right w:w="28" w:type="dxa"/>
            </w:tcMar>
            <w:vAlign w:val="center"/>
          </w:tcPr>
          <w:p w14:paraId="333D564E">
            <w:pPr>
              <w:pStyle w:val="11"/>
              <w:bidi w:val="0"/>
              <w:jc w:val="center"/>
              <w:rPr>
                <w:rFonts w:hint="eastAsia"/>
                <w:color w:val="000000"/>
              </w:rPr>
            </w:pPr>
            <w:r>
              <w:rPr>
                <w:rFonts w:hint="eastAsia"/>
                <w:color w:val="000000"/>
              </w:rPr>
              <w:t>18450</w:t>
            </w:r>
          </w:p>
        </w:tc>
        <w:tc>
          <w:tcPr>
            <w:tcW w:w="1382" w:type="pct"/>
            <w:shd w:val="clear" w:color="auto" w:fill="FFFFFF"/>
            <w:noWrap w:val="0"/>
            <w:tcMar>
              <w:top w:w="28" w:type="dxa"/>
              <w:bottom w:w="28" w:type="dxa"/>
              <w:right w:w="28" w:type="dxa"/>
            </w:tcMar>
            <w:vAlign w:val="center"/>
          </w:tcPr>
          <w:p w14:paraId="47B8CFC2">
            <w:pPr>
              <w:pStyle w:val="11"/>
              <w:bidi w:val="0"/>
              <w:jc w:val="center"/>
              <w:rPr>
                <w:rFonts w:hint="eastAsia"/>
                <w:color w:val="000000"/>
              </w:rPr>
            </w:pPr>
            <w:r>
              <w:rPr>
                <w:rFonts w:hint="eastAsia"/>
                <w:color w:val="000000"/>
              </w:rPr>
              <w:t>69.4</w:t>
            </w:r>
          </w:p>
        </w:tc>
      </w:tr>
      <w:tr w14:paraId="7C94C48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5DD83B44">
            <w:pPr>
              <w:pStyle w:val="11"/>
              <w:bidi w:val="0"/>
              <w:rPr>
                <w:rFonts w:hint="eastAsia" w:eastAsia="宋体"/>
                <w:color w:val="000000"/>
                <w:lang w:eastAsia="zh-CN"/>
              </w:rPr>
            </w:pPr>
            <w:r>
              <w:rPr>
                <w:rFonts w:hint="eastAsia"/>
                <w:color w:val="000000"/>
              </w:rPr>
              <w:t>文教、工美、体育和娱乐用品制造业</w:t>
            </w:r>
          </w:p>
        </w:tc>
        <w:tc>
          <w:tcPr>
            <w:tcW w:w="1382" w:type="pct"/>
            <w:shd w:val="clear" w:color="auto" w:fill="FFFFFF"/>
            <w:noWrap w:val="0"/>
            <w:tcMar>
              <w:top w:w="28" w:type="dxa"/>
              <w:left w:w="28" w:type="dxa"/>
              <w:bottom w:w="28" w:type="dxa"/>
              <w:right w:w="28" w:type="dxa"/>
            </w:tcMar>
            <w:vAlign w:val="center"/>
          </w:tcPr>
          <w:p w14:paraId="41837463">
            <w:pPr>
              <w:pStyle w:val="11"/>
              <w:bidi w:val="0"/>
              <w:jc w:val="center"/>
              <w:rPr>
                <w:rFonts w:hint="eastAsia"/>
                <w:color w:val="000000"/>
              </w:rPr>
            </w:pPr>
            <w:r>
              <w:rPr>
                <w:rFonts w:hint="eastAsia"/>
                <w:color w:val="000000"/>
              </w:rPr>
              <w:t>181</w:t>
            </w:r>
          </w:p>
        </w:tc>
        <w:tc>
          <w:tcPr>
            <w:tcW w:w="1382" w:type="pct"/>
            <w:shd w:val="clear" w:color="auto" w:fill="FFFFFF"/>
            <w:noWrap w:val="0"/>
            <w:tcMar>
              <w:top w:w="28" w:type="dxa"/>
              <w:bottom w:w="28" w:type="dxa"/>
              <w:right w:w="28" w:type="dxa"/>
            </w:tcMar>
            <w:vAlign w:val="center"/>
          </w:tcPr>
          <w:p w14:paraId="19FD646A">
            <w:pPr>
              <w:pStyle w:val="11"/>
              <w:bidi w:val="0"/>
              <w:jc w:val="center"/>
              <w:rPr>
                <w:rFonts w:hint="eastAsia"/>
                <w:color w:val="000000"/>
              </w:rPr>
            </w:pPr>
            <w:r>
              <w:rPr>
                <w:rFonts w:hint="eastAsia"/>
                <w:color w:val="000000"/>
              </w:rPr>
              <w:t>11.6</w:t>
            </w:r>
          </w:p>
        </w:tc>
      </w:tr>
      <w:tr w14:paraId="3C4B237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2C08BA8C">
            <w:pPr>
              <w:pStyle w:val="11"/>
              <w:bidi w:val="0"/>
              <w:rPr>
                <w:rFonts w:hint="eastAsia" w:eastAsia="宋体"/>
                <w:color w:val="000000"/>
                <w:lang w:eastAsia="zh-CN"/>
              </w:rPr>
            </w:pPr>
            <w:r>
              <w:rPr>
                <w:rFonts w:hint="eastAsia"/>
                <w:color w:val="000000"/>
              </w:rPr>
              <w:t>化学原料和化学制品制造业</w:t>
            </w:r>
          </w:p>
        </w:tc>
        <w:tc>
          <w:tcPr>
            <w:tcW w:w="1382" w:type="pct"/>
            <w:shd w:val="clear" w:color="auto" w:fill="FFFFFF"/>
            <w:noWrap w:val="0"/>
            <w:tcMar>
              <w:top w:w="28" w:type="dxa"/>
              <w:left w:w="28" w:type="dxa"/>
              <w:bottom w:w="28" w:type="dxa"/>
              <w:right w:w="28" w:type="dxa"/>
            </w:tcMar>
            <w:vAlign w:val="center"/>
          </w:tcPr>
          <w:p w14:paraId="540C46B9">
            <w:pPr>
              <w:pStyle w:val="11"/>
              <w:bidi w:val="0"/>
              <w:jc w:val="center"/>
              <w:rPr>
                <w:rFonts w:hint="eastAsia"/>
                <w:color w:val="000000"/>
              </w:rPr>
            </w:pPr>
            <w:r>
              <w:rPr>
                <w:rFonts w:hint="eastAsia"/>
                <w:color w:val="000000"/>
              </w:rPr>
              <w:t>34989</w:t>
            </w:r>
          </w:p>
        </w:tc>
        <w:tc>
          <w:tcPr>
            <w:tcW w:w="1382" w:type="pct"/>
            <w:shd w:val="clear" w:color="auto" w:fill="FFFFFF"/>
            <w:noWrap w:val="0"/>
            <w:tcMar>
              <w:top w:w="28" w:type="dxa"/>
              <w:bottom w:w="28" w:type="dxa"/>
              <w:right w:w="28" w:type="dxa"/>
            </w:tcMar>
            <w:vAlign w:val="center"/>
          </w:tcPr>
          <w:p w14:paraId="29C70FC1">
            <w:pPr>
              <w:pStyle w:val="11"/>
              <w:bidi w:val="0"/>
              <w:jc w:val="center"/>
              <w:rPr>
                <w:rFonts w:hint="eastAsia"/>
                <w:color w:val="000000"/>
              </w:rPr>
            </w:pPr>
            <w:r>
              <w:rPr>
                <w:rFonts w:hint="eastAsia"/>
                <w:color w:val="000000"/>
              </w:rPr>
              <w:t>5.2</w:t>
            </w:r>
          </w:p>
        </w:tc>
      </w:tr>
      <w:tr w14:paraId="649F343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5769BB89">
            <w:pPr>
              <w:pStyle w:val="11"/>
              <w:bidi w:val="0"/>
              <w:rPr>
                <w:rFonts w:hint="eastAsia"/>
                <w:color w:val="000000"/>
              </w:rPr>
            </w:pPr>
            <w:r>
              <w:rPr>
                <w:rFonts w:hint="eastAsia"/>
                <w:color w:val="000000"/>
              </w:rPr>
              <w:t>医药制造业</w:t>
            </w:r>
          </w:p>
        </w:tc>
        <w:tc>
          <w:tcPr>
            <w:tcW w:w="1382" w:type="pct"/>
            <w:shd w:val="clear" w:color="auto" w:fill="FFFFFF"/>
            <w:noWrap w:val="0"/>
            <w:tcMar>
              <w:top w:w="28" w:type="dxa"/>
              <w:left w:w="28" w:type="dxa"/>
              <w:bottom w:w="28" w:type="dxa"/>
              <w:right w:w="28" w:type="dxa"/>
            </w:tcMar>
            <w:vAlign w:val="center"/>
          </w:tcPr>
          <w:p w14:paraId="1ADD30EC">
            <w:pPr>
              <w:pStyle w:val="11"/>
              <w:bidi w:val="0"/>
              <w:jc w:val="center"/>
              <w:rPr>
                <w:rFonts w:hint="eastAsia"/>
                <w:color w:val="000000"/>
              </w:rPr>
            </w:pPr>
            <w:r>
              <w:rPr>
                <w:rFonts w:hint="eastAsia"/>
                <w:color w:val="000000"/>
              </w:rPr>
              <w:t>1120</w:t>
            </w:r>
          </w:p>
        </w:tc>
        <w:tc>
          <w:tcPr>
            <w:tcW w:w="1382" w:type="pct"/>
            <w:shd w:val="clear" w:color="auto" w:fill="FFFFFF"/>
            <w:noWrap w:val="0"/>
            <w:tcMar>
              <w:top w:w="28" w:type="dxa"/>
              <w:bottom w:w="28" w:type="dxa"/>
              <w:right w:w="28" w:type="dxa"/>
            </w:tcMar>
            <w:vAlign w:val="center"/>
          </w:tcPr>
          <w:p w14:paraId="0234D530">
            <w:pPr>
              <w:pStyle w:val="11"/>
              <w:bidi w:val="0"/>
              <w:jc w:val="center"/>
              <w:rPr>
                <w:rFonts w:hint="eastAsia"/>
                <w:color w:val="000000"/>
              </w:rPr>
            </w:pPr>
            <w:r>
              <w:rPr>
                <w:rFonts w:hint="eastAsia"/>
                <w:color w:val="000000"/>
              </w:rPr>
              <w:t>27.6</w:t>
            </w:r>
          </w:p>
        </w:tc>
      </w:tr>
      <w:tr w14:paraId="55D987A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665651CD">
            <w:pPr>
              <w:pStyle w:val="11"/>
              <w:bidi w:val="0"/>
              <w:rPr>
                <w:rFonts w:hint="eastAsia" w:eastAsia="宋体"/>
                <w:color w:val="000000"/>
                <w:lang w:eastAsia="zh-CN"/>
              </w:rPr>
            </w:pPr>
            <w:r>
              <w:rPr>
                <w:rFonts w:hint="eastAsia"/>
                <w:color w:val="000000"/>
              </w:rPr>
              <w:t>橡胶和塑料制品业</w:t>
            </w:r>
          </w:p>
        </w:tc>
        <w:tc>
          <w:tcPr>
            <w:tcW w:w="1382" w:type="pct"/>
            <w:shd w:val="clear" w:color="auto" w:fill="FFFFFF"/>
            <w:noWrap w:val="0"/>
            <w:tcMar>
              <w:top w:w="28" w:type="dxa"/>
              <w:left w:w="28" w:type="dxa"/>
              <w:bottom w:w="28" w:type="dxa"/>
              <w:right w:w="28" w:type="dxa"/>
            </w:tcMar>
            <w:vAlign w:val="center"/>
          </w:tcPr>
          <w:p w14:paraId="6FA1884E">
            <w:pPr>
              <w:pStyle w:val="11"/>
              <w:bidi w:val="0"/>
              <w:jc w:val="center"/>
              <w:rPr>
                <w:rFonts w:hint="eastAsia"/>
                <w:color w:val="000000"/>
              </w:rPr>
            </w:pPr>
            <w:r>
              <w:rPr>
                <w:rFonts w:hint="eastAsia"/>
                <w:color w:val="000000"/>
              </w:rPr>
              <w:t>4206</w:t>
            </w:r>
          </w:p>
        </w:tc>
        <w:tc>
          <w:tcPr>
            <w:tcW w:w="1382" w:type="pct"/>
            <w:shd w:val="clear" w:color="auto" w:fill="FFFFFF"/>
            <w:noWrap w:val="0"/>
            <w:tcMar>
              <w:top w:w="28" w:type="dxa"/>
              <w:bottom w:w="28" w:type="dxa"/>
              <w:right w:w="28" w:type="dxa"/>
            </w:tcMar>
            <w:vAlign w:val="center"/>
          </w:tcPr>
          <w:p w14:paraId="5C01F5D0">
            <w:pPr>
              <w:pStyle w:val="11"/>
              <w:bidi w:val="0"/>
              <w:jc w:val="center"/>
              <w:rPr>
                <w:rFonts w:hint="eastAsia"/>
                <w:color w:val="000000"/>
              </w:rPr>
            </w:pPr>
            <w:r>
              <w:rPr>
                <w:rFonts w:hint="eastAsia"/>
                <w:color w:val="000000"/>
              </w:rPr>
              <w:t>-12.4</w:t>
            </w:r>
          </w:p>
        </w:tc>
      </w:tr>
      <w:tr w14:paraId="6E63D09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173A6248">
            <w:pPr>
              <w:pStyle w:val="11"/>
              <w:bidi w:val="0"/>
              <w:rPr>
                <w:rFonts w:hint="eastAsia" w:eastAsia="宋体"/>
                <w:color w:val="000000"/>
                <w:lang w:eastAsia="zh-CN"/>
              </w:rPr>
            </w:pPr>
            <w:r>
              <w:rPr>
                <w:rFonts w:hint="eastAsia"/>
                <w:color w:val="000000"/>
              </w:rPr>
              <w:t>非金属矿物制品业</w:t>
            </w:r>
          </w:p>
        </w:tc>
        <w:tc>
          <w:tcPr>
            <w:tcW w:w="1382" w:type="pct"/>
            <w:shd w:val="clear" w:color="auto" w:fill="FFFFFF"/>
            <w:noWrap w:val="0"/>
            <w:tcMar>
              <w:top w:w="28" w:type="dxa"/>
              <w:left w:w="28" w:type="dxa"/>
              <w:bottom w:w="28" w:type="dxa"/>
              <w:right w:w="28" w:type="dxa"/>
            </w:tcMar>
            <w:vAlign w:val="center"/>
          </w:tcPr>
          <w:p w14:paraId="2CBCECEA">
            <w:pPr>
              <w:pStyle w:val="11"/>
              <w:bidi w:val="0"/>
              <w:jc w:val="center"/>
              <w:rPr>
                <w:rFonts w:hint="eastAsia"/>
                <w:color w:val="000000"/>
              </w:rPr>
            </w:pPr>
            <w:r>
              <w:rPr>
                <w:rFonts w:hint="eastAsia"/>
                <w:color w:val="000000"/>
              </w:rPr>
              <w:t>22777</w:t>
            </w:r>
          </w:p>
        </w:tc>
        <w:tc>
          <w:tcPr>
            <w:tcW w:w="1382" w:type="pct"/>
            <w:shd w:val="clear" w:color="auto" w:fill="FFFFFF"/>
            <w:noWrap w:val="0"/>
            <w:tcMar>
              <w:top w:w="28" w:type="dxa"/>
              <w:bottom w:w="28" w:type="dxa"/>
              <w:right w:w="28" w:type="dxa"/>
            </w:tcMar>
            <w:vAlign w:val="center"/>
          </w:tcPr>
          <w:p w14:paraId="585946F9">
            <w:pPr>
              <w:pStyle w:val="11"/>
              <w:bidi w:val="0"/>
              <w:jc w:val="center"/>
              <w:rPr>
                <w:rFonts w:hint="eastAsia"/>
                <w:color w:val="000000"/>
              </w:rPr>
            </w:pPr>
            <w:r>
              <w:rPr>
                <w:rFonts w:hint="eastAsia"/>
                <w:color w:val="000000"/>
              </w:rPr>
              <w:t>98.7</w:t>
            </w:r>
          </w:p>
        </w:tc>
      </w:tr>
      <w:tr w14:paraId="3F19F10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5A81C61E">
            <w:pPr>
              <w:pStyle w:val="11"/>
              <w:bidi w:val="0"/>
              <w:rPr>
                <w:rFonts w:hint="eastAsia"/>
                <w:color w:val="000000"/>
              </w:rPr>
            </w:pPr>
            <w:r>
              <w:rPr>
                <w:rFonts w:hint="eastAsia"/>
                <w:color w:val="000000"/>
              </w:rPr>
              <w:t>金属制品业</w:t>
            </w:r>
          </w:p>
        </w:tc>
        <w:tc>
          <w:tcPr>
            <w:tcW w:w="1382" w:type="pct"/>
            <w:shd w:val="clear" w:color="auto" w:fill="FFFFFF"/>
            <w:noWrap w:val="0"/>
            <w:tcMar>
              <w:top w:w="28" w:type="dxa"/>
              <w:left w:w="28" w:type="dxa"/>
              <w:bottom w:w="28" w:type="dxa"/>
              <w:right w:w="28" w:type="dxa"/>
            </w:tcMar>
            <w:vAlign w:val="center"/>
          </w:tcPr>
          <w:p w14:paraId="386F806B">
            <w:pPr>
              <w:pStyle w:val="11"/>
              <w:bidi w:val="0"/>
              <w:jc w:val="center"/>
              <w:rPr>
                <w:rFonts w:hint="eastAsia"/>
                <w:color w:val="000000"/>
              </w:rPr>
            </w:pPr>
            <w:r>
              <w:rPr>
                <w:rFonts w:hint="eastAsia"/>
                <w:color w:val="000000"/>
              </w:rPr>
              <w:t>217</w:t>
            </w:r>
          </w:p>
        </w:tc>
        <w:tc>
          <w:tcPr>
            <w:tcW w:w="1382" w:type="pct"/>
            <w:shd w:val="clear" w:color="auto" w:fill="FFFFFF"/>
            <w:noWrap w:val="0"/>
            <w:tcMar>
              <w:top w:w="28" w:type="dxa"/>
              <w:bottom w:w="28" w:type="dxa"/>
              <w:right w:w="28" w:type="dxa"/>
            </w:tcMar>
            <w:vAlign w:val="center"/>
          </w:tcPr>
          <w:p w14:paraId="7C407E4F">
            <w:pPr>
              <w:pStyle w:val="11"/>
              <w:bidi w:val="0"/>
              <w:jc w:val="center"/>
              <w:rPr>
                <w:rFonts w:hint="eastAsia"/>
                <w:color w:val="000000"/>
              </w:rPr>
            </w:pPr>
            <w:r>
              <w:rPr>
                <w:rFonts w:hint="eastAsia"/>
                <w:color w:val="000000"/>
              </w:rPr>
              <w:t>5.7</w:t>
            </w:r>
          </w:p>
        </w:tc>
      </w:tr>
      <w:tr w14:paraId="73D8DF6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089DDC0B">
            <w:pPr>
              <w:pStyle w:val="11"/>
              <w:bidi w:val="0"/>
              <w:rPr>
                <w:rFonts w:hint="eastAsia" w:eastAsia="宋体"/>
                <w:color w:val="000000"/>
                <w:lang w:eastAsia="zh-CN"/>
              </w:rPr>
            </w:pPr>
            <w:r>
              <w:rPr>
                <w:rFonts w:hint="eastAsia"/>
                <w:color w:val="000000"/>
              </w:rPr>
              <w:t>计算机、通信和其他电子设备制造业</w:t>
            </w:r>
          </w:p>
        </w:tc>
        <w:tc>
          <w:tcPr>
            <w:tcW w:w="1382" w:type="pct"/>
            <w:shd w:val="clear" w:color="auto" w:fill="FFFFFF"/>
            <w:noWrap w:val="0"/>
            <w:tcMar>
              <w:top w:w="28" w:type="dxa"/>
              <w:left w:w="28" w:type="dxa"/>
              <w:bottom w:w="28" w:type="dxa"/>
              <w:right w:w="28" w:type="dxa"/>
            </w:tcMar>
            <w:vAlign w:val="center"/>
          </w:tcPr>
          <w:p w14:paraId="28E10D30">
            <w:pPr>
              <w:pStyle w:val="11"/>
              <w:bidi w:val="0"/>
              <w:jc w:val="center"/>
              <w:rPr>
                <w:rFonts w:hint="eastAsia"/>
                <w:color w:val="000000"/>
              </w:rPr>
            </w:pPr>
            <w:r>
              <w:rPr>
                <w:rFonts w:hint="eastAsia"/>
                <w:color w:val="000000"/>
              </w:rPr>
              <w:t>305</w:t>
            </w:r>
          </w:p>
        </w:tc>
        <w:tc>
          <w:tcPr>
            <w:tcW w:w="1382" w:type="pct"/>
            <w:shd w:val="clear" w:color="auto" w:fill="FFFFFF"/>
            <w:noWrap w:val="0"/>
            <w:tcMar>
              <w:top w:w="28" w:type="dxa"/>
              <w:bottom w:w="28" w:type="dxa"/>
              <w:right w:w="28" w:type="dxa"/>
            </w:tcMar>
            <w:vAlign w:val="center"/>
          </w:tcPr>
          <w:p w14:paraId="04259EFF">
            <w:pPr>
              <w:pStyle w:val="11"/>
              <w:bidi w:val="0"/>
              <w:jc w:val="center"/>
              <w:rPr>
                <w:rFonts w:hint="eastAsia"/>
                <w:color w:val="000000"/>
              </w:rPr>
            </w:pPr>
            <w:r>
              <w:rPr>
                <w:rFonts w:hint="eastAsia"/>
                <w:color w:val="000000"/>
              </w:rPr>
              <w:t>-90.0</w:t>
            </w:r>
          </w:p>
        </w:tc>
      </w:tr>
      <w:tr w14:paraId="37649E4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0684CFCE">
            <w:pPr>
              <w:pStyle w:val="11"/>
              <w:bidi w:val="0"/>
              <w:rPr>
                <w:rFonts w:hint="eastAsia" w:eastAsia="宋体"/>
                <w:color w:val="000000"/>
                <w:lang w:eastAsia="zh-CN"/>
              </w:rPr>
            </w:pPr>
            <w:r>
              <w:rPr>
                <w:rFonts w:hint="eastAsia"/>
                <w:color w:val="000000"/>
              </w:rPr>
              <w:t>电力、热力生产和供应业</w:t>
            </w:r>
          </w:p>
        </w:tc>
        <w:tc>
          <w:tcPr>
            <w:tcW w:w="1382" w:type="pct"/>
            <w:shd w:val="clear" w:color="auto" w:fill="FFFFFF"/>
            <w:noWrap w:val="0"/>
            <w:tcMar>
              <w:top w:w="28" w:type="dxa"/>
              <w:left w:w="28" w:type="dxa"/>
              <w:bottom w:w="28" w:type="dxa"/>
              <w:right w:w="28" w:type="dxa"/>
            </w:tcMar>
            <w:vAlign w:val="center"/>
          </w:tcPr>
          <w:p w14:paraId="26839218">
            <w:pPr>
              <w:pStyle w:val="11"/>
              <w:bidi w:val="0"/>
              <w:jc w:val="center"/>
              <w:rPr>
                <w:rFonts w:hint="eastAsia"/>
                <w:color w:val="000000"/>
              </w:rPr>
            </w:pPr>
            <w:r>
              <w:rPr>
                <w:rFonts w:hint="eastAsia"/>
                <w:color w:val="000000"/>
              </w:rPr>
              <w:t>27458</w:t>
            </w:r>
          </w:p>
        </w:tc>
        <w:tc>
          <w:tcPr>
            <w:tcW w:w="1382" w:type="pct"/>
            <w:shd w:val="clear" w:color="auto" w:fill="FFFFFF"/>
            <w:noWrap w:val="0"/>
            <w:tcMar>
              <w:top w:w="28" w:type="dxa"/>
              <w:bottom w:w="28" w:type="dxa"/>
              <w:right w:w="28" w:type="dxa"/>
            </w:tcMar>
            <w:vAlign w:val="center"/>
          </w:tcPr>
          <w:p w14:paraId="183D7054">
            <w:pPr>
              <w:pStyle w:val="11"/>
              <w:bidi w:val="0"/>
              <w:jc w:val="center"/>
              <w:rPr>
                <w:rFonts w:hint="eastAsia"/>
                <w:color w:val="000000"/>
              </w:rPr>
            </w:pPr>
            <w:r>
              <w:rPr>
                <w:rFonts w:hint="eastAsia"/>
                <w:color w:val="000000"/>
              </w:rPr>
              <w:t>38.1</w:t>
            </w:r>
          </w:p>
        </w:tc>
      </w:tr>
      <w:tr w14:paraId="6C13C6D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2235" w:type="pct"/>
            <w:shd w:val="clear" w:color="auto" w:fill="FFFFFF"/>
            <w:noWrap w:val="0"/>
            <w:tcMar>
              <w:left w:w="397" w:type="dxa"/>
            </w:tcMar>
            <w:vAlign w:val="center"/>
          </w:tcPr>
          <w:p w14:paraId="4B4905BD">
            <w:pPr>
              <w:pStyle w:val="11"/>
              <w:bidi w:val="0"/>
              <w:rPr>
                <w:rFonts w:hint="eastAsia"/>
                <w:color w:val="000000"/>
              </w:rPr>
            </w:pPr>
            <w:r>
              <w:rPr>
                <w:rFonts w:hint="eastAsia"/>
                <w:color w:val="000000"/>
              </w:rPr>
              <w:t>燃气生产和供应业</w:t>
            </w:r>
          </w:p>
        </w:tc>
        <w:tc>
          <w:tcPr>
            <w:tcW w:w="1382" w:type="pct"/>
            <w:shd w:val="clear" w:color="auto" w:fill="FFFFFF"/>
            <w:noWrap w:val="0"/>
            <w:tcMar>
              <w:top w:w="28" w:type="dxa"/>
              <w:left w:w="28" w:type="dxa"/>
              <w:bottom w:w="28" w:type="dxa"/>
              <w:right w:w="28" w:type="dxa"/>
            </w:tcMar>
            <w:vAlign w:val="center"/>
          </w:tcPr>
          <w:p w14:paraId="043D1947">
            <w:pPr>
              <w:pStyle w:val="11"/>
              <w:bidi w:val="0"/>
              <w:jc w:val="center"/>
              <w:rPr>
                <w:rFonts w:hint="eastAsia"/>
                <w:color w:val="000000"/>
              </w:rPr>
            </w:pPr>
            <w:r>
              <w:rPr>
                <w:rFonts w:hint="eastAsia"/>
                <w:color w:val="000000"/>
              </w:rPr>
              <w:t>903</w:t>
            </w:r>
          </w:p>
        </w:tc>
        <w:tc>
          <w:tcPr>
            <w:tcW w:w="1382" w:type="pct"/>
            <w:shd w:val="clear" w:color="auto" w:fill="FFFFFF"/>
            <w:noWrap w:val="0"/>
            <w:tcMar>
              <w:top w:w="28" w:type="dxa"/>
              <w:bottom w:w="28" w:type="dxa"/>
              <w:right w:w="28" w:type="dxa"/>
            </w:tcMar>
            <w:vAlign w:val="center"/>
          </w:tcPr>
          <w:p w14:paraId="717C4B28">
            <w:pPr>
              <w:pStyle w:val="11"/>
              <w:bidi w:val="0"/>
              <w:jc w:val="center"/>
              <w:rPr>
                <w:rFonts w:hint="eastAsia"/>
                <w:color w:val="000000"/>
              </w:rPr>
            </w:pPr>
            <w:r>
              <w:rPr>
                <w:rFonts w:hint="eastAsia"/>
                <w:color w:val="000000"/>
              </w:rPr>
              <w:t>13.5</w:t>
            </w:r>
          </w:p>
        </w:tc>
      </w:tr>
      <w:tr w14:paraId="321FA1D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2235" w:type="pct"/>
            <w:shd w:val="clear" w:color="auto" w:fill="FFFFFF"/>
            <w:noWrap w:val="0"/>
            <w:tcMar>
              <w:left w:w="397" w:type="dxa"/>
            </w:tcMar>
            <w:vAlign w:val="center"/>
          </w:tcPr>
          <w:p w14:paraId="4F687ED3">
            <w:pPr>
              <w:pStyle w:val="11"/>
              <w:bidi w:val="0"/>
              <w:rPr>
                <w:rFonts w:hint="eastAsia"/>
                <w:color w:val="000000"/>
              </w:rPr>
            </w:pPr>
            <w:r>
              <w:rPr>
                <w:rFonts w:hint="eastAsia"/>
                <w:color w:val="000000"/>
              </w:rPr>
              <w:t>水的生产和供应业</w:t>
            </w:r>
          </w:p>
        </w:tc>
        <w:tc>
          <w:tcPr>
            <w:tcW w:w="1382" w:type="pct"/>
            <w:shd w:val="clear" w:color="auto" w:fill="FFFFFF"/>
            <w:noWrap w:val="0"/>
            <w:tcMar>
              <w:top w:w="28" w:type="dxa"/>
              <w:left w:w="28" w:type="dxa"/>
              <w:bottom w:w="28" w:type="dxa"/>
              <w:right w:w="28" w:type="dxa"/>
            </w:tcMar>
            <w:vAlign w:val="center"/>
          </w:tcPr>
          <w:p w14:paraId="306BED71">
            <w:pPr>
              <w:pStyle w:val="11"/>
              <w:bidi w:val="0"/>
              <w:jc w:val="center"/>
              <w:rPr>
                <w:rFonts w:hint="eastAsia"/>
                <w:color w:val="000000"/>
              </w:rPr>
            </w:pPr>
            <w:r>
              <w:rPr>
                <w:rFonts w:hint="eastAsia"/>
                <w:color w:val="000000"/>
              </w:rPr>
              <w:t>946</w:t>
            </w:r>
          </w:p>
        </w:tc>
        <w:tc>
          <w:tcPr>
            <w:tcW w:w="1382" w:type="pct"/>
            <w:shd w:val="clear" w:color="auto" w:fill="FFFFFF"/>
            <w:noWrap w:val="0"/>
            <w:tcMar>
              <w:top w:w="28" w:type="dxa"/>
              <w:bottom w:w="28" w:type="dxa"/>
              <w:right w:w="28" w:type="dxa"/>
            </w:tcMar>
            <w:vAlign w:val="center"/>
          </w:tcPr>
          <w:p w14:paraId="6AD71BD4">
            <w:pPr>
              <w:pStyle w:val="11"/>
              <w:bidi w:val="0"/>
              <w:jc w:val="center"/>
              <w:rPr>
                <w:rFonts w:hint="eastAsia"/>
                <w:color w:val="000000"/>
              </w:rPr>
            </w:pPr>
            <w:r>
              <w:rPr>
                <w:rFonts w:hint="eastAsia"/>
                <w:color w:val="000000"/>
              </w:rPr>
              <w:t>-1.0</w:t>
            </w:r>
          </w:p>
        </w:tc>
      </w:tr>
    </w:tbl>
    <w:p w14:paraId="1D82F6F4">
      <w:pPr>
        <w:bidi w:val="0"/>
        <w:ind w:left="0" w:leftChars="0" w:firstLine="0" w:firstLineChars="0"/>
        <w:jc w:val="center"/>
        <w:rPr>
          <w:rFonts w:hint="eastAsia"/>
          <w:b/>
          <w:bCs/>
        </w:rPr>
      </w:pPr>
      <w:r>
        <w:rPr>
          <w:rFonts w:hint="eastAsia"/>
          <w:b/>
          <w:bCs/>
        </w:rPr>
        <w:t>表30</w:t>
      </w:r>
      <w:r>
        <w:rPr>
          <w:rFonts w:hint="eastAsia"/>
          <w:b/>
          <w:bCs/>
          <w:lang w:val="en-US" w:eastAsia="zh-CN"/>
        </w:rPr>
        <w:t xml:space="preserve">  </w:t>
      </w:r>
      <w:r>
        <w:rPr>
          <w:rFonts w:hint="eastAsia"/>
          <w:b/>
          <w:bCs/>
        </w:rPr>
        <w:t>2018年南雄市规模以上工业主要产品产量</w:t>
      </w:r>
    </w:p>
    <w:tbl>
      <w:tblPr>
        <w:tblStyle w:val="8"/>
        <w:tblW w:w="498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04"/>
        <w:gridCol w:w="2043"/>
        <w:gridCol w:w="2043"/>
        <w:gridCol w:w="2150"/>
      </w:tblGrid>
      <w:tr w14:paraId="3CCD9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285AD0D7">
            <w:pPr>
              <w:pStyle w:val="11"/>
              <w:bidi w:val="0"/>
              <w:jc w:val="center"/>
              <w:rPr>
                <w:rFonts w:hint="eastAsia"/>
                <w:b/>
                <w:bCs/>
                <w:lang w:eastAsia="zh-CN"/>
              </w:rPr>
            </w:pPr>
            <w:r>
              <w:rPr>
                <w:rFonts w:hint="eastAsia"/>
                <w:b/>
                <w:bCs/>
              </w:rPr>
              <w:t>产品名称</w:t>
            </w:r>
          </w:p>
        </w:tc>
        <w:tc>
          <w:tcPr>
            <w:tcW w:w="1027" w:type="pct"/>
            <w:tcBorders>
              <w:top w:val="single" w:color="000000" w:sz="4" w:space="0"/>
              <w:left w:val="single" w:color="000000" w:sz="4" w:space="0"/>
              <w:bottom w:val="single" w:color="000000" w:sz="4" w:space="0"/>
              <w:right w:val="single" w:color="000000" w:sz="4" w:space="0"/>
            </w:tcBorders>
            <w:vAlign w:val="center"/>
          </w:tcPr>
          <w:p w14:paraId="60E0FABD">
            <w:pPr>
              <w:pStyle w:val="11"/>
              <w:bidi w:val="0"/>
              <w:jc w:val="center"/>
              <w:rPr>
                <w:rFonts w:hint="eastAsia"/>
                <w:b/>
                <w:bCs/>
                <w:lang w:eastAsia="zh-CN"/>
              </w:rPr>
            </w:pPr>
            <w:r>
              <w:rPr>
                <w:rFonts w:hint="eastAsia"/>
                <w:b/>
                <w:bCs/>
              </w:rPr>
              <w:t>计量单位</w:t>
            </w:r>
          </w:p>
        </w:tc>
        <w:tc>
          <w:tcPr>
            <w:tcW w:w="1027" w:type="pct"/>
            <w:tcBorders>
              <w:top w:val="single" w:color="000000" w:sz="4" w:space="0"/>
              <w:left w:val="single" w:color="000000" w:sz="4" w:space="0"/>
              <w:bottom w:val="single" w:color="000000" w:sz="4" w:space="0"/>
              <w:right w:val="single" w:color="000000" w:sz="4" w:space="0"/>
            </w:tcBorders>
            <w:vAlign w:val="center"/>
          </w:tcPr>
          <w:p w14:paraId="1C0D3247">
            <w:pPr>
              <w:pStyle w:val="11"/>
              <w:bidi w:val="0"/>
              <w:jc w:val="center"/>
              <w:rPr>
                <w:rFonts w:hint="eastAsia"/>
                <w:b/>
                <w:bCs/>
                <w:lang w:eastAsia="zh-CN"/>
              </w:rPr>
            </w:pPr>
            <w:r>
              <w:rPr>
                <w:rFonts w:hint="eastAsia"/>
                <w:b/>
                <w:bCs/>
              </w:rPr>
              <w:t>产量</w:t>
            </w:r>
          </w:p>
        </w:tc>
        <w:tc>
          <w:tcPr>
            <w:tcW w:w="1081" w:type="pct"/>
            <w:tcBorders>
              <w:top w:val="single" w:color="000000" w:sz="4" w:space="0"/>
              <w:left w:val="single" w:color="000000" w:sz="4" w:space="0"/>
              <w:bottom w:val="single" w:color="000000" w:sz="4" w:space="0"/>
              <w:right w:val="nil"/>
            </w:tcBorders>
            <w:vAlign w:val="center"/>
          </w:tcPr>
          <w:p w14:paraId="3C09CEF0">
            <w:pPr>
              <w:pStyle w:val="11"/>
              <w:bidi w:val="0"/>
              <w:jc w:val="center"/>
              <w:rPr>
                <w:rFonts w:hint="eastAsia"/>
                <w:b/>
                <w:bCs/>
                <w:lang w:eastAsia="zh-CN"/>
              </w:rPr>
            </w:pPr>
            <w:r>
              <w:rPr>
                <w:rFonts w:hint="eastAsia"/>
                <w:b/>
                <w:bCs/>
              </w:rPr>
              <w:t>比上年增长（%）</w:t>
            </w:r>
          </w:p>
        </w:tc>
      </w:tr>
      <w:tr w14:paraId="4F4BF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3149959D">
            <w:pPr>
              <w:pStyle w:val="11"/>
              <w:bidi w:val="0"/>
              <w:ind w:leftChars="100"/>
              <w:jc w:val="both"/>
              <w:rPr>
                <w:rFonts w:hint="eastAsia"/>
                <w:lang w:eastAsia="zh-CN"/>
              </w:rPr>
            </w:pPr>
            <w:r>
              <w:rPr>
                <w:rFonts w:hint="eastAsia"/>
              </w:rPr>
              <w:t>大米</w:t>
            </w:r>
          </w:p>
        </w:tc>
        <w:tc>
          <w:tcPr>
            <w:tcW w:w="1027" w:type="pct"/>
            <w:tcBorders>
              <w:top w:val="single" w:color="000000" w:sz="4" w:space="0"/>
              <w:left w:val="single" w:color="000000" w:sz="4" w:space="0"/>
              <w:bottom w:val="single" w:color="000000" w:sz="4" w:space="0"/>
              <w:right w:val="single" w:color="000000" w:sz="4" w:space="0"/>
            </w:tcBorders>
            <w:vAlign w:val="center"/>
          </w:tcPr>
          <w:p w14:paraId="27763B21">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4D6140BA">
            <w:pPr>
              <w:pStyle w:val="11"/>
              <w:bidi w:val="0"/>
              <w:jc w:val="center"/>
              <w:rPr>
                <w:rFonts w:hint="eastAsia"/>
                <w:lang w:eastAsia="zh-CN"/>
              </w:rPr>
            </w:pPr>
            <w:r>
              <w:rPr>
                <w:rFonts w:hint="eastAsia"/>
              </w:rPr>
              <w:t>8645</w:t>
            </w:r>
          </w:p>
        </w:tc>
        <w:tc>
          <w:tcPr>
            <w:tcW w:w="1081" w:type="pct"/>
            <w:tcBorders>
              <w:top w:val="single" w:color="000000" w:sz="4" w:space="0"/>
              <w:left w:val="single" w:color="000000" w:sz="4" w:space="0"/>
              <w:bottom w:val="single" w:color="000000" w:sz="4" w:space="0"/>
              <w:right w:val="nil"/>
            </w:tcBorders>
            <w:vAlign w:val="center"/>
          </w:tcPr>
          <w:p w14:paraId="28367A10">
            <w:pPr>
              <w:pStyle w:val="11"/>
              <w:bidi w:val="0"/>
              <w:jc w:val="center"/>
              <w:rPr>
                <w:rFonts w:hint="eastAsia"/>
                <w:lang w:eastAsia="zh-CN"/>
              </w:rPr>
            </w:pPr>
            <w:r>
              <w:rPr>
                <w:rFonts w:hint="eastAsia"/>
              </w:rPr>
              <w:t>12.6</w:t>
            </w:r>
          </w:p>
        </w:tc>
      </w:tr>
      <w:tr w14:paraId="11CE0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4B5DDE69">
            <w:pPr>
              <w:pStyle w:val="11"/>
              <w:bidi w:val="0"/>
              <w:ind w:leftChars="100"/>
              <w:jc w:val="both"/>
              <w:rPr>
                <w:rFonts w:hint="eastAsia"/>
                <w:lang w:eastAsia="zh-CN"/>
              </w:rPr>
            </w:pPr>
            <w:r>
              <w:rPr>
                <w:rFonts w:hint="eastAsia"/>
              </w:rPr>
              <w:t>饲料</w:t>
            </w:r>
          </w:p>
        </w:tc>
        <w:tc>
          <w:tcPr>
            <w:tcW w:w="1027" w:type="pct"/>
            <w:tcBorders>
              <w:top w:val="single" w:color="000000" w:sz="4" w:space="0"/>
              <w:left w:val="single" w:color="000000" w:sz="4" w:space="0"/>
              <w:bottom w:val="single" w:color="000000" w:sz="4" w:space="0"/>
              <w:right w:val="single" w:color="000000" w:sz="4" w:space="0"/>
            </w:tcBorders>
            <w:vAlign w:val="center"/>
          </w:tcPr>
          <w:p w14:paraId="2891F91E">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32BD7F6A">
            <w:pPr>
              <w:pStyle w:val="11"/>
              <w:bidi w:val="0"/>
              <w:jc w:val="center"/>
              <w:rPr>
                <w:rFonts w:hint="eastAsia"/>
                <w:lang w:eastAsia="zh-CN"/>
              </w:rPr>
            </w:pPr>
            <w:r>
              <w:rPr>
                <w:rFonts w:hint="eastAsia"/>
              </w:rPr>
              <w:t>164680</w:t>
            </w:r>
          </w:p>
        </w:tc>
        <w:tc>
          <w:tcPr>
            <w:tcW w:w="1081" w:type="pct"/>
            <w:tcBorders>
              <w:top w:val="single" w:color="000000" w:sz="4" w:space="0"/>
              <w:left w:val="single" w:color="000000" w:sz="4" w:space="0"/>
              <w:bottom w:val="single" w:color="000000" w:sz="4" w:space="0"/>
              <w:right w:val="nil"/>
            </w:tcBorders>
            <w:vAlign w:val="center"/>
          </w:tcPr>
          <w:p w14:paraId="44B58DEC">
            <w:pPr>
              <w:pStyle w:val="11"/>
              <w:bidi w:val="0"/>
              <w:jc w:val="center"/>
              <w:rPr>
                <w:rFonts w:hint="eastAsia"/>
                <w:lang w:eastAsia="zh-CN"/>
              </w:rPr>
            </w:pPr>
            <w:r>
              <w:rPr>
                <w:rFonts w:hint="eastAsia"/>
              </w:rPr>
              <w:t>-15.4</w:t>
            </w:r>
          </w:p>
        </w:tc>
      </w:tr>
      <w:tr w14:paraId="5268C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7474713F">
            <w:pPr>
              <w:pStyle w:val="11"/>
              <w:bidi w:val="0"/>
              <w:ind w:leftChars="100"/>
              <w:jc w:val="both"/>
              <w:rPr>
                <w:rFonts w:hint="eastAsia"/>
                <w:lang w:eastAsia="zh-CN"/>
              </w:rPr>
            </w:pPr>
            <w:r>
              <w:rPr>
                <w:rFonts w:hint="eastAsia"/>
              </w:rPr>
              <w:t>精制食用植物油</w:t>
            </w:r>
          </w:p>
        </w:tc>
        <w:tc>
          <w:tcPr>
            <w:tcW w:w="1027" w:type="pct"/>
            <w:tcBorders>
              <w:top w:val="single" w:color="000000" w:sz="4" w:space="0"/>
              <w:left w:val="single" w:color="000000" w:sz="4" w:space="0"/>
              <w:bottom w:val="single" w:color="000000" w:sz="4" w:space="0"/>
              <w:right w:val="single" w:color="000000" w:sz="4" w:space="0"/>
            </w:tcBorders>
            <w:vAlign w:val="center"/>
          </w:tcPr>
          <w:p w14:paraId="0044D0B4">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5C577CB2">
            <w:pPr>
              <w:pStyle w:val="11"/>
              <w:bidi w:val="0"/>
              <w:jc w:val="center"/>
              <w:rPr>
                <w:rFonts w:hint="eastAsia"/>
                <w:lang w:eastAsia="zh-CN"/>
              </w:rPr>
            </w:pPr>
            <w:r>
              <w:rPr>
                <w:rFonts w:hint="eastAsia"/>
              </w:rPr>
              <w:t>490</w:t>
            </w:r>
          </w:p>
        </w:tc>
        <w:tc>
          <w:tcPr>
            <w:tcW w:w="1081" w:type="pct"/>
            <w:tcBorders>
              <w:top w:val="single" w:color="000000" w:sz="4" w:space="0"/>
              <w:left w:val="single" w:color="000000" w:sz="4" w:space="0"/>
              <w:bottom w:val="single" w:color="000000" w:sz="4" w:space="0"/>
              <w:right w:val="nil"/>
            </w:tcBorders>
            <w:vAlign w:val="center"/>
          </w:tcPr>
          <w:p w14:paraId="1FB68902">
            <w:pPr>
              <w:pStyle w:val="11"/>
              <w:bidi w:val="0"/>
              <w:jc w:val="center"/>
              <w:rPr>
                <w:rFonts w:hint="eastAsia"/>
                <w:lang w:eastAsia="zh-CN"/>
              </w:rPr>
            </w:pPr>
            <w:r>
              <w:rPr>
                <w:rFonts w:hint="eastAsia"/>
              </w:rPr>
              <w:t>-6.7</w:t>
            </w:r>
          </w:p>
        </w:tc>
      </w:tr>
      <w:tr w14:paraId="09467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50BBF1C6">
            <w:pPr>
              <w:pStyle w:val="11"/>
              <w:bidi w:val="0"/>
              <w:ind w:leftChars="100"/>
              <w:jc w:val="both"/>
              <w:rPr>
                <w:rFonts w:hint="eastAsia"/>
                <w:lang w:eastAsia="zh-CN"/>
              </w:rPr>
            </w:pPr>
            <w:r>
              <w:rPr>
                <w:rFonts w:hint="eastAsia"/>
              </w:rPr>
              <w:t>鲜、冷藏肉</w:t>
            </w:r>
          </w:p>
        </w:tc>
        <w:tc>
          <w:tcPr>
            <w:tcW w:w="1027" w:type="pct"/>
            <w:tcBorders>
              <w:top w:val="single" w:color="000000" w:sz="4" w:space="0"/>
              <w:left w:val="single" w:color="000000" w:sz="4" w:space="0"/>
              <w:bottom w:val="single" w:color="000000" w:sz="4" w:space="0"/>
              <w:right w:val="single" w:color="000000" w:sz="4" w:space="0"/>
            </w:tcBorders>
            <w:vAlign w:val="center"/>
          </w:tcPr>
          <w:p w14:paraId="668EE4C1">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7B17E825">
            <w:pPr>
              <w:pStyle w:val="11"/>
              <w:bidi w:val="0"/>
              <w:jc w:val="center"/>
              <w:rPr>
                <w:rFonts w:hint="eastAsia"/>
                <w:lang w:eastAsia="zh-CN"/>
              </w:rPr>
            </w:pPr>
            <w:r>
              <w:rPr>
                <w:rFonts w:hint="eastAsia"/>
              </w:rPr>
              <w:t>2771</w:t>
            </w:r>
          </w:p>
        </w:tc>
        <w:tc>
          <w:tcPr>
            <w:tcW w:w="1081" w:type="pct"/>
            <w:tcBorders>
              <w:top w:val="single" w:color="000000" w:sz="4" w:space="0"/>
              <w:left w:val="single" w:color="000000" w:sz="4" w:space="0"/>
              <w:bottom w:val="single" w:color="000000" w:sz="4" w:space="0"/>
              <w:right w:val="nil"/>
            </w:tcBorders>
            <w:vAlign w:val="center"/>
          </w:tcPr>
          <w:p w14:paraId="0A1E9480">
            <w:pPr>
              <w:pStyle w:val="11"/>
              <w:bidi w:val="0"/>
              <w:jc w:val="center"/>
              <w:rPr>
                <w:rFonts w:hint="eastAsia"/>
                <w:lang w:eastAsia="zh-CN"/>
              </w:rPr>
            </w:pPr>
            <w:r>
              <w:rPr>
                <w:rFonts w:hint="eastAsia"/>
              </w:rPr>
              <w:t>206.9</w:t>
            </w:r>
          </w:p>
        </w:tc>
      </w:tr>
      <w:tr w14:paraId="00ED7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5F99BD3A">
            <w:pPr>
              <w:pStyle w:val="11"/>
              <w:bidi w:val="0"/>
              <w:ind w:leftChars="100"/>
              <w:jc w:val="both"/>
              <w:rPr>
                <w:rFonts w:hint="eastAsia"/>
                <w:lang w:eastAsia="zh-CN"/>
              </w:rPr>
            </w:pPr>
            <w:r>
              <w:rPr>
                <w:rFonts w:hint="eastAsia"/>
              </w:rPr>
              <w:t>饮料酒</w:t>
            </w:r>
          </w:p>
        </w:tc>
        <w:tc>
          <w:tcPr>
            <w:tcW w:w="1027" w:type="pct"/>
            <w:tcBorders>
              <w:top w:val="single" w:color="000000" w:sz="4" w:space="0"/>
              <w:left w:val="single" w:color="000000" w:sz="4" w:space="0"/>
              <w:bottom w:val="single" w:color="000000" w:sz="4" w:space="0"/>
              <w:right w:val="single" w:color="000000" w:sz="4" w:space="0"/>
            </w:tcBorders>
            <w:vAlign w:val="center"/>
          </w:tcPr>
          <w:p w14:paraId="2AC2235F">
            <w:pPr>
              <w:pStyle w:val="11"/>
              <w:bidi w:val="0"/>
              <w:jc w:val="center"/>
              <w:rPr>
                <w:rFonts w:hint="eastAsia"/>
                <w:lang w:eastAsia="zh-CN"/>
              </w:rPr>
            </w:pPr>
            <w:r>
              <w:rPr>
                <w:rFonts w:hint="eastAsia"/>
              </w:rPr>
              <w:t>千升</w:t>
            </w:r>
          </w:p>
        </w:tc>
        <w:tc>
          <w:tcPr>
            <w:tcW w:w="1027" w:type="pct"/>
            <w:tcBorders>
              <w:top w:val="single" w:color="000000" w:sz="4" w:space="0"/>
              <w:left w:val="single" w:color="000000" w:sz="4" w:space="0"/>
              <w:bottom w:val="single" w:color="000000" w:sz="4" w:space="0"/>
              <w:right w:val="single" w:color="000000" w:sz="4" w:space="0"/>
            </w:tcBorders>
            <w:vAlign w:val="center"/>
          </w:tcPr>
          <w:p w14:paraId="17291350">
            <w:pPr>
              <w:pStyle w:val="11"/>
              <w:bidi w:val="0"/>
              <w:jc w:val="center"/>
              <w:rPr>
                <w:rFonts w:hint="eastAsia"/>
                <w:lang w:eastAsia="zh-CN"/>
              </w:rPr>
            </w:pPr>
            <w:r>
              <w:rPr>
                <w:rFonts w:hint="eastAsia"/>
              </w:rPr>
              <w:t>14</w:t>
            </w:r>
          </w:p>
        </w:tc>
        <w:tc>
          <w:tcPr>
            <w:tcW w:w="1081" w:type="pct"/>
            <w:tcBorders>
              <w:top w:val="single" w:color="000000" w:sz="4" w:space="0"/>
              <w:left w:val="single" w:color="000000" w:sz="4" w:space="0"/>
              <w:bottom w:val="single" w:color="000000" w:sz="4" w:space="0"/>
              <w:right w:val="nil"/>
            </w:tcBorders>
            <w:vAlign w:val="center"/>
          </w:tcPr>
          <w:p w14:paraId="33F898D5">
            <w:pPr>
              <w:pStyle w:val="11"/>
              <w:bidi w:val="0"/>
              <w:jc w:val="center"/>
              <w:rPr>
                <w:rFonts w:hint="eastAsia"/>
                <w:lang w:eastAsia="zh-CN"/>
              </w:rPr>
            </w:pPr>
            <w:r>
              <w:rPr>
                <w:rFonts w:hint="eastAsia"/>
              </w:rPr>
              <w:t>-91.5</w:t>
            </w:r>
          </w:p>
        </w:tc>
      </w:tr>
      <w:tr w14:paraId="39334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76F6A799">
            <w:pPr>
              <w:pStyle w:val="11"/>
              <w:bidi w:val="0"/>
              <w:ind w:leftChars="200"/>
              <w:jc w:val="both"/>
              <w:rPr>
                <w:rFonts w:hint="eastAsia"/>
                <w:lang w:eastAsia="zh-CN"/>
              </w:rPr>
            </w:pPr>
            <w:r>
              <w:rPr>
                <w:rFonts w:hint="eastAsia"/>
              </w:rPr>
              <w:t>其中：白酒（折65度，商品量）</w:t>
            </w:r>
          </w:p>
        </w:tc>
        <w:tc>
          <w:tcPr>
            <w:tcW w:w="1027" w:type="pct"/>
            <w:tcBorders>
              <w:top w:val="single" w:color="000000" w:sz="4" w:space="0"/>
              <w:left w:val="single" w:color="000000" w:sz="4" w:space="0"/>
              <w:bottom w:val="single" w:color="000000" w:sz="4" w:space="0"/>
              <w:right w:val="single" w:color="000000" w:sz="4" w:space="0"/>
            </w:tcBorders>
            <w:vAlign w:val="center"/>
          </w:tcPr>
          <w:p w14:paraId="78C6ABD2">
            <w:pPr>
              <w:pStyle w:val="11"/>
              <w:bidi w:val="0"/>
              <w:jc w:val="center"/>
              <w:rPr>
                <w:rFonts w:hint="eastAsia"/>
                <w:lang w:eastAsia="zh-CN"/>
              </w:rPr>
            </w:pPr>
            <w:r>
              <w:rPr>
                <w:rFonts w:hint="eastAsia"/>
              </w:rPr>
              <w:t>千升</w:t>
            </w:r>
          </w:p>
        </w:tc>
        <w:tc>
          <w:tcPr>
            <w:tcW w:w="1027" w:type="pct"/>
            <w:tcBorders>
              <w:top w:val="single" w:color="000000" w:sz="4" w:space="0"/>
              <w:left w:val="single" w:color="000000" w:sz="4" w:space="0"/>
              <w:bottom w:val="single" w:color="000000" w:sz="4" w:space="0"/>
              <w:right w:val="single" w:color="000000" w:sz="4" w:space="0"/>
            </w:tcBorders>
            <w:vAlign w:val="center"/>
          </w:tcPr>
          <w:p w14:paraId="0AF93839">
            <w:pPr>
              <w:pStyle w:val="11"/>
              <w:bidi w:val="0"/>
              <w:jc w:val="center"/>
              <w:rPr>
                <w:rFonts w:hint="eastAsia"/>
                <w:lang w:eastAsia="zh-CN"/>
              </w:rPr>
            </w:pPr>
            <w:r>
              <w:rPr>
                <w:rFonts w:hint="eastAsia"/>
              </w:rPr>
              <w:t>14</w:t>
            </w:r>
          </w:p>
        </w:tc>
        <w:tc>
          <w:tcPr>
            <w:tcW w:w="1081" w:type="pct"/>
            <w:tcBorders>
              <w:top w:val="single" w:color="000000" w:sz="4" w:space="0"/>
              <w:left w:val="single" w:color="000000" w:sz="4" w:space="0"/>
              <w:bottom w:val="single" w:color="000000" w:sz="4" w:space="0"/>
              <w:right w:val="nil"/>
            </w:tcBorders>
            <w:vAlign w:val="center"/>
          </w:tcPr>
          <w:p w14:paraId="3742E6B5">
            <w:pPr>
              <w:pStyle w:val="11"/>
              <w:bidi w:val="0"/>
              <w:jc w:val="center"/>
              <w:rPr>
                <w:rFonts w:hint="eastAsia"/>
                <w:lang w:eastAsia="zh-CN"/>
              </w:rPr>
            </w:pPr>
            <w:r>
              <w:rPr>
                <w:rFonts w:hint="eastAsia"/>
              </w:rPr>
              <w:t>-91.5</w:t>
            </w:r>
          </w:p>
        </w:tc>
      </w:tr>
      <w:tr w14:paraId="702F4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19A8B410">
            <w:pPr>
              <w:pStyle w:val="11"/>
              <w:bidi w:val="0"/>
              <w:ind w:leftChars="100"/>
              <w:jc w:val="both"/>
              <w:rPr>
                <w:rFonts w:hint="eastAsia"/>
                <w:lang w:eastAsia="zh-CN"/>
              </w:rPr>
            </w:pPr>
            <w:r>
              <w:rPr>
                <w:rFonts w:hint="eastAsia"/>
              </w:rPr>
              <w:t>服装</w:t>
            </w:r>
          </w:p>
        </w:tc>
        <w:tc>
          <w:tcPr>
            <w:tcW w:w="1027" w:type="pct"/>
            <w:tcBorders>
              <w:top w:val="single" w:color="000000" w:sz="4" w:space="0"/>
              <w:left w:val="single" w:color="000000" w:sz="4" w:space="0"/>
              <w:bottom w:val="single" w:color="000000" w:sz="4" w:space="0"/>
              <w:right w:val="single" w:color="000000" w:sz="4" w:space="0"/>
            </w:tcBorders>
            <w:vAlign w:val="center"/>
          </w:tcPr>
          <w:p w14:paraId="271EB23E">
            <w:pPr>
              <w:pStyle w:val="11"/>
              <w:bidi w:val="0"/>
              <w:jc w:val="center"/>
              <w:rPr>
                <w:rFonts w:hint="eastAsia"/>
                <w:lang w:eastAsia="zh-CN"/>
              </w:rPr>
            </w:pPr>
            <w:r>
              <w:rPr>
                <w:rFonts w:hint="eastAsia"/>
              </w:rPr>
              <w:t>万件</w:t>
            </w:r>
          </w:p>
        </w:tc>
        <w:tc>
          <w:tcPr>
            <w:tcW w:w="1027" w:type="pct"/>
            <w:tcBorders>
              <w:top w:val="single" w:color="000000" w:sz="4" w:space="0"/>
              <w:left w:val="single" w:color="000000" w:sz="4" w:space="0"/>
              <w:bottom w:val="single" w:color="000000" w:sz="4" w:space="0"/>
              <w:right w:val="single" w:color="000000" w:sz="4" w:space="0"/>
            </w:tcBorders>
            <w:vAlign w:val="center"/>
          </w:tcPr>
          <w:p w14:paraId="4511AB12">
            <w:pPr>
              <w:pStyle w:val="11"/>
              <w:bidi w:val="0"/>
              <w:jc w:val="center"/>
              <w:rPr>
                <w:rFonts w:hint="eastAsia"/>
                <w:lang w:eastAsia="zh-CN"/>
              </w:rPr>
            </w:pPr>
            <w:r>
              <w:rPr>
                <w:rFonts w:hint="eastAsia"/>
              </w:rPr>
              <w:t>230</w:t>
            </w:r>
          </w:p>
        </w:tc>
        <w:tc>
          <w:tcPr>
            <w:tcW w:w="1081" w:type="pct"/>
            <w:tcBorders>
              <w:top w:val="single" w:color="000000" w:sz="4" w:space="0"/>
              <w:left w:val="single" w:color="000000" w:sz="4" w:space="0"/>
              <w:bottom w:val="single" w:color="000000" w:sz="4" w:space="0"/>
              <w:right w:val="nil"/>
            </w:tcBorders>
            <w:vAlign w:val="center"/>
          </w:tcPr>
          <w:p w14:paraId="0E0F5BDA">
            <w:pPr>
              <w:pStyle w:val="11"/>
              <w:bidi w:val="0"/>
              <w:jc w:val="center"/>
              <w:rPr>
                <w:rFonts w:hint="eastAsia"/>
                <w:lang w:eastAsia="zh-CN"/>
              </w:rPr>
            </w:pPr>
            <w:r>
              <w:rPr>
                <w:rFonts w:hint="eastAsia"/>
              </w:rPr>
              <w:t>36.7</w:t>
            </w:r>
          </w:p>
        </w:tc>
      </w:tr>
      <w:tr w14:paraId="338BB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2EC68175">
            <w:pPr>
              <w:pStyle w:val="11"/>
              <w:bidi w:val="0"/>
              <w:ind w:leftChars="100"/>
              <w:jc w:val="both"/>
              <w:rPr>
                <w:rFonts w:hint="eastAsia"/>
                <w:lang w:eastAsia="zh-CN"/>
              </w:rPr>
            </w:pPr>
            <w:r>
              <w:rPr>
                <w:rFonts w:hint="eastAsia"/>
              </w:rPr>
              <w:t>家具</w:t>
            </w:r>
          </w:p>
        </w:tc>
        <w:tc>
          <w:tcPr>
            <w:tcW w:w="1027" w:type="pct"/>
            <w:tcBorders>
              <w:top w:val="single" w:color="000000" w:sz="4" w:space="0"/>
              <w:left w:val="single" w:color="000000" w:sz="4" w:space="0"/>
              <w:bottom w:val="single" w:color="000000" w:sz="4" w:space="0"/>
              <w:right w:val="single" w:color="000000" w:sz="4" w:space="0"/>
            </w:tcBorders>
            <w:vAlign w:val="center"/>
          </w:tcPr>
          <w:p w14:paraId="083901A8">
            <w:pPr>
              <w:pStyle w:val="11"/>
              <w:bidi w:val="0"/>
              <w:jc w:val="center"/>
              <w:rPr>
                <w:rFonts w:hint="eastAsia"/>
                <w:lang w:eastAsia="zh-CN"/>
              </w:rPr>
            </w:pPr>
            <w:r>
              <w:rPr>
                <w:rFonts w:hint="eastAsia"/>
              </w:rPr>
              <w:t>件</w:t>
            </w:r>
          </w:p>
        </w:tc>
        <w:tc>
          <w:tcPr>
            <w:tcW w:w="1027" w:type="pct"/>
            <w:tcBorders>
              <w:top w:val="single" w:color="000000" w:sz="4" w:space="0"/>
              <w:left w:val="single" w:color="000000" w:sz="4" w:space="0"/>
              <w:bottom w:val="single" w:color="000000" w:sz="4" w:space="0"/>
              <w:right w:val="single" w:color="000000" w:sz="4" w:space="0"/>
            </w:tcBorders>
            <w:vAlign w:val="center"/>
          </w:tcPr>
          <w:p w14:paraId="7282DCBA">
            <w:pPr>
              <w:pStyle w:val="11"/>
              <w:bidi w:val="0"/>
              <w:jc w:val="center"/>
              <w:rPr>
                <w:rFonts w:hint="eastAsia"/>
                <w:lang w:eastAsia="zh-CN"/>
              </w:rPr>
            </w:pPr>
            <w:r>
              <w:rPr>
                <w:rFonts w:hint="eastAsia"/>
              </w:rPr>
              <w:t>19974</w:t>
            </w:r>
          </w:p>
        </w:tc>
        <w:tc>
          <w:tcPr>
            <w:tcW w:w="1081" w:type="pct"/>
            <w:tcBorders>
              <w:top w:val="single" w:color="000000" w:sz="4" w:space="0"/>
              <w:left w:val="single" w:color="000000" w:sz="4" w:space="0"/>
              <w:bottom w:val="single" w:color="000000" w:sz="4" w:space="0"/>
              <w:right w:val="nil"/>
            </w:tcBorders>
            <w:vAlign w:val="center"/>
          </w:tcPr>
          <w:p w14:paraId="25CE0FB3">
            <w:pPr>
              <w:pStyle w:val="11"/>
              <w:bidi w:val="0"/>
              <w:jc w:val="center"/>
              <w:rPr>
                <w:rFonts w:hint="eastAsia"/>
                <w:lang w:eastAsia="zh-CN"/>
              </w:rPr>
            </w:pPr>
            <w:r>
              <w:rPr>
                <w:rFonts w:hint="eastAsia"/>
              </w:rPr>
              <w:t>352.6</w:t>
            </w:r>
          </w:p>
        </w:tc>
      </w:tr>
      <w:tr w14:paraId="62F4C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599198D7">
            <w:pPr>
              <w:pStyle w:val="11"/>
              <w:bidi w:val="0"/>
              <w:ind w:leftChars="200"/>
              <w:jc w:val="both"/>
              <w:rPr>
                <w:rFonts w:hint="eastAsia"/>
                <w:lang w:eastAsia="zh-CN"/>
              </w:rPr>
            </w:pPr>
            <w:r>
              <w:rPr>
                <w:rFonts w:hint="eastAsia"/>
              </w:rPr>
              <w:t>其中：木质家具</w:t>
            </w:r>
          </w:p>
        </w:tc>
        <w:tc>
          <w:tcPr>
            <w:tcW w:w="1027" w:type="pct"/>
            <w:tcBorders>
              <w:top w:val="single" w:color="000000" w:sz="4" w:space="0"/>
              <w:left w:val="single" w:color="000000" w:sz="4" w:space="0"/>
              <w:bottom w:val="single" w:color="000000" w:sz="4" w:space="0"/>
              <w:right w:val="single" w:color="000000" w:sz="4" w:space="0"/>
            </w:tcBorders>
            <w:vAlign w:val="center"/>
          </w:tcPr>
          <w:p w14:paraId="38CE6508">
            <w:pPr>
              <w:pStyle w:val="11"/>
              <w:bidi w:val="0"/>
              <w:jc w:val="center"/>
              <w:rPr>
                <w:rFonts w:hint="eastAsia"/>
                <w:lang w:eastAsia="zh-CN"/>
              </w:rPr>
            </w:pPr>
            <w:r>
              <w:rPr>
                <w:rFonts w:hint="eastAsia"/>
              </w:rPr>
              <w:t>件</w:t>
            </w:r>
          </w:p>
        </w:tc>
        <w:tc>
          <w:tcPr>
            <w:tcW w:w="1027" w:type="pct"/>
            <w:tcBorders>
              <w:top w:val="single" w:color="000000" w:sz="4" w:space="0"/>
              <w:left w:val="single" w:color="000000" w:sz="4" w:space="0"/>
              <w:bottom w:val="single" w:color="000000" w:sz="4" w:space="0"/>
              <w:right w:val="single" w:color="000000" w:sz="4" w:space="0"/>
            </w:tcBorders>
            <w:vAlign w:val="center"/>
          </w:tcPr>
          <w:p w14:paraId="3BEB2824">
            <w:pPr>
              <w:pStyle w:val="11"/>
              <w:bidi w:val="0"/>
              <w:jc w:val="center"/>
              <w:rPr>
                <w:rFonts w:hint="eastAsia"/>
                <w:lang w:eastAsia="zh-CN"/>
              </w:rPr>
            </w:pPr>
            <w:r>
              <w:rPr>
                <w:rFonts w:hint="eastAsia"/>
              </w:rPr>
              <w:t>19974</w:t>
            </w:r>
          </w:p>
        </w:tc>
        <w:tc>
          <w:tcPr>
            <w:tcW w:w="1081" w:type="pct"/>
            <w:tcBorders>
              <w:top w:val="single" w:color="000000" w:sz="4" w:space="0"/>
              <w:left w:val="single" w:color="000000" w:sz="4" w:space="0"/>
              <w:bottom w:val="single" w:color="000000" w:sz="4" w:space="0"/>
              <w:right w:val="nil"/>
            </w:tcBorders>
            <w:vAlign w:val="center"/>
          </w:tcPr>
          <w:p w14:paraId="257749B5">
            <w:pPr>
              <w:pStyle w:val="11"/>
              <w:bidi w:val="0"/>
              <w:jc w:val="center"/>
              <w:rPr>
                <w:rFonts w:hint="eastAsia"/>
                <w:lang w:eastAsia="zh-CN"/>
              </w:rPr>
            </w:pPr>
            <w:r>
              <w:rPr>
                <w:rFonts w:hint="eastAsia"/>
              </w:rPr>
              <w:t>352.6</w:t>
            </w:r>
          </w:p>
        </w:tc>
      </w:tr>
      <w:tr w14:paraId="4F1B8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3890CFCF">
            <w:pPr>
              <w:pStyle w:val="11"/>
              <w:bidi w:val="0"/>
              <w:ind w:leftChars="100"/>
              <w:jc w:val="both"/>
              <w:rPr>
                <w:rFonts w:hint="eastAsia"/>
                <w:lang w:eastAsia="zh-CN"/>
              </w:rPr>
            </w:pPr>
            <w:r>
              <w:rPr>
                <w:rFonts w:hint="eastAsia"/>
              </w:rPr>
              <w:t>机制纸及纸板（外购原纸加工除外）</w:t>
            </w:r>
          </w:p>
        </w:tc>
        <w:tc>
          <w:tcPr>
            <w:tcW w:w="1027" w:type="pct"/>
            <w:tcBorders>
              <w:top w:val="single" w:color="000000" w:sz="4" w:space="0"/>
              <w:left w:val="single" w:color="000000" w:sz="4" w:space="0"/>
              <w:bottom w:val="single" w:color="000000" w:sz="4" w:space="0"/>
              <w:right w:val="single" w:color="000000" w:sz="4" w:space="0"/>
            </w:tcBorders>
            <w:vAlign w:val="center"/>
          </w:tcPr>
          <w:p w14:paraId="098B0D24">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086572C5">
            <w:pPr>
              <w:pStyle w:val="11"/>
              <w:bidi w:val="0"/>
              <w:jc w:val="center"/>
              <w:rPr>
                <w:rFonts w:hint="eastAsia"/>
                <w:lang w:eastAsia="zh-CN"/>
              </w:rPr>
            </w:pPr>
            <w:r>
              <w:rPr>
                <w:rFonts w:hint="eastAsia"/>
              </w:rPr>
              <w:t>42827</w:t>
            </w:r>
          </w:p>
        </w:tc>
        <w:tc>
          <w:tcPr>
            <w:tcW w:w="1081" w:type="pct"/>
            <w:tcBorders>
              <w:top w:val="single" w:color="000000" w:sz="4" w:space="0"/>
              <w:left w:val="single" w:color="000000" w:sz="4" w:space="0"/>
              <w:bottom w:val="single" w:color="000000" w:sz="4" w:space="0"/>
              <w:right w:val="nil"/>
            </w:tcBorders>
            <w:vAlign w:val="center"/>
          </w:tcPr>
          <w:p w14:paraId="469525B8">
            <w:pPr>
              <w:pStyle w:val="11"/>
              <w:bidi w:val="0"/>
              <w:jc w:val="center"/>
              <w:rPr>
                <w:rFonts w:hint="eastAsia"/>
                <w:lang w:eastAsia="zh-CN"/>
              </w:rPr>
            </w:pPr>
            <w:r>
              <w:rPr>
                <w:rFonts w:hint="eastAsia"/>
              </w:rPr>
              <w:t>0.0</w:t>
            </w:r>
          </w:p>
        </w:tc>
      </w:tr>
      <w:tr w14:paraId="473D2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0E2366DD">
            <w:pPr>
              <w:pStyle w:val="11"/>
              <w:bidi w:val="0"/>
              <w:ind w:leftChars="200"/>
              <w:jc w:val="both"/>
              <w:rPr>
                <w:rFonts w:hint="eastAsia"/>
                <w:lang w:eastAsia="zh-CN"/>
              </w:rPr>
            </w:pPr>
            <w:r>
              <w:rPr>
                <w:rFonts w:hint="eastAsia"/>
              </w:rPr>
              <w:t>其中：卫生用纸原纸</w:t>
            </w:r>
          </w:p>
        </w:tc>
        <w:tc>
          <w:tcPr>
            <w:tcW w:w="1027" w:type="pct"/>
            <w:tcBorders>
              <w:top w:val="single" w:color="000000" w:sz="4" w:space="0"/>
              <w:left w:val="single" w:color="000000" w:sz="4" w:space="0"/>
              <w:bottom w:val="single" w:color="000000" w:sz="4" w:space="0"/>
              <w:right w:val="single" w:color="000000" w:sz="4" w:space="0"/>
            </w:tcBorders>
            <w:vAlign w:val="center"/>
          </w:tcPr>
          <w:p w14:paraId="321C1421">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6BE20652">
            <w:pPr>
              <w:pStyle w:val="11"/>
              <w:bidi w:val="0"/>
              <w:jc w:val="center"/>
              <w:rPr>
                <w:rFonts w:hint="eastAsia"/>
                <w:lang w:eastAsia="zh-CN"/>
              </w:rPr>
            </w:pPr>
            <w:r>
              <w:rPr>
                <w:rFonts w:hint="eastAsia"/>
              </w:rPr>
              <w:t>16566</w:t>
            </w:r>
          </w:p>
        </w:tc>
        <w:tc>
          <w:tcPr>
            <w:tcW w:w="1081" w:type="pct"/>
            <w:tcBorders>
              <w:top w:val="single" w:color="000000" w:sz="4" w:space="0"/>
              <w:left w:val="single" w:color="000000" w:sz="4" w:space="0"/>
              <w:bottom w:val="single" w:color="000000" w:sz="4" w:space="0"/>
              <w:right w:val="nil"/>
            </w:tcBorders>
            <w:vAlign w:val="center"/>
          </w:tcPr>
          <w:p w14:paraId="340D579F">
            <w:pPr>
              <w:pStyle w:val="11"/>
              <w:bidi w:val="0"/>
              <w:jc w:val="center"/>
              <w:rPr>
                <w:rFonts w:hint="eastAsia"/>
                <w:lang w:eastAsia="zh-CN"/>
              </w:rPr>
            </w:pPr>
            <w:r>
              <w:rPr>
                <w:rFonts w:hint="eastAsia"/>
              </w:rPr>
              <w:t>0.0</w:t>
            </w:r>
          </w:p>
        </w:tc>
      </w:tr>
      <w:tr w14:paraId="7A0E1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3FE72087">
            <w:pPr>
              <w:pStyle w:val="11"/>
              <w:bidi w:val="0"/>
              <w:ind w:leftChars="100"/>
              <w:jc w:val="both"/>
              <w:rPr>
                <w:rFonts w:hint="eastAsia"/>
                <w:lang w:eastAsia="zh-CN"/>
              </w:rPr>
            </w:pPr>
            <w:r>
              <w:rPr>
                <w:rFonts w:hint="eastAsia"/>
              </w:rPr>
              <w:t>纸制品</w:t>
            </w:r>
          </w:p>
        </w:tc>
        <w:tc>
          <w:tcPr>
            <w:tcW w:w="1027" w:type="pct"/>
            <w:tcBorders>
              <w:top w:val="single" w:color="000000" w:sz="4" w:space="0"/>
              <w:left w:val="single" w:color="000000" w:sz="4" w:space="0"/>
              <w:bottom w:val="single" w:color="000000" w:sz="4" w:space="0"/>
              <w:right w:val="single" w:color="000000" w:sz="4" w:space="0"/>
            </w:tcBorders>
            <w:vAlign w:val="center"/>
          </w:tcPr>
          <w:p w14:paraId="66513FED">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058A934B">
            <w:pPr>
              <w:pStyle w:val="11"/>
              <w:bidi w:val="0"/>
              <w:jc w:val="center"/>
              <w:rPr>
                <w:rFonts w:hint="eastAsia"/>
                <w:lang w:eastAsia="zh-CN"/>
              </w:rPr>
            </w:pPr>
            <w:r>
              <w:rPr>
                <w:rFonts w:hint="eastAsia"/>
              </w:rPr>
              <w:t>21379</w:t>
            </w:r>
          </w:p>
        </w:tc>
        <w:tc>
          <w:tcPr>
            <w:tcW w:w="1081" w:type="pct"/>
            <w:tcBorders>
              <w:top w:val="single" w:color="000000" w:sz="4" w:space="0"/>
              <w:left w:val="single" w:color="000000" w:sz="4" w:space="0"/>
              <w:bottom w:val="single" w:color="000000" w:sz="4" w:space="0"/>
              <w:right w:val="nil"/>
            </w:tcBorders>
            <w:vAlign w:val="center"/>
          </w:tcPr>
          <w:p w14:paraId="3773DAB0">
            <w:pPr>
              <w:pStyle w:val="11"/>
              <w:bidi w:val="0"/>
              <w:jc w:val="center"/>
              <w:rPr>
                <w:rFonts w:hint="eastAsia"/>
                <w:lang w:eastAsia="zh-CN"/>
              </w:rPr>
            </w:pPr>
            <w:r>
              <w:rPr>
                <w:rFonts w:hint="eastAsia"/>
              </w:rPr>
              <w:t>33.5</w:t>
            </w:r>
          </w:p>
        </w:tc>
      </w:tr>
      <w:tr w14:paraId="3A786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7BD251C0">
            <w:pPr>
              <w:pStyle w:val="11"/>
              <w:bidi w:val="0"/>
              <w:ind w:leftChars="200"/>
              <w:jc w:val="both"/>
              <w:rPr>
                <w:rFonts w:hint="eastAsia"/>
                <w:lang w:eastAsia="zh-CN"/>
              </w:rPr>
            </w:pPr>
            <w:r>
              <w:rPr>
                <w:rFonts w:hint="eastAsia"/>
              </w:rPr>
              <w:t>其中：瓦楞纸箱</w:t>
            </w:r>
          </w:p>
        </w:tc>
        <w:tc>
          <w:tcPr>
            <w:tcW w:w="1027" w:type="pct"/>
            <w:tcBorders>
              <w:top w:val="single" w:color="000000" w:sz="4" w:space="0"/>
              <w:left w:val="single" w:color="000000" w:sz="4" w:space="0"/>
              <w:bottom w:val="single" w:color="000000" w:sz="4" w:space="0"/>
              <w:right w:val="single" w:color="000000" w:sz="4" w:space="0"/>
            </w:tcBorders>
            <w:vAlign w:val="center"/>
          </w:tcPr>
          <w:p w14:paraId="13552484">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65BC1AC6">
            <w:pPr>
              <w:pStyle w:val="11"/>
              <w:bidi w:val="0"/>
              <w:jc w:val="center"/>
              <w:rPr>
                <w:rFonts w:hint="eastAsia"/>
                <w:lang w:eastAsia="zh-CN"/>
              </w:rPr>
            </w:pPr>
            <w:r>
              <w:rPr>
                <w:rFonts w:hint="eastAsia"/>
              </w:rPr>
              <w:t>15</w:t>
            </w:r>
          </w:p>
        </w:tc>
        <w:tc>
          <w:tcPr>
            <w:tcW w:w="1081" w:type="pct"/>
            <w:tcBorders>
              <w:top w:val="single" w:color="000000" w:sz="4" w:space="0"/>
              <w:left w:val="single" w:color="000000" w:sz="4" w:space="0"/>
              <w:bottom w:val="single" w:color="000000" w:sz="4" w:space="0"/>
              <w:right w:val="nil"/>
            </w:tcBorders>
            <w:vAlign w:val="center"/>
          </w:tcPr>
          <w:p w14:paraId="57B6C793">
            <w:pPr>
              <w:pStyle w:val="11"/>
              <w:bidi w:val="0"/>
              <w:jc w:val="center"/>
              <w:rPr>
                <w:rFonts w:hint="eastAsia"/>
                <w:lang w:eastAsia="zh-CN"/>
              </w:rPr>
            </w:pPr>
            <w:r>
              <w:rPr>
                <w:rFonts w:hint="eastAsia"/>
              </w:rPr>
              <w:t>-37.0</w:t>
            </w:r>
          </w:p>
        </w:tc>
      </w:tr>
      <w:tr w14:paraId="315B6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7DA165C1">
            <w:pPr>
              <w:pStyle w:val="11"/>
              <w:bidi w:val="0"/>
              <w:ind w:leftChars="100"/>
              <w:jc w:val="both"/>
              <w:rPr>
                <w:rFonts w:hint="eastAsia"/>
                <w:lang w:eastAsia="zh-CN"/>
              </w:rPr>
            </w:pPr>
            <w:r>
              <w:rPr>
                <w:rFonts w:hint="eastAsia"/>
              </w:rPr>
              <w:t>化学农药原药（折有效成分100％）</w:t>
            </w:r>
          </w:p>
        </w:tc>
        <w:tc>
          <w:tcPr>
            <w:tcW w:w="1027" w:type="pct"/>
            <w:tcBorders>
              <w:top w:val="single" w:color="000000" w:sz="4" w:space="0"/>
              <w:left w:val="single" w:color="000000" w:sz="4" w:space="0"/>
              <w:bottom w:val="single" w:color="000000" w:sz="4" w:space="0"/>
              <w:right w:val="single" w:color="000000" w:sz="4" w:space="0"/>
            </w:tcBorders>
            <w:vAlign w:val="center"/>
          </w:tcPr>
          <w:p w14:paraId="3026CB0F">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429B1C49">
            <w:pPr>
              <w:pStyle w:val="11"/>
              <w:bidi w:val="0"/>
              <w:jc w:val="center"/>
              <w:rPr>
                <w:rFonts w:hint="eastAsia"/>
                <w:lang w:eastAsia="zh-CN"/>
              </w:rPr>
            </w:pPr>
            <w:r>
              <w:rPr>
                <w:rFonts w:hint="eastAsia"/>
              </w:rPr>
              <w:t>116</w:t>
            </w:r>
          </w:p>
        </w:tc>
        <w:tc>
          <w:tcPr>
            <w:tcW w:w="1081" w:type="pct"/>
            <w:tcBorders>
              <w:top w:val="single" w:color="000000" w:sz="4" w:space="0"/>
              <w:left w:val="single" w:color="000000" w:sz="4" w:space="0"/>
              <w:bottom w:val="single" w:color="000000" w:sz="4" w:space="0"/>
              <w:right w:val="nil"/>
            </w:tcBorders>
            <w:vAlign w:val="center"/>
          </w:tcPr>
          <w:p w14:paraId="6D272E09">
            <w:pPr>
              <w:pStyle w:val="11"/>
              <w:bidi w:val="0"/>
              <w:jc w:val="center"/>
              <w:rPr>
                <w:rFonts w:hint="eastAsia"/>
                <w:lang w:eastAsia="zh-CN"/>
              </w:rPr>
            </w:pPr>
            <w:r>
              <w:rPr>
                <w:rFonts w:hint="eastAsia"/>
              </w:rPr>
              <w:t>-55.4</w:t>
            </w:r>
          </w:p>
        </w:tc>
      </w:tr>
      <w:tr w14:paraId="10EEA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52DD18BE">
            <w:pPr>
              <w:pStyle w:val="11"/>
              <w:bidi w:val="0"/>
              <w:ind w:leftChars="100"/>
              <w:jc w:val="both"/>
              <w:rPr>
                <w:rFonts w:hint="eastAsia"/>
                <w:lang w:eastAsia="zh-CN"/>
              </w:rPr>
            </w:pPr>
            <w:r>
              <w:rPr>
                <w:rFonts w:hint="eastAsia"/>
              </w:rPr>
              <w:t>涂料</w:t>
            </w:r>
          </w:p>
        </w:tc>
        <w:tc>
          <w:tcPr>
            <w:tcW w:w="1027" w:type="pct"/>
            <w:tcBorders>
              <w:top w:val="single" w:color="000000" w:sz="4" w:space="0"/>
              <w:left w:val="single" w:color="000000" w:sz="4" w:space="0"/>
              <w:bottom w:val="single" w:color="000000" w:sz="4" w:space="0"/>
              <w:right w:val="single" w:color="000000" w:sz="4" w:space="0"/>
            </w:tcBorders>
            <w:vAlign w:val="center"/>
          </w:tcPr>
          <w:p w14:paraId="27EFF74C">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26B8D521">
            <w:pPr>
              <w:pStyle w:val="11"/>
              <w:bidi w:val="0"/>
              <w:jc w:val="center"/>
              <w:rPr>
                <w:rFonts w:hint="eastAsia"/>
                <w:lang w:eastAsia="zh-CN"/>
              </w:rPr>
            </w:pPr>
            <w:r>
              <w:rPr>
                <w:rFonts w:hint="eastAsia"/>
              </w:rPr>
              <w:t>43464</w:t>
            </w:r>
          </w:p>
        </w:tc>
        <w:tc>
          <w:tcPr>
            <w:tcW w:w="1081" w:type="pct"/>
            <w:tcBorders>
              <w:top w:val="single" w:color="000000" w:sz="4" w:space="0"/>
              <w:left w:val="single" w:color="000000" w:sz="4" w:space="0"/>
              <w:bottom w:val="single" w:color="000000" w:sz="4" w:space="0"/>
              <w:right w:val="nil"/>
            </w:tcBorders>
            <w:vAlign w:val="center"/>
          </w:tcPr>
          <w:p w14:paraId="4D8A0849">
            <w:pPr>
              <w:pStyle w:val="11"/>
              <w:bidi w:val="0"/>
              <w:jc w:val="center"/>
              <w:rPr>
                <w:rFonts w:hint="eastAsia"/>
                <w:lang w:eastAsia="zh-CN"/>
              </w:rPr>
            </w:pPr>
            <w:r>
              <w:rPr>
                <w:rFonts w:hint="eastAsia"/>
              </w:rPr>
              <w:t>13.2</w:t>
            </w:r>
          </w:p>
        </w:tc>
      </w:tr>
      <w:tr w14:paraId="5E40C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3F905F0A">
            <w:pPr>
              <w:pStyle w:val="11"/>
              <w:bidi w:val="0"/>
              <w:ind w:leftChars="100"/>
              <w:jc w:val="both"/>
              <w:rPr>
                <w:rFonts w:hint="eastAsia"/>
                <w:lang w:eastAsia="zh-CN"/>
              </w:rPr>
            </w:pPr>
            <w:r>
              <w:rPr>
                <w:rFonts w:hint="eastAsia"/>
              </w:rPr>
              <w:t>初级形态塑料</w:t>
            </w:r>
          </w:p>
        </w:tc>
        <w:tc>
          <w:tcPr>
            <w:tcW w:w="1027" w:type="pct"/>
            <w:tcBorders>
              <w:top w:val="single" w:color="000000" w:sz="4" w:space="0"/>
              <w:left w:val="single" w:color="000000" w:sz="4" w:space="0"/>
              <w:bottom w:val="single" w:color="000000" w:sz="4" w:space="0"/>
              <w:right w:val="single" w:color="000000" w:sz="4" w:space="0"/>
            </w:tcBorders>
            <w:vAlign w:val="center"/>
          </w:tcPr>
          <w:p w14:paraId="22AC3CFD">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7FF99B7D">
            <w:pPr>
              <w:pStyle w:val="11"/>
              <w:bidi w:val="0"/>
              <w:jc w:val="center"/>
              <w:rPr>
                <w:rFonts w:hint="eastAsia"/>
                <w:lang w:eastAsia="zh-CN"/>
              </w:rPr>
            </w:pPr>
            <w:r>
              <w:rPr>
                <w:rFonts w:hint="eastAsia"/>
              </w:rPr>
              <w:t>27620</w:t>
            </w:r>
          </w:p>
        </w:tc>
        <w:tc>
          <w:tcPr>
            <w:tcW w:w="1081" w:type="pct"/>
            <w:tcBorders>
              <w:top w:val="single" w:color="000000" w:sz="4" w:space="0"/>
              <w:left w:val="single" w:color="000000" w:sz="4" w:space="0"/>
              <w:bottom w:val="single" w:color="000000" w:sz="4" w:space="0"/>
              <w:right w:val="nil"/>
            </w:tcBorders>
            <w:vAlign w:val="center"/>
          </w:tcPr>
          <w:p w14:paraId="0B02554D">
            <w:pPr>
              <w:pStyle w:val="11"/>
              <w:bidi w:val="0"/>
              <w:jc w:val="center"/>
              <w:rPr>
                <w:rFonts w:hint="eastAsia"/>
                <w:lang w:eastAsia="zh-CN"/>
              </w:rPr>
            </w:pPr>
            <w:r>
              <w:rPr>
                <w:rFonts w:hint="eastAsia"/>
              </w:rPr>
              <w:t>11.1</w:t>
            </w:r>
          </w:p>
        </w:tc>
      </w:tr>
      <w:tr w14:paraId="444AB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61886308">
            <w:pPr>
              <w:pStyle w:val="11"/>
              <w:bidi w:val="0"/>
              <w:ind w:leftChars="200"/>
              <w:jc w:val="both"/>
              <w:rPr>
                <w:rFonts w:hint="eastAsia"/>
                <w:lang w:eastAsia="zh-CN"/>
              </w:rPr>
            </w:pPr>
            <w:r>
              <w:rPr>
                <w:rFonts w:hint="eastAsia"/>
              </w:rPr>
              <w:t>其中：聚丙烯树脂</w:t>
            </w:r>
          </w:p>
        </w:tc>
        <w:tc>
          <w:tcPr>
            <w:tcW w:w="1027" w:type="pct"/>
            <w:tcBorders>
              <w:top w:val="single" w:color="000000" w:sz="4" w:space="0"/>
              <w:left w:val="single" w:color="000000" w:sz="4" w:space="0"/>
              <w:bottom w:val="single" w:color="000000" w:sz="4" w:space="0"/>
              <w:right w:val="single" w:color="000000" w:sz="4" w:space="0"/>
            </w:tcBorders>
            <w:vAlign w:val="center"/>
          </w:tcPr>
          <w:p w14:paraId="65E2F0E9">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099C909F">
            <w:pPr>
              <w:pStyle w:val="11"/>
              <w:bidi w:val="0"/>
              <w:jc w:val="center"/>
              <w:rPr>
                <w:rFonts w:hint="eastAsia"/>
                <w:lang w:eastAsia="zh-CN"/>
              </w:rPr>
            </w:pPr>
            <w:r>
              <w:rPr>
                <w:rFonts w:hint="eastAsia"/>
              </w:rPr>
              <w:t>6008</w:t>
            </w:r>
          </w:p>
        </w:tc>
        <w:tc>
          <w:tcPr>
            <w:tcW w:w="1081" w:type="pct"/>
            <w:tcBorders>
              <w:top w:val="single" w:color="000000" w:sz="4" w:space="0"/>
              <w:left w:val="single" w:color="000000" w:sz="4" w:space="0"/>
              <w:bottom w:val="single" w:color="000000" w:sz="4" w:space="0"/>
              <w:right w:val="nil"/>
            </w:tcBorders>
            <w:vAlign w:val="center"/>
          </w:tcPr>
          <w:p w14:paraId="42E07FF8">
            <w:pPr>
              <w:pStyle w:val="11"/>
              <w:bidi w:val="0"/>
              <w:jc w:val="center"/>
              <w:rPr>
                <w:rFonts w:hint="eastAsia"/>
                <w:lang w:eastAsia="zh-CN"/>
              </w:rPr>
            </w:pPr>
            <w:r>
              <w:rPr>
                <w:rFonts w:hint="eastAsia"/>
              </w:rPr>
              <w:t>-6.8</w:t>
            </w:r>
          </w:p>
        </w:tc>
      </w:tr>
      <w:tr w14:paraId="7E185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0B984897">
            <w:pPr>
              <w:pStyle w:val="11"/>
              <w:bidi w:val="0"/>
              <w:ind w:leftChars="100"/>
              <w:jc w:val="both"/>
              <w:rPr>
                <w:rFonts w:hint="eastAsia"/>
                <w:lang w:eastAsia="zh-CN"/>
              </w:rPr>
            </w:pPr>
            <w:r>
              <w:rPr>
                <w:rFonts w:hint="eastAsia"/>
              </w:rPr>
              <w:t>化学试剂</w:t>
            </w:r>
          </w:p>
        </w:tc>
        <w:tc>
          <w:tcPr>
            <w:tcW w:w="1027" w:type="pct"/>
            <w:tcBorders>
              <w:top w:val="single" w:color="000000" w:sz="4" w:space="0"/>
              <w:left w:val="single" w:color="000000" w:sz="4" w:space="0"/>
              <w:bottom w:val="single" w:color="000000" w:sz="4" w:space="0"/>
              <w:right w:val="single" w:color="000000" w:sz="4" w:space="0"/>
            </w:tcBorders>
            <w:vAlign w:val="center"/>
          </w:tcPr>
          <w:p w14:paraId="46EB45EA">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74C69268">
            <w:pPr>
              <w:pStyle w:val="11"/>
              <w:bidi w:val="0"/>
              <w:jc w:val="center"/>
              <w:rPr>
                <w:rFonts w:hint="eastAsia"/>
                <w:lang w:eastAsia="zh-CN"/>
              </w:rPr>
            </w:pPr>
            <w:r>
              <w:rPr>
                <w:rFonts w:hint="eastAsia"/>
              </w:rPr>
              <w:t>6730</w:t>
            </w:r>
          </w:p>
        </w:tc>
        <w:tc>
          <w:tcPr>
            <w:tcW w:w="1081" w:type="pct"/>
            <w:tcBorders>
              <w:top w:val="single" w:color="000000" w:sz="4" w:space="0"/>
              <w:left w:val="single" w:color="000000" w:sz="4" w:space="0"/>
              <w:bottom w:val="single" w:color="000000" w:sz="4" w:space="0"/>
              <w:right w:val="nil"/>
            </w:tcBorders>
            <w:vAlign w:val="center"/>
          </w:tcPr>
          <w:p w14:paraId="0D86C6C6">
            <w:pPr>
              <w:pStyle w:val="11"/>
              <w:bidi w:val="0"/>
              <w:jc w:val="center"/>
              <w:rPr>
                <w:rFonts w:hint="eastAsia"/>
                <w:lang w:eastAsia="zh-CN"/>
              </w:rPr>
            </w:pPr>
            <w:r>
              <w:rPr>
                <w:rFonts w:hint="eastAsia"/>
              </w:rPr>
              <w:t>29.3</w:t>
            </w:r>
          </w:p>
        </w:tc>
      </w:tr>
      <w:tr w14:paraId="4D875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34609DE2">
            <w:pPr>
              <w:pStyle w:val="11"/>
              <w:bidi w:val="0"/>
              <w:ind w:leftChars="100"/>
              <w:jc w:val="both"/>
              <w:rPr>
                <w:rFonts w:hint="eastAsia"/>
                <w:lang w:eastAsia="zh-CN"/>
              </w:rPr>
            </w:pPr>
            <w:r>
              <w:rPr>
                <w:rFonts w:hint="eastAsia"/>
              </w:rPr>
              <w:t>合成洗涤剂</w:t>
            </w:r>
          </w:p>
        </w:tc>
        <w:tc>
          <w:tcPr>
            <w:tcW w:w="1027" w:type="pct"/>
            <w:tcBorders>
              <w:top w:val="single" w:color="000000" w:sz="4" w:space="0"/>
              <w:left w:val="single" w:color="000000" w:sz="4" w:space="0"/>
              <w:bottom w:val="single" w:color="000000" w:sz="4" w:space="0"/>
              <w:right w:val="single" w:color="000000" w:sz="4" w:space="0"/>
            </w:tcBorders>
            <w:vAlign w:val="center"/>
          </w:tcPr>
          <w:p w14:paraId="2E18F8F6">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695D8128">
            <w:pPr>
              <w:pStyle w:val="11"/>
              <w:bidi w:val="0"/>
              <w:jc w:val="center"/>
              <w:rPr>
                <w:rFonts w:hint="eastAsia"/>
                <w:lang w:eastAsia="zh-CN"/>
              </w:rPr>
            </w:pPr>
            <w:r>
              <w:rPr>
                <w:rFonts w:hint="eastAsia"/>
              </w:rPr>
              <w:t>1938</w:t>
            </w:r>
          </w:p>
        </w:tc>
        <w:tc>
          <w:tcPr>
            <w:tcW w:w="1081" w:type="pct"/>
            <w:tcBorders>
              <w:top w:val="single" w:color="000000" w:sz="4" w:space="0"/>
              <w:left w:val="single" w:color="000000" w:sz="4" w:space="0"/>
              <w:bottom w:val="single" w:color="000000" w:sz="4" w:space="0"/>
              <w:right w:val="nil"/>
            </w:tcBorders>
            <w:vAlign w:val="center"/>
          </w:tcPr>
          <w:p w14:paraId="062BA608">
            <w:pPr>
              <w:pStyle w:val="11"/>
              <w:bidi w:val="0"/>
              <w:jc w:val="center"/>
              <w:rPr>
                <w:rFonts w:hint="eastAsia"/>
                <w:lang w:eastAsia="zh-CN"/>
              </w:rPr>
            </w:pPr>
            <w:r>
              <w:rPr>
                <w:rFonts w:hint="eastAsia"/>
              </w:rPr>
              <w:t>17.9</w:t>
            </w:r>
          </w:p>
        </w:tc>
      </w:tr>
      <w:tr w14:paraId="6047A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354B9157">
            <w:pPr>
              <w:pStyle w:val="11"/>
              <w:bidi w:val="0"/>
              <w:ind w:leftChars="200"/>
              <w:jc w:val="both"/>
              <w:rPr>
                <w:rFonts w:hint="eastAsia"/>
                <w:lang w:eastAsia="zh-CN"/>
              </w:rPr>
            </w:pPr>
            <w:r>
              <w:rPr>
                <w:rFonts w:hint="eastAsia"/>
              </w:rPr>
              <w:t>其中：液体洗涤剂</w:t>
            </w:r>
          </w:p>
        </w:tc>
        <w:tc>
          <w:tcPr>
            <w:tcW w:w="1027" w:type="pct"/>
            <w:tcBorders>
              <w:top w:val="single" w:color="000000" w:sz="4" w:space="0"/>
              <w:left w:val="single" w:color="000000" w:sz="4" w:space="0"/>
              <w:bottom w:val="single" w:color="000000" w:sz="4" w:space="0"/>
              <w:right w:val="single" w:color="000000" w:sz="4" w:space="0"/>
            </w:tcBorders>
            <w:vAlign w:val="center"/>
          </w:tcPr>
          <w:p w14:paraId="0E8F93BE">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2F242817">
            <w:pPr>
              <w:pStyle w:val="11"/>
              <w:bidi w:val="0"/>
              <w:jc w:val="center"/>
              <w:rPr>
                <w:rFonts w:hint="eastAsia"/>
                <w:lang w:eastAsia="zh-CN"/>
              </w:rPr>
            </w:pPr>
            <w:r>
              <w:rPr>
                <w:rFonts w:hint="eastAsia"/>
              </w:rPr>
              <w:t>1936</w:t>
            </w:r>
          </w:p>
        </w:tc>
        <w:tc>
          <w:tcPr>
            <w:tcW w:w="1081" w:type="pct"/>
            <w:tcBorders>
              <w:top w:val="single" w:color="000000" w:sz="4" w:space="0"/>
              <w:left w:val="single" w:color="000000" w:sz="4" w:space="0"/>
              <w:bottom w:val="single" w:color="000000" w:sz="4" w:space="0"/>
              <w:right w:val="nil"/>
            </w:tcBorders>
            <w:vAlign w:val="center"/>
          </w:tcPr>
          <w:p w14:paraId="0D8743B5">
            <w:pPr>
              <w:pStyle w:val="11"/>
              <w:bidi w:val="0"/>
              <w:jc w:val="center"/>
              <w:rPr>
                <w:rFonts w:hint="eastAsia"/>
                <w:lang w:eastAsia="zh-CN"/>
              </w:rPr>
            </w:pPr>
            <w:r>
              <w:rPr>
                <w:rFonts w:hint="eastAsia"/>
              </w:rPr>
              <w:t>17.8</w:t>
            </w:r>
          </w:p>
        </w:tc>
      </w:tr>
      <w:tr w14:paraId="04486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05413946">
            <w:pPr>
              <w:pStyle w:val="11"/>
              <w:bidi w:val="0"/>
              <w:ind w:leftChars="100"/>
              <w:jc w:val="both"/>
              <w:rPr>
                <w:rFonts w:hint="eastAsia"/>
                <w:lang w:eastAsia="zh-CN"/>
              </w:rPr>
            </w:pPr>
            <w:r>
              <w:rPr>
                <w:rFonts w:hint="eastAsia"/>
              </w:rPr>
              <w:t>塑料制品</w:t>
            </w:r>
          </w:p>
        </w:tc>
        <w:tc>
          <w:tcPr>
            <w:tcW w:w="1027" w:type="pct"/>
            <w:tcBorders>
              <w:top w:val="single" w:color="000000" w:sz="4" w:space="0"/>
              <w:left w:val="single" w:color="000000" w:sz="4" w:space="0"/>
              <w:bottom w:val="single" w:color="000000" w:sz="4" w:space="0"/>
              <w:right w:val="single" w:color="000000" w:sz="4" w:space="0"/>
            </w:tcBorders>
            <w:vAlign w:val="center"/>
          </w:tcPr>
          <w:p w14:paraId="6FF0BD1F">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1D1490E8">
            <w:pPr>
              <w:pStyle w:val="11"/>
              <w:bidi w:val="0"/>
              <w:jc w:val="center"/>
              <w:rPr>
                <w:rFonts w:hint="eastAsia"/>
                <w:lang w:eastAsia="zh-CN"/>
              </w:rPr>
            </w:pPr>
            <w:r>
              <w:rPr>
                <w:rFonts w:hint="eastAsia"/>
              </w:rPr>
              <w:t>23267</w:t>
            </w:r>
          </w:p>
        </w:tc>
        <w:tc>
          <w:tcPr>
            <w:tcW w:w="1081" w:type="pct"/>
            <w:tcBorders>
              <w:top w:val="single" w:color="000000" w:sz="4" w:space="0"/>
              <w:left w:val="single" w:color="000000" w:sz="4" w:space="0"/>
              <w:bottom w:val="single" w:color="000000" w:sz="4" w:space="0"/>
              <w:right w:val="nil"/>
            </w:tcBorders>
            <w:vAlign w:val="center"/>
          </w:tcPr>
          <w:p w14:paraId="0FD42EEB">
            <w:pPr>
              <w:pStyle w:val="11"/>
              <w:bidi w:val="0"/>
              <w:jc w:val="center"/>
              <w:rPr>
                <w:rFonts w:hint="eastAsia"/>
                <w:lang w:eastAsia="zh-CN"/>
              </w:rPr>
            </w:pPr>
            <w:r>
              <w:rPr>
                <w:rFonts w:hint="eastAsia"/>
              </w:rPr>
              <w:t>-15.4</w:t>
            </w:r>
          </w:p>
        </w:tc>
      </w:tr>
      <w:tr w14:paraId="5E66D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706A2423">
            <w:pPr>
              <w:pStyle w:val="11"/>
              <w:bidi w:val="0"/>
              <w:ind w:leftChars="200"/>
              <w:jc w:val="both"/>
              <w:rPr>
                <w:rFonts w:hint="eastAsia"/>
                <w:lang w:eastAsia="zh-CN"/>
              </w:rPr>
            </w:pPr>
            <w:r>
              <w:rPr>
                <w:rFonts w:hint="eastAsia"/>
              </w:rPr>
              <w:t>其中：塑料薄膜</w:t>
            </w:r>
          </w:p>
        </w:tc>
        <w:tc>
          <w:tcPr>
            <w:tcW w:w="1027" w:type="pct"/>
            <w:tcBorders>
              <w:top w:val="single" w:color="000000" w:sz="4" w:space="0"/>
              <w:left w:val="single" w:color="000000" w:sz="4" w:space="0"/>
              <w:bottom w:val="single" w:color="000000" w:sz="4" w:space="0"/>
              <w:right w:val="single" w:color="000000" w:sz="4" w:space="0"/>
            </w:tcBorders>
            <w:vAlign w:val="center"/>
          </w:tcPr>
          <w:p w14:paraId="5005BDAB">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479E83AC">
            <w:pPr>
              <w:pStyle w:val="11"/>
              <w:bidi w:val="0"/>
              <w:jc w:val="center"/>
              <w:rPr>
                <w:rFonts w:hint="eastAsia"/>
                <w:lang w:eastAsia="zh-CN"/>
              </w:rPr>
            </w:pPr>
            <w:r>
              <w:rPr>
                <w:rFonts w:hint="eastAsia"/>
              </w:rPr>
              <w:t>12073</w:t>
            </w:r>
          </w:p>
        </w:tc>
        <w:tc>
          <w:tcPr>
            <w:tcW w:w="1081" w:type="pct"/>
            <w:tcBorders>
              <w:top w:val="single" w:color="000000" w:sz="4" w:space="0"/>
              <w:left w:val="single" w:color="000000" w:sz="4" w:space="0"/>
              <w:bottom w:val="single" w:color="000000" w:sz="4" w:space="0"/>
              <w:right w:val="nil"/>
            </w:tcBorders>
            <w:vAlign w:val="center"/>
          </w:tcPr>
          <w:p w14:paraId="7216AAA1">
            <w:pPr>
              <w:pStyle w:val="11"/>
              <w:bidi w:val="0"/>
              <w:jc w:val="center"/>
              <w:rPr>
                <w:rFonts w:hint="eastAsia"/>
                <w:lang w:eastAsia="zh-CN"/>
              </w:rPr>
            </w:pPr>
            <w:r>
              <w:rPr>
                <w:rFonts w:hint="eastAsia"/>
              </w:rPr>
              <w:t>-14.9</w:t>
            </w:r>
          </w:p>
        </w:tc>
      </w:tr>
      <w:tr w14:paraId="37133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03C75DCA">
            <w:pPr>
              <w:pStyle w:val="11"/>
              <w:bidi w:val="0"/>
              <w:ind w:leftChars="200"/>
              <w:jc w:val="both"/>
              <w:rPr>
                <w:rFonts w:hint="eastAsia"/>
                <w:lang w:eastAsia="zh-CN"/>
              </w:rPr>
            </w:pPr>
            <w:r>
              <w:rPr>
                <w:rFonts w:hint="eastAsia"/>
              </w:rPr>
              <w:t>其中：农用薄膜</w:t>
            </w:r>
          </w:p>
        </w:tc>
        <w:tc>
          <w:tcPr>
            <w:tcW w:w="1027" w:type="pct"/>
            <w:tcBorders>
              <w:top w:val="single" w:color="000000" w:sz="4" w:space="0"/>
              <w:left w:val="single" w:color="000000" w:sz="4" w:space="0"/>
              <w:bottom w:val="single" w:color="000000" w:sz="4" w:space="0"/>
              <w:right w:val="single" w:color="000000" w:sz="4" w:space="0"/>
            </w:tcBorders>
            <w:vAlign w:val="center"/>
          </w:tcPr>
          <w:p w14:paraId="6B83E7EB">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2301F1E3">
            <w:pPr>
              <w:pStyle w:val="11"/>
              <w:bidi w:val="0"/>
              <w:jc w:val="center"/>
              <w:rPr>
                <w:rFonts w:hint="eastAsia"/>
                <w:lang w:eastAsia="zh-CN"/>
              </w:rPr>
            </w:pPr>
            <w:r>
              <w:rPr>
                <w:rFonts w:hint="eastAsia"/>
              </w:rPr>
              <w:t>5067</w:t>
            </w:r>
          </w:p>
        </w:tc>
        <w:tc>
          <w:tcPr>
            <w:tcW w:w="1081" w:type="pct"/>
            <w:tcBorders>
              <w:top w:val="single" w:color="000000" w:sz="4" w:space="0"/>
              <w:left w:val="single" w:color="000000" w:sz="4" w:space="0"/>
              <w:bottom w:val="single" w:color="000000" w:sz="4" w:space="0"/>
              <w:right w:val="nil"/>
            </w:tcBorders>
            <w:vAlign w:val="center"/>
          </w:tcPr>
          <w:p w14:paraId="56539193">
            <w:pPr>
              <w:pStyle w:val="11"/>
              <w:bidi w:val="0"/>
              <w:jc w:val="center"/>
              <w:rPr>
                <w:rFonts w:hint="eastAsia"/>
                <w:lang w:eastAsia="zh-CN"/>
              </w:rPr>
            </w:pPr>
            <w:r>
              <w:rPr>
                <w:rFonts w:hint="eastAsia"/>
              </w:rPr>
              <w:t>-42.5</w:t>
            </w:r>
          </w:p>
        </w:tc>
      </w:tr>
      <w:tr w14:paraId="22F3C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68CB1B12">
            <w:pPr>
              <w:pStyle w:val="11"/>
              <w:bidi w:val="0"/>
              <w:ind w:leftChars="100"/>
              <w:jc w:val="both"/>
              <w:rPr>
                <w:rFonts w:hint="eastAsia"/>
                <w:lang w:eastAsia="zh-CN"/>
              </w:rPr>
            </w:pPr>
            <w:r>
              <w:rPr>
                <w:rFonts w:hint="eastAsia"/>
              </w:rPr>
              <w:t>硅酸盐水泥熟料</w:t>
            </w:r>
          </w:p>
        </w:tc>
        <w:tc>
          <w:tcPr>
            <w:tcW w:w="1027" w:type="pct"/>
            <w:tcBorders>
              <w:top w:val="single" w:color="000000" w:sz="4" w:space="0"/>
              <w:left w:val="single" w:color="000000" w:sz="4" w:space="0"/>
              <w:bottom w:val="single" w:color="000000" w:sz="4" w:space="0"/>
              <w:right w:val="single" w:color="000000" w:sz="4" w:space="0"/>
            </w:tcBorders>
            <w:vAlign w:val="center"/>
          </w:tcPr>
          <w:p w14:paraId="2E0462AA">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302958E4">
            <w:pPr>
              <w:pStyle w:val="11"/>
              <w:bidi w:val="0"/>
              <w:jc w:val="center"/>
              <w:rPr>
                <w:rFonts w:hint="eastAsia"/>
                <w:lang w:eastAsia="zh-CN"/>
              </w:rPr>
            </w:pPr>
            <w:r>
              <w:rPr>
                <w:rFonts w:hint="eastAsia"/>
              </w:rPr>
              <w:t>1599105</w:t>
            </w:r>
          </w:p>
        </w:tc>
        <w:tc>
          <w:tcPr>
            <w:tcW w:w="1081" w:type="pct"/>
            <w:tcBorders>
              <w:top w:val="single" w:color="000000" w:sz="4" w:space="0"/>
              <w:left w:val="single" w:color="000000" w:sz="4" w:space="0"/>
              <w:bottom w:val="single" w:color="000000" w:sz="4" w:space="0"/>
              <w:right w:val="nil"/>
            </w:tcBorders>
            <w:vAlign w:val="center"/>
          </w:tcPr>
          <w:p w14:paraId="716C870B">
            <w:pPr>
              <w:pStyle w:val="11"/>
              <w:bidi w:val="0"/>
              <w:jc w:val="center"/>
              <w:rPr>
                <w:rFonts w:hint="eastAsia"/>
                <w:lang w:eastAsia="zh-CN"/>
              </w:rPr>
            </w:pPr>
            <w:r>
              <w:rPr>
                <w:rFonts w:hint="eastAsia"/>
              </w:rPr>
              <w:t>0.0</w:t>
            </w:r>
          </w:p>
        </w:tc>
      </w:tr>
      <w:tr w14:paraId="1D4F4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5A0C641D">
            <w:pPr>
              <w:pStyle w:val="11"/>
              <w:bidi w:val="0"/>
              <w:ind w:leftChars="100"/>
              <w:jc w:val="both"/>
              <w:rPr>
                <w:rFonts w:hint="eastAsia"/>
                <w:lang w:eastAsia="zh-CN"/>
              </w:rPr>
            </w:pPr>
            <w:r>
              <w:rPr>
                <w:rFonts w:hint="eastAsia"/>
              </w:rPr>
              <w:t>商品混凝土</w:t>
            </w:r>
          </w:p>
        </w:tc>
        <w:tc>
          <w:tcPr>
            <w:tcW w:w="1027" w:type="pct"/>
            <w:tcBorders>
              <w:top w:val="single" w:color="000000" w:sz="4" w:space="0"/>
              <w:left w:val="single" w:color="000000" w:sz="4" w:space="0"/>
              <w:bottom w:val="single" w:color="000000" w:sz="4" w:space="0"/>
              <w:right w:val="single" w:color="000000" w:sz="4" w:space="0"/>
            </w:tcBorders>
            <w:vAlign w:val="center"/>
          </w:tcPr>
          <w:p w14:paraId="2893AC02">
            <w:pPr>
              <w:pStyle w:val="11"/>
              <w:bidi w:val="0"/>
              <w:jc w:val="center"/>
              <w:rPr>
                <w:rFonts w:hint="eastAsia"/>
                <w:lang w:eastAsia="zh-CN"/>
              </w:rPr>
            </w:pPr>
            <w:r>
              <w:rPr>
                <w:rFonts w:hint="eastAsia"/>
              </w:rPr>
              <w:t>立方米</w:t>
            </w:r>
          </w:p>
        </w:tc>
        <w:tc>
          <w:tcPr>
            <w:tcW w:w="1027" w:type="pct"/>
            <w:tcBorders>
              <w:top w:val="single" w:color="000000" w:sz="4" w:space="0"/>
              <w:left w:val="single" w:color="000000" w:sz="4" w:space="0"/>
              <w:bottom w:val="single" w:color="000000" w:sz="4" w:space="0"/>
              <w:right w:val="single" w:color="000000" w:sz="4" w:space="0"/>
            </w:tcBorders>
            <w:vAlign w:val="center"/>
          </w:tcPr>
          <w:p w14:paraId="74D6B486">
            <w:pPr>
              <w:pStyle w:val="11"/>
              <w:bidi w:val="0"/>
              <w:jc w:val="center"/>
              <w:rPr>
                <w:rFonts w:hint="eastAsia"/>
                <w:lang w:eastAsia="zh-CN"/>
              </w:rPr>
            </w:pPr>
            <w:r>
              <w:rPr>
                <w:rFonts w:hint="eastAsia"/>
              </w:rPr>
              <w:t>333794</w:t>
            </w:r>
          </w:p>
        </w:tc>
        <w:tc>
          <w:tcPr>
            <w:tcW w:w="1081" w:type="pct"/>
            <w:tcBorders>
              <w:top w:val="single" w:color="000000" w:sz="4" w:space="0"/>
              <w:left w:val="single" w:color="000000" w:sz="4" w:space="0"/>
              <w:bottom w:val="single" w:color="000000" w:sz="4" w:space="0"/>
              <w:right w:val="nil"/>
            </w:tcBorders>
            <w:vAlign w:val="center"/>
          </w:tcPr>
          <w:p w14:paraId="75ED3324">
            <w:pPr>
              <w:pStyle w:val="11"/>
              <w:bidi w:val="0"/>
              <w:jc w:val="center"/>
              <w:rPr>
                <w:rFonts w:hint="eastAsia"/>
                <w:lang w:eastAsia="zh-CN"/>
              </w:rPr>
            </w:pPr>
            <w:r>
              <w:rPr>
                <w:rFonts w:hint="eastAsia"/>
              </w:rPr>
              <w:t>31.8</w:t>
            </w:r>
          </w:p>
        </w:tc>
      </w:tr>
      <w:tr w14:paraId="586CB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1459B15D">
            <w:pPr>
              <w:pStyle w:val="11"/>
              <w:bidi w:val="0"/>
              <w:ind w:leftChars="100"/>
              <w:jc w:val="both"/>
              <w:rPr>
                <w:rFonts w:hint="eastAsia"/>
                <w:lang w:eastAsia="zh-CN"/>
              </w:rPr>
            </w:pPr>
            <w:r>
              <w:rPr>
                <w:rFonts w:hint="eastAsia"/>
              </w:rPr>
              <w:t>砖</w:t>
            </w:r>
          </w:p>
        </w:tc>
        <w:tc>
          <w:tcPr>
            <w:tcW w:w="1027" w:type="pct"/>
            <w:tcBorders>
              <w:top w:val="single" w:color="000000" w:sz="4" w:space="0"/>
              <w:left w:val="single" w:color="000000" w:sz="4" w:space="0"/>
              <w:bottom w:val="single" w:color="000000" w:sz="4" w:space="0"/>
              <w:right w:val="single" w:color="000000" w:sz="4" w:space="0"/>
            </w:tcBorders>
            <w:vAlign w:val="center"/>
          </w:tcPr>
          <w:p w14:paraId="3B59D54B">
            <w:pPr>
              <w:pStyle w:val="11"/>
              <w:bidi w:val="0"/>
              <w:jc w:val="center"/>
              <w:rPr>
                <w:rFonts w:hint="eastAsia"/>
                <w:lang w:eastAsia="zh-CN"/>
              </w:rPr>
            </w:pPr>
            <w:r>
              <w:rPr>
                <w:rFonts w:hint="eastAsia"/>
              </w:rPr>
              <w:t>万块</w:t>
            </w:r>
          </w:p>
        </w:tc>
        <w:tc>
          <w:tcPr>
            <w:tcW w:w="1027" w:type="pct"/>
            <w:tcBorders>
              <w:top w:val="single" w:color="000000" w:sz="4" w:space="0"/>
              <w:left w:val="single" w:color="000000" w:sz="4" w:space="0"/>
              <w:bottom w:val="single" w:color="000000" w:sz="4" w:space="0"/>
              <w:right w:val="single" w:color="000000" w:sz="4" w:space="0"/>
            </w:tcBorders>
            <w:vAlign w:val="center"/>
          </w:tcPr>
          <w:p w14:paraId="39848D56">
            <w:pPr>
              <w:pStyle w:val="11"/>
              <w:bidi w:val="0"/>
              <w:jc w:val="center"/>
              <w:rPr>
                <w:rFonts w:hint="eastAsia"/>
                <w:lang w:eastAsia="zh-CN"/>
              </w:rPr>
            </w:pPr>
            <w:r>
              <w:rPr>
                <w:rFonts w:hint="eastAsia"/>
              </w:rPr>
              <w:t>4345</w:t>
            </w:r>
          </w:p>
        </w:tc>
        <w:tc>
          <w:tcPr>
            <w:tcW w:w="1081" w:type="pct"/>
            <w:tcBorders>
              <w:top w:val="single" w:color="000000" w:sz="4" w:space="0"/>
              <w:left w:val="single" w:color="000000" w:sz="4" w:space="0"/>
              <w:bottom w:val="single" w:color="000000" w:sz="4" w:space="0"/>
              <w:right w:val="nil"/>
            </w:tcBorders>
            <w:vAlign w:val="center"/>
          </w:tcPr>
          <w:p w14:paraId="65DBFE07">
            <w:pPr>
              <w:pStyle w:val="11"/>
              <w:bidi w:val="0"/>
              <w:jc w:val="center"/>
              <w:rPr>
                <w:rFonts w:hint="eastAsia"/>
                <w:lang w:eastAsia="zh-CN"/>
              </w:rPr>
            </w:pPr>
            <w:r>
              <w:rPr>
                <w:rFonts w:hint="eastAsia"/>
              </w:rPr>
              <w:t>45.7</w:t>
            </w:r>
          </w:p>
        </w:tc>
      </w:tr>
      <w:tr w14:paraId="23B2F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34006D85">
            <w:pPr>
              <w:pStyle w:val="11"/>
              <w:bidi w:val="0"/>
              <w:ind w:leftChars="100"/>
              <w:jc w:val="both"/>
              <w:rPr>
                <w:rFonts w:hint="eastAsia"/>
                <w:lang w:eastAsia="zh-CN"/>
              </w:rPr>
            </w:pPr>
            <w:r>
              <w:rPr>
                <w:rFonts w:hint="eastAsia"/>
              </w:rPr>
              <w:t>卫生陶瓷制品</w:t>
            </w:r>
          </w:p>
        </w:tc>
        <w:tc>
          <w:tcPr>
            <w:tcW w:w="1027" w:type="pct"/>
            <w:tcBorders>
              <w:top w:val="single" w:color="000000" w:sz="4" w:space="0"/>
              <w:left w:val="single" w:color="000000" w:sz="4" w:space="0"/>
              <w:bottom w:val="single" w:color="000000" w:sz="4" w:space="0"/>
              <w:right w:val="single" w:color="000000" w:sz="4" w:space="0"/>
            </w:tcBorders>
            <w:vAlign w:val="center"/>
          </w:tcPr>
          <w:p w14:paraId="767DDFAA">
            <w:pPr>
              <w:pStyle w:val="11"/>
              <w:bidi w:val="0"/>
              <w:jc w:val="center"/>
              <w:rPr>
                <w:rFonts w:hint="eastAsia"/>
                <w:lang w:eastAsia="zh-CN"/>
              </w:rPr>
            </w:pPr>
            <w:r>
              <w:rPr>
                <w:rFonts w:hint="eastAsia"/>
              </w:rPr>
              <w:t>件</w:t>
            </w:r>
          </w:p>
        </w:tc>
        <w:tc>
          <w:tcPr>
            <w:tcW w:w="1027" w:type="pct"/>
            <w:tcBorders>
              <w:top w:val="single" w:color="000000" w:sz="4" w:space="0"/>
              <w:left w:val="single" w:color="000000" w:sz="4" w:space="0"/>
              <w:bottom w:val="single" w:color="000000" w:sz="4" w:space="0"/>
              <w:right w:val="single" w:color="000000" w:sz="4" w:space="0"/>
            </w:tcBorders>
            <w:vAlign w:val="center"/>
          </w:tcPr>
          <w:p w14:paraId="57F4D677">
            <w:pPr>
              <w:pStyle w:val="11"/>
              <w:bidi w:val="0"/>
              <w:jc w:val="center"/>
              <w:rPr>
                <w:rFonts w:hint="eastAsia"/>
                <w:lang w:eastAsia="zh-CN"/>
              </w:rPr>
            </w:pPr>
            <w:r>
              <w:rPr>
                <w:rFonts w:hint="eastAsia"/>
              </w:rPr>
              <w:t>944289</w:t>
            </w:r>
          </w:p>
        </w:tc>
        <w:tc>
          <w:tcPr>
            <w:tcW w:w="1081" w:type="pct"/>
            <w:tcBorders>
              <w:top w:val="single" w:color="000000" w:sz="4" w:space="0"/>
              <w:left w:val="single" w:color="000000" w:sz="4" w:space="0"/>
              <w:bottom w:val="single" w:color="000000" w:sz="4" w:space="0"/>
              <w:right w:val="nil"/>
            </w:tcBorders>
            <w:vAlign w:val="center"/>
          </w:tcPr>
          <w:p w14:paraId="24E517E4">
            <w:pPr>
              <w:pStyle w:val="11"/>
              <w:bidi w:val="0"/>
              <w:jc w:val="center"/>
              <w:rPr>
                <w:rFonts w:hint="eastAsia"/>
                <w:lang w:eastAsia="zh-CN"/>
              </w:rPr>
            </w:pPr>
            <w:r>
              <w:rPr>
                <w:rFonts w:hint="eastAsia"/>
              </w:rPr>
              <w:t>-1.5</w:t>
            </w:r>
          </w:p>
        </w:tc>
      </w:tr>
      <w:tr w14:paraId="7425A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7D73B7ED">
            <w:pPr>
              <w:pStyle w:val="11"/>
              <w:bidi w:val="0"/>
              <w:ind w:leftChars="100"/>
              <w:jc w:val="both"/>
              <w:rPr>
                <w:rFonts w:hint="eastAsia"/>
                <w:lang w:eastAsia="zh-CN"/>
              </w:rPr>
            </w:pPr>
            <w:r>
              <w:rPr>
                <w:rFonts w:hint="eastAsia"/>
              </w:rPr>
              <w:t>钢结构</w:t>
            </w:r>
          </w:p>
        </w:tc>
        <w:tc>
          <w:tcPr>
            <w:tcW w:w="1027" w:type="pct"/>
            <w:tcBorders>
              <w:top w:val="single" w:color="000000" w:sz="4" w:space="0"/>
              <w:left w:val="single" w:color="000000" w:sz="4" w:space="0"/>
              <w:bottom w:val="single" w:color="000000" w:sz="4" w:space="0"/>
              <w:right w:val="single" w:color="000000" w:sz="4" w:space="0"/>
            </w:tcBorders>
            <w:vAlign w:val="center"/>
          </w:tcPr>
          <w:p w14:paraId="4EA9D8C4">
            <w:pPr>
              <w:pStyle w:val="11"/>
              <w:bidi w:val="0"/>
              <w:jc w:val="center"/>
              <w:rPr>
                <w:rFonts w:hint="eastAsia"/>
                <w:lang w:eastAsia="zh-CN"/>
              </w:rPr>
            </w:pPr>
            <w:r>
              <w:rPr>
                <w:rFonts w:hint="eastAsia"/>
              </w:rPr>
              <w:t>吨</w:t>
            </w:r>
          </w:p>
        </w:tc>
        <w:tc>
          <w:tcPr>
            <w:tcW w:w="1027" w:type="pct"/>
            <w:tcBorders>
              <w:top w:val="single" w:color="000000" w:sz="4" w:space="0"/>
              <w:left w:val="single" w:color="000000" w:sz="4" w:space="0"/>
              <w:bottom w:val="single" w:color="000000" w:sz="4" w:space="0"/>
              <w:right w:val="single" w:color="000000" w:sz="4" w:space="0"/>
            </w:tcBorders>
            <w:vAlign w:val="center"/>
          </w:tcPr>
          <w:p w14:paraId="329E2C24">
            <w:pPr>
              <w:pStyle w:val="11"/>
              <w:bidi w:val="0"/>
              <w:jc w:val="center"/>
              <w:rPr>
                <w:rFonts w:hint="eastAsia"/>
                <w:lang w:eastAsia="zh-CN"/>
              </w:rPr>
            </w:pPr>
            <w:r>
              <w:rPr>
                <w:rFonts w:hint="eastAsia"/>
              </w:rPr>
              <w:t>1782.5</w:t>
            </w:r>
          </w:p>
        </w:tc>
        <w:tc>
          <w:tcPr>
            <w:tcW w:w="1081" w:type="pct"/>
            <w:tcBorders>
              <w:top w:val="single" w:color="000000" w:sz="4" w:space="0"/>
              <w:left w:val="single" w:color="000000" w:sz="4" w:space="0"/>
              <w:bottom w:val="single" w:color="000000" w:sz="4" w:space="0"/>
              <w:right w:val="nil"/>
            </w:tcBorders>
            <w:vAlign w:val="center"/>
          </w:tcPr>
          <w:p w14:paraId="2741F360">
            <w:pPr>
              <w:pStyle w:val="11"/>
              <w:bidi w:val="0"/>
              <w:jc w:val="center"/>
              <w:rPr>
                <w:rFonts w:hint="eastAsia"/>
                <w:lang w:eastAsia="zh-CN"/>
              </w:rPr>
            </w:pPr>
            <w:r>
              <w:rPr>
                <w:rFonts w:hint="eastAsia"/>
              </w:rPr>
              <w:t>90.2</w:t>
            </w:r>
          </w:p>
        </w:tc>
      </w:tr>
      <w:tr w14:paraId="48F7F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279BACE4">
            <w:pPr>
              <w:pStyle w:val="11"/>
              <w:bidi w:val="0"/>
              <w:ind w:leftChars="100"/>
              <w:jc w:val="both"/>
              <w:rPr>
                <w:rFonts w:hint="eastAsia"/>
                <w:lang w:eastAsia="zh-CN"/>
              </w:rPr>
            </w:pPr>
            <w:r>
              <w:rPr>
                <w:rFonts w:hint="eastAsia"/>
              </w:rPr>
              <w:t>电子元件</w:t>
            </w:r>
          </w:p>
        </w:tc>
        <w:tc>
          <w:tcPr>
            <w:tcW w:w="1027" w:type="pct"/>
            <w:tcBorders>
              <w:top w:val="single" w:color="000000" w:sz="4" w:space="0"/>
              <w:left w:val="single" w:color="000000" w:sz="4" w:space="0"/>
              <w:bottom w:val="single" w:color="000000" w:sz="4" w:space="0"/>
              <w:right w:val="single" w:color="000000" w:sz="4" w:space="0"/>
            </w:tcBorders>
            <w:vAlign w:val="center"/>
          </w:tcPr>
          <w:p w14:paraId="119C8849">
            <w:pPr>
              <w:pStyle w:val="11"/>
              <w:bidi w:val="0"/>
              <w:jc w:val="center"/>
              <w:rPr>
                <w:rFonts w:hint="eastAsia"/>
                <w:lang w:eastAsia="zh-CN"/>
              </w:rPr>
            </w:pPr>
            <w:r>
              <w:rPr>
                <w:rFonts w:hint="eastAsia"/>
              </w:rPr>
              <w:t>万只</w:t>
            </w:r>
          </w:p>
        </w:tc>
        <w:tc>
          <w:tcPr>
            <w:tcW w:w="1027" w:type="pct"/>
            <w:tcBorders>
              <w:top w:val="single" w:color="000000" w:sz="4" w:space="0"/>
              <w:left w:val="single" w:color="000000" w:sz="4" w:space="0"/>
              <w:bottom w:val="single" w:color="000000" w:sz="4" w:space="0"/>
              <w:right w:val="single" w:color="000000" w:sz="4" w:space="0"/>
            </w:tcBorders>
            <w:vAlign w:val="center"/>
          </w:tcPr>
          <w:p w14:paraId="51A33877">
            <w:pPr>
              <w:pStyle w:val="11"/>
              <w:bidi w:val="0"/>
              <w:jc w:val="center"/>
              <w:rPr>
                <w:rFonts w:hint="eastAsia"/>
                <w:lang w:eastAsia="zh-CN"/>
              </w:rPr>
            </w:pPr>
            <w:r>
              <w:rPr>
                <w:rFonts w:hint="eastAsia"/>
              </w:rPr>
              <w:t>1404</w:t>
            </w:r>
          </w:p>
        </w:tc>
        <w:tc>
          <w:tcPr>
            <w:tcW w:w="1081" w:type="pct"/>
            <w:tcBorders>
              <w:top w:val="single" w:color="000000" w:sz="4" w:space="0"/>
              <w:left w:val="single" w:color="000000" w:sz="4" w:space="0"/>
              <w:bottom w:val="single" w:color="000000" w:sz="4" w:space="0"/>
              <w:right w:val="nil"/>
            </w:tcBorders>
            <w:vAlign w:val="center"/>
          </w:tcPr>
          <w:p w14:paraId="13BA49DD">
            <w:pPr>
              <w:pStyle w:val="11"/>
              <w:bidi w:val="0"/>
              <w:jc w:val="center"/>
              <w:rPr>
                <w:rFonts w:hint="eastAsia"/>
                <w:lang w:eastAsia="zh-CN"/>
              </w:rPr>
            </w:pPr>
            <w:r>
              <w:rPr>
                <w:rFonts w:hint="eastAsia"/>
              </w:rPr>
              <w:t>-14.8</w:t>
            </w:r>
          </w:p>
        </w:tc>
      </w:tr>
      <w:tr w14:paraId="79A38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63DB5BE2">
            <w:pPr>
              <w:pStyle w:val="11"/>
              <w:bidi w:val="0"/>
              <w:ind w:leftChars="100"/>
              <w:jc w:val="both"/>
              <w:rPr>
                <w:rFonts w:hint="eastAsia"/>
                <w:lang w:eastAsia="zh-CN"/>
              </w:rPr>
            </w:pPr>
            <w:r>
              <w:rPr>
                <w:rFonts w:hint="eastAsia"/>
              </w:rPr>
              <w:t>自来水生产量</w:t>
            </w:r>
          </w:p>
        </w:tc>
        <w:tc>
          <w:tcPr>
            <w:tcW w:w="1027" w:type="pct"/>
            <w:tcBorders>
              <w:top w:val="single" w:color="000000" w:sz="4" w:space="0"/>
              <w:left w:val="single" w:color="000000" w:sz="4" w:space="0"/>
              <w:bottom w:val="single" w:color="000000" w:sz="4" w:space="0"/>
              <w:right w:val="single" w:color="000000" w:sz="4" w:space="0"/>
            </w:tcBorders>
            <w:vAlign w:val="center"/>
          </w:tcPr>
          <w:p w14:paraId="3846795D">
            <w:pPr>
              <w:pStyle w:val="11"/>
              <w:bidi w:val="0"/>
              <w:jc w:val="center"/>
              <w:rPr>
                <w:rFonts w:hint="eastAsia"/>
                <w:lang w:eastAsia="zh-CN"/>
              </w:rPr>
            </w:pPr>
            <w:r>
              <w:rPr>
                <w:rFonts w:hint="eastAsia"/>
              </w:rPr>
              <w:t>万立方米</w:t>
            </w:r>
          </w:p>
        </w:tc>
        <w:tc>
          <w:tcPr>
            <w:tcW w:w="1027" w:type="pct"/>
            <w:tcBorders>
              <w:top w:val="single" w:color="000000" w:sz="4" w:space="0"/>
              <w:left w:val="single" w:color="000000" w:sz="4" w:space="0"/>
              <w:bottom w:val="single" w:color="000000" w:sz="4" w:space="0"/>
              <w:right w:val="single" w:color="000000" w:sz="4" w:space="0"/>
            </w:tcBorders>
            <w:vAlign w:val="center"/>
          </w:tcPr>
          <w:p w14:paraId="6651B656">
            <w:pPr>
              <w:pStyle w:val="11"/>
              <w:bidi w:val="0"/>
              <w:jc w:val="center"/>
              <w:rPr>
                <w:rFonts w:hint="eastAsia"/>
                <w:lang w:eastAsia="zh-CN"/>
              </w:rPr>
            </w:pPr>
            <w:r>
              <w:rPr>
                <w:rFonts w:hint="eastAsia"/>
              </w:rPr>
              <w:t>814</w:t>
            </w:r>
          </w:p>
        </w:tc>
        <w:tc>
          <w:tcPr>
            <w:tcW w:w="1081" w:type="pct"/>
            <w:tcBorders>
              <w:top w:val="single" w:color="000000" w:sz="4" w:space="0"/>
              <w:left w:val="single" w:color="000000" w:sz="4" w:space="0"/>
              <w:bottom w:val="single" w:color="000000" w:sz="4" w:space="0"/>
              <w:right w:val="nil"/>
            </w:tcBorders>
            <w:vAlign w:val="center"/>
          </w:tcPr>
          <w:p w14:paraId="12163BDA">
            <w:pPr>
              <w:pStyle w:val="11"/>
              <w:bidi w:val="0"/>
              <w:jc w:val="center"/>
              <w:rPr>
                <w:rFonts w:hint="eastAsia"/>
                <w:lang w:eastAsia="zh-CN"/>
              </w:rPr>
            </w:pPr>
            <w:r>
              <w:rPr>
                <w:rFonts w:hint="eastAsia"/>
              </w:rPr>
              <w:t>4.2</w:t>
            </w:r>
          </w:p>
        </w:tc>
      </w:tr>
      <w:tr w14:paraId="3C1F5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pct"/>
            <w:tcBorders>
              <w:top w:val="single" w:color="000000" w:sz="4" w:space="0"/>
              <w:left w:val="nil"/>
              <w:bottom w:val="single" w:color="000000" w:sz="4" w:space="0"/>
              <w:right w:val="single" w:color="000000" w:sz="4" w:space="0"/>
            </w:tcBorders>
            <w:vAlign w:val="center"/>
          </w:tcPr>
          <w:p w14:paraId="740E892D">
            <w:pPr>
              <w:pStyle w:val="11"/>
              <w:bidi w:val="0"/>
              <w:ind w:leftChars="100"/>
              <w:jc w:val="both"/>
              <w:rPr>
                <w:rFonts w:hint="eastAsia"/>
                <w:lang w:eastAsia="zh-CN"/>
              </w:rPr>
            </w:pPr>
            <w:r>
              <w:rPr>
                <w:rFonts w:hint="eastAsia"/>
              </w:rPr>
              <w:t>发电量</w:t>
            </w:r>
          </w:p>
        </w:tc>
        <w:tc>
          <w:tcPr>
            <w:tcW w:w="1027" w:type="pct"/>
            <w:tcBorders>
              <w:top w:val="single" w:color="000000" w:sz="4" w:space="0"/>
              <w:left w:val="single" w:color="000000" w:sz="4" w:space="0"/>
              <w:bottom w:val="single" w:color="000000" w:sz="4" w:space="0"/>
              <w:right w:val="single" w:color="000000" w:sz="4" w:space="0"/>
            </w:tcBorders>
            <w:vAlign w:val="center"/>
          </w:tcPr>
          <w:p w14:paraId="7C462155">
            <w:pPr>
              <w:pStyle w:val="11"/>
              <w:bidi w:val="0"/>
              <w:jc w:val="center"/>
              <w:rPr>
                <w:rFonts w:hint="eastAsia"/>
                <w:lang w:eastAsia="zh-CN"/>
              </w:rPr>
            </w:pPr>
            <w:r>
              <w:rPr>
                <w:rFonts w:hint="eastAsia"/>
              </w:rPr>
              <w:t>万千瓦时</w:t>
            </w:r>
          </w:p>
        </w:tc>
        <w:tc>
          <w:tcPr>
            <w:tcW w:w="1027" w:type="pct"/>
            <w:tcBorders>
              <w:top w:val="single" w:color="000000" w:sz="4" w:space="0"/>
              <w:left w:val="single" w:color="000000" w:sz="4" w:space="0"/>
              <w:bottom w:val="single" w:color="000000" w:sz="4" w:space="0"/>
              <w:right w:val="single" w:color="000000" w:sz="4" w:space="0"/>
            </w:tcBorders>
            <w:vAlign w:val="center"/>
          </w:tcPr>
          <w:p w14:paraId="30922462">
            <w:pPr>
              <w:pStyle w:val="11"/>
              <w:bidi w:val="0"/>
              <w:jc w:val="center"/>
              <w:rPr>
                <w:rFonts w:hint="eastAsia"/>
                <w:lang w:eastAsia="zh-CN"/>
              </w:rPr>
            </w:pPr>
            <w:r>
              <w:rPr>
                <w:rFonts w:hint="eastAsia"/>
              </w:rPr>
              <w:t>28884</w:t>
            </w:r>
          </w:p>
        </w:tc>
        <w:tc>
          <w:tcPr>
            <w:tcW w:w="1081" w:type="pct"/>
            <w:tcBorders>
              <w:top w:val="single" w:color="000000" w:sz="4" w:space="0"/>
              <w:left w:val="single" w:color="000000" w:sz="4" w:space="0"/>
              <w:bottom w:val="single" w:color="000000" w:sz="4" w:space="0"/>
              <w:right w:val="nil"/>
            </w:tcBorders>
            <w:vAlign w:val="center"/>
          </w:tcPr>
          <w:p w14:paraId="61CD7C93">
            <w:pPr>
              <w:pStyle w:val="11"/>
              <w:bidi w:val="0"/>
              <w:jc w:val="center"/>
              <w:rPr>
                <w:rFonts w:hint="eastAsia"/>
                <w:lang w:eastAsia="zh-CN"/>
              </w:rPr>
            </w:pPr>
            <w:r>
              <w:rPr>
                <w:rFonts w:hint="eastAsia"/>
              </w:rPr>
              <w:t>25.1</w:t>
            </w:r>
          </w:p>
        </w:tc>
      </w:tr>
    </w:tbl>
    <w:p w14:paraId="44AF3CF4">
      <w:pPr>
        <w:bidi w:val="0"/>
        <w:rPr>
          <w:rFonts w:hint="eastAsia"/>
        </w:rPr>
      </w:pPr>
      <w:r>
        <w:rPr>
          <w:rFonts w:hint="eastAsia"/>
        </w:rPr>
        <w:t>全市规模以上工业企业资产77.78亿元，同比增长12.4%；主营业务收入45.64亿元，增长22.8%；主营业务成本38.06亿元，增长20.7%；利润总额2.07亿元，增长47.7%。</w:t>
      </w:r>
    </w:p>
    <w:p w14:paraId="214D58D9">
      <w:pPr>
        <w:bidi w:val="0"/>
        <w:rPr>
          <w:rFonts w:hint="eastAsia"/>
        </w:rPr>
      </w:pPr>
      <w:r>
        <w:rPr>
          <w:rFonts w:hint="eastAsia"/>
        </w:rPr>
        <w:t>全市建筑业实现增加值8.15亿元，同比下降2.5%。资质等级及以上建筑企业11家，同比上年增加1家。总承包和专业承包资质建筑企业完成建筑业总产值23.9亿元，增长10.6%。房屋施工面积181.91万平方米，同比下降3.9%。其中，新开工面积98.78万平方米，同比下降3.5%。房屋竣工面积57.71万平方米，同比下降9.5%。</w:t>
      </w:r>
    </w:p>
    <w:p w14:paraId="69560BDD">
      <w:pPr>
        <w:bidi w:val="0"/>
        <w:rPr>
          <w:rFonts w:hint="eastAsia"/>
          <w:b/>
          <w:bCs/>
        </w:rPr>
      </w:pPr>
      <w:r>
        <w:rPr>
          <w:rFonts w:hint="eastAsia"/>
          <w:b/>
          <w:bCs/>
        </w:rPr>
        <w:t>四、固定资产投资</w:t>
      </w:r>
    </w:p>
    <w:p w14:paraId="70776729">
      <w:pPr>
        <w:bidi w:val="0"/>
        <w:rPr>
          <w:rFonts w:hint="eastAsia"/>
        </w:rPr>
      </w:pPr>
      <w:r>
        <w:rPr>
          <w:rFonts w:hint="eastAsia"/>
        </w:rPr>
        <w:t>全年完成固定资产投资67.71亿元，同比增长8.2%。其中，5000万元及以上项目投资完成49.02亿元，增长49.8%。分投资主体看：国有及国有控股经济投资25.04亿元，增长87.7%；外商及港澳台经济投资2.36亿元，增长4.5%；民间投资23.09亿元，下降9.6%。分产业看：第一产业投资5.56亿元，下降18.8%；第二产业投资23.65亿元，下降13.8%；第三产业投资38.5亿元，增长36%。</w:t>
      </w:r>
    </w:p>
    <w:p w14:paraId="624036E0">
      <w:pPr>
        <w:bidi w:val="0"/>
        <w:rPr>
          <w:rFonts w:hint="eastAsia"/>
        </w:rPr>
      </w:pPr>
      <w:r>
        <w:rPr>
          <w:rFonts w:hint="eastAsia"/>
        </w:rPr>
        <w:t>工业投资完成额23.65亿元，同比下降13.8%。其中，工业技术改造项目投资完成5.5亿元，下降20.7%。基础设施投资完成额33.57亿元，同比增长22.3%。制造业投资完成7.43亿元，同比下降6.5%；电力、燃气和水的生产供应业完成投资16.18亿元，同比下降17.1%；交通运输、仓储和邮政业投资完成2.6亿元，同比增长43%。县属投资65.83亿元，同比增长5.2%。</w:t>
      </w:r>
    </w:p>
    <w:p w14:paraId="667FD56C">
      <w:pPr>
        <w:bidi w:val="0"/>
        <w:rPr>
          <w:rFonts w:hint="eastAsia"/>
        </w:rPr>
      </w:pPr>
      <w:r>
        <w:rPr>
          <w:rFonts w:hint="eastAsia"/>
        </w:rPr>
        <w:t>园区完成投资16.27亿元，同比增长19.6%。其中，工业投资完成额15.11亿元，增长11.3%；基础设施完成额1.1亿元，增长77倍；设备投资完成7.98亿元，增长53.2%。</w:t>
      </w:r>
    </w:p>
    <w:p w14:paraId="47F88D57">
      <w:pPr>
        <w:bidi w:val="0"/>
        <w:rPr>
          <w:rFonts w:hint="eastAsia"/>
        </w:rPr>
      </w:pPr>
      <w:r>
        <w:rPr>
          <w:rFonts w:hint="eastAsia"/>
        </w:rPr>
        <w:t>全年完成房地产项目投资12.5亿元，同比下降10.3%。商品房销售面积39.32万平方米，同比增长6.9%。其中，住宅商品房销售面积37.11万平方米，同比增长8%。商品房销售额21.94亿元，同比增长1.9%。其中，住宅商品房销售额19.84亿元，同比增长6.8%。</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C32E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DE63B28">
            <w:pPr>
              <w:bidi w:val="0"/>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3899535" cy="2813685"/>
                  <wp:effectExtent l="0" t="0" r="5715" b="5715"/>
                  <wp:docPr id="147" name="图片 14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6"/>
                          <pic:cNvPicPr>
                            <a:picLocks noChangeAspect="1"/>
                          </pic:cNvPicPr>
                        </pic:nvPicPr>
                        <pic:blipFill>
                          <a:blip r:embed="rId134"/>
                          <a:stretch>
                            <a:fillRect/>
                          </a:stretch>
                        </pic:blipFill>
                        <pic:spPr>
                          <a:xfrm>
                            <a:off x="0" y="0"/>
                            <a:ext cx="3899535" cy="2813685"/>
                          </a:xfrm>
                          <a:prstGeom prst="rect">
                            <a:avLst/>
                          </a:prstGeom>
                        </pic:spPr>
                      </pic:pic>
                    </a:graphicData>
                  </a:graphic>
                </wp:inline>
              </w:drawing>
            </w:r>
          </w:p>
        </w:tc>
      </w:tr>
    </w:tbl>
    <w:p w14:paraId="20485D18">
      <w:pPr>
        <w:bidi w:val="0"/>
        <w:rPr>
          <w:rFonts w:hint="eastAsia"/>
          <w:b/>
          <w:bCs/>
        </w:rPr>
      </w:pPr>
      <w:r>
        <w:rPr>
          <w:rFonts w:hint="eastAsia"/>
          <w:b/>
          <w:bCs/>
        </w:rPr>
        <w:t>五、贸易和外经</w:t>
      </w:r>
    </w:p>
    <w:p w14:paraId="4FDB7C96">
      <w:pPr>
        <w:bidi w:val="0"/>
        <w:rPr>
          <w:rFonts w:hint="eastAsia"/>
        </w:rPr>
      </w:pPr>
      <w:r>
        <w:rPr>
          <w:rFonts w:hint="eastAsia"/>
        </w:rPr>
        <w:t>年末限额以上批发企业29家；限额以上零售企业46家；限额以上住宿企业13家；限额以上餐饮企业16家。</w:t>
      </w:r>
    </w:p>
    <w:p w14:paraId="21D90073">
      <w:pPr>
        <w:bidi w:val="0"/>
        <w:rPr>
          <w:rFonts w:hint="eastAsia"/>
        </w:rPr>
      </w:pPr>
      <w:r>
        <w:rPr>
          <w:rFonts w:hint="eastAsia"/>
        </w:rPr>
        <w:t>全年社会消费品零售总额60.27亿元，同比增长9.9%。分地域看：城镇消费品零售额增长9.7%；农村消费品零售额增长24.1%。分行业看：批发和零售业零售额54.35亿元，增长10.5%；住宿和餐饮业零售额5.92亿元，增长4.2%。</w:t>
      </w:r>
    </w:p>
    <w:p w14:paraId="43614812">
      <w:pPr>
        <w:bidi w:val="0"/>
        <w:rPr>
          <w:rFonts w:hint="eastAsia"/>
        </w:rPr>
      </w:pPr>
      <w:r>
        <w:rPr>
          <w:rFonts w:hint="eastAsia"/>
        </w:rPr>
        <w:t>全年批发业销售额36亿元，增长8.7%；零售业销售额54.53亿元，增长10.3%；住宿业营业额1.58亿元，增长4.1%；餐饮业营业额5.86亿元，增长7.5%。</w:t>
      </w:r>
    </w:p>
    <w:p w14:paraId="7EAD51EB">
      <w:pPr>
        <w:bidi w:val="0"/>
        <w:rPr>
          <w:rFonts w:hint="eastAsia"/>
        </w:rPr>
      </w:pPr>
      <w:r>
        <w:rPr>
          <w:rFonts w:hint="eastAsia"/>
        </w:rPr>
        <w:t>全年外贸进出口总额54309.5万元，同比增长22.1%。其中，出口总额44463.4万元，增长15.2%；进口总额9846.1万元，增长67.6%；全年新批外商直接投资项目11个，同比增加5个。全年合同吸收外资599万美元，同比下降15.8%；实际利用外资85万美元，同比下降82.5%。</w:t>
      </w:r>
    </w:p>
    <w:p w14:paraId="01F9D6C2">
      <w:pPr>
        <w:bidi w:val="0"/>
        <w:rPr>
          <w:rFonts w:hint="eastAsia"/>
          <w:b/>
          <w:bCs/>
        </w:rPr>
      </w:pPr>
      <w:r>
        <w:rPr>
          <w:rFonts w:hint="eastAsia"/>
          <w:b/>
          <w:bCs/>
        </w:rPr>
        <w:t>六、交通、邮电和旅游</w:t>
      </w:r>
    </w:p>
    <w:p w14:paraId="20C08CB6">
      <w:pPr>
        <w:bidi w:val="0"/>
        <w:rPr>
          <w:rFonts w:hint="eastAsia"/>
        </w:rPr>
      </w:pPr>
      <w:r>
        <w:rPr>
          <w:rFonts w:hint="eastAsia"/>
        </w:rPr>
        <w:t>年末全市公路通车里程2498.987千米（公路密度107.43千米/百平方千米）。当年新建公路里程190.72千米，年末实有公共汽（电）车65辆，实有出租汽车64辆。全年新注册汽车4388辆。其中，轿车2404辆；载货汽车346辆。</w:t>
      </w:r>
    </w:p>
    <w:p w14:paraId="28D1285B">
      <w:pPr>
        <w:bidi w:val="0"/>
        <w:rPr>
          <w:rFonts w:hint="eastAsia"/>
        </w:rPr>
      </w:pPr>
      <w:r>
        <w:rPr>
          <w:rFonts w:hint="eastAsia"/>
        </w:rPr>
        <w:t>年末全市有邮政局（所）21个，其中市区2个。全年订阅销售各种报纸177.07万份，同比下降0.65%；邮政快递收件量28.02万件；邮政快递派件60.95万件。邮政镇级电商服务站18个，村级电商服务站125个。</w:t>
      </w:r>
    </w:p>
    <w:p w14:paraId="25EF5CD3">
      <w:pPr>
        <w:bidi w:val="0"/>
        <w:rPr>
          <w:rFonts w:hint="eastAsia"/>
        </w:rPr>
      </w:pPr>
      <w:r>
        <w:rPr>
          <w:rFonts w:hint="eastAsia"/>
        </w:rPr>
        <w:t>全市旅游景区19个。全年接待旅游人数499.67万人次，同比增长8.9%；旅游总收入36.15亿元，同比增长12.4%。接待国际旅游者人数637人次，同比增长9.6%；旅游外汇收入86.63万美元，同比增长20.3%。年末拥有星级宾馆4家。入选省旅游综合竞争力“十强”，“银杏染秋”被评为省最具影响力旅游品牌。珠玑镇灵潭村入选2018年中国美丽休闲乡村，是韶关市唯一入选的村。</w:t>
      </w:r>
    </w:p>
    <w:p w14:paraId="1A242821">
      <w:pPr>
        <w:bidi w:val="0"/>
        <w:rPr>
          <w:rFonts w:hint="eastAsia"/>
          <w:b/>
          <w:bCs/>
        </w:rPr>
      </w:pPr>
      <w:r>
        <w:rPr>
          <w:rFonts w:hint="eastAsia"/>
          <w:b/>
          <w:bCs/>
        </w:rPr>
        <w:t>七、金融和保险业</w:t>
      </w:r>
    </w:p>
    <w:p w14:paraId="4FA8850C">
      <w:pPr>
        <w:bidi w:val="0"/>
        <w:rPr>
          <w:rFonts w:hint="eastAsia"/>
        </w:rPr>
      </w:pPr>
      <w:r>
        <w:rPr>
          <w:rFonts w:hint="eastAsia"/>
        </w:rPr>
        <w:t>年末全市金融机构42个，其中市区17个。金融机构本外币各项存款余额153.69亿元，同比增长6.1%。其中，住户存款余额114.44亿元，同比增长9.1%。年末金融机构本外币各项贷款余额58.77亿元，同比下降3.3%。其中，住房贷款25.16亿元，增长18.5%；农业贷款34.86亿元，增长3.5%。存贷比38.24%，同比下降1个百分点。</w:t>
      </w:r>
    </w:p>
    <w:p w14:paraId="052DF0D7">
      <w:pPr>
        <w:bidi w:val="0"/>
        <w:rPr>
          <w:rFonts w:hint="eastAsia"/>
        </w:rPr>
      </w:pPr>
      <w:r>
        <w:rPr>
          <w:rFonts w:hint="eastAsia"/>
        </w:rPr>
        <w:t>年末全市保险机构11个。财产保险投保85496户，同比基本持平。其中，家庭财产保险投保85463户。农业保险承保额21亿元，同比增长5.8%。财产保险赔付支出2617万元，增长10%；人寿保险赔付支出4187万元，下降19%。</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A38D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3E6761A">
            <w:pPr>
              <w:bidi w:val="0"/>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3777615" cy="2849245"/>
                  <wp:effectExtent l="0" t="0" r="13335" b="8255"/>
                  <wp:docPr id="148" name="图片 14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7"/>
                          <pic:cNvPicPr>
                            <a:picLocks noChangeAspect="1"/>
                          </pic:cNvPicPr>
                        </pic:nvPicPr>
                        <pic:blipFill>
                          <a:blip r:embed="rId135"/>
                          <a:stretch>
                            <a:fillRect/>
                          </a:stretch>
                        </pic:blipFill>
                        <pic:spPr>
                          <a:xfrm>
                            <a:off x="0" y="0"/>
                            <a:ext cx="3777615" cy="2849245"/>
                          </a:xfrm>
                          <a:prstGeom prst="rect">
                            <a:avLst/>
                          </a:prstGeom>
                        </pic:spPr>
                      </pic:pic>
                    </a:graphicData>
                  </a:graphic>
                </wp:inline>
              </w:drawing>
            </w:r>
          </w:p>
        </w:tc>
      </w:tr>
    </w:tbl>
    <w:p w14:paraId="53952E26">
      <w:pPr>
        <w:bidi w:val="0"/>
        <w:rPr>
          <w:rFonts w:hint="eastAsia"/>
          <w:b/>
          <w:bCs/>
        </w:rPr>
      </w:pPr>
      <w:r>
        <w:rPr>
          <w:rFonts w:hint="eastAsia"/>
          <w:b/>
          <w:bCs/>
        </w:rPr>
        <w:t>八、教育和科学技术</w:t>
      </w:r>
    </w:p>
    <w:p w14:paraId="32A2265E">
      <w:pPr>
        <w:bidi w:val="0"/>
        <w:rPr>
          <w:rFonts w:hint="eastAsia"/>
        </w:rPr>
      </w:pPr>
      <w:r>
        <w:rPr>
          <w:rFonts w:hint="eastAsia"/>
        </w:rPr>
        <w:t>年末拥有普通中学19所（其中，完全中学1所，高级中学2所），中等职业学校1所，小学29所，幼儿园62所，特殊教育学校1所。幼儿教育入园率98.22%，小学毛入学率100.52%，初中毛入学率109.99%，高中毛入学率98.53%。全年各级基础教育招生18384人，同比增长3%；在校学生65174人，同比增长0.5%；毕业生17622人，同比增长2.2%。</w:t>
      </w:r>
    </w:p>
    <w:p w14:paraId="663E0063">
      <w:pPr>
        <w:bidi w:val="0"/>
        <w:ind w:left="0" w:leftChars="0" w:firstLine="0" w:firstLineChars="0"/>
        <w:jc w:val="center"/>
        <w:rPr>
          <w:rFonts w:hint="eastAsia"/>
          <w:b/>
          <w:bCs/>
        </w:rPr>
      </w:pPr>
      <w:r>
        <w:rPr>
          <w:rFonts w:hint="eastAsia"/>
          <w:b/>
          <w:bCs/>
        </w:rPr>
        <w:t>表31</w:t>
      </w:r>
      <w:r>
        <w:rPr>
          <w:rFonts w:hint="eastAsia"/>
          <w:b/>
          <w:bCs/>
          <w:lang w:val="en-US" w:eastAsia="zh-CN"/>
        </w:rPr>
        <w:t xml:space="preserve">  </w:t>
      </w:r>
      <w:r>
        <w:rPr>
          <w:rFonts w:hint="eastAsia"/>
          <w:b/>
          <w:bCs/>
        </w:rPr>
        <w:t>2018年南雄市基础教育发展情况</w:t>
      </w:r>
    </w:p>
    <w:tbl>
      <w:tblPr>
        <w:tblStyle w:val="7"/>
        <w:tblW w:w="4998"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820"/>
        <w:gridCol w:w="1745"/>
        <w:gridCol w:w="1745"/>
        <w:gridCol w:w="1743"/>
        <w:gridCol w:w="1745"/>
      </w:tblGrid>
      <w:tr w14:paraId="60D4BF5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1439" w:type="pct"/>
            <w:shd w:val="clear" w:color="auto" w:fill="FFFFFF"/>
            <w:noWrap w:val="0"/>
            <w:tcMar>
              <w:top w:w="28" w:type="dxa"/>
              <w:left w:w="28" w:type="dxa"/>
              <w:bottom w:w="28" w:type="dxa"/>
              <w:right w:w="28" w:type="dxa"/>
            </w:tcMar>
            <w:vAlign w:val="center"/>
          </w:tcPr>
          <w:p w14:paraId="3715AA89">
            <w:pPr>
              <w:pStyle w:val="11"/>
              <w:bidi w:val="0"/>
              <w:jc w:val="both"/>
              <w:rPr>
                <w:rFonts w:hint="eastAsia"/>
                <w:b/>
                <w:bCs/>
                <w:color w:val="000000"/>
              </w:rPr>
            </w:pPr>
          </w:p>
        </w:tc>
        <w:tc>
          <w:tcPr>
            <w:tcW w:w="890" w:type="pct"/>
            <w:shd w:val="clear" w:color="auto" w:fill="FFFFFF"/>
            <w:noWrap w:val="0"/>
            <w:tcMar>
              <w:top w:w="28" w:type="dxa"/>
              <w:left w:w="28" w:type="dxa"/>
              <w:bottom w:w="28" w:type="dxa"/>
              <w:right w:w="28" w:type="dxa"/>
            </w:tcMar>
            <w:vAlign w:val="center"/>
          </w:tcPr>
          <w:p w14:paraId="265C5E20">
            <w:pPr>
              <w:pStyle w:val="11"/>
              <w:bidi w:val="0"/>
              <w:jc w:val="center"/>
              <w:rPr>
                <w:rFonts w:hint="eastAsia"/>
                <w:b/>
                <w:bCs/>
                <w:color w:val="000000"/>
              </w:rPr>
            </w:pPr>
            <w:r>
              <w:rPr>
                <w:rFonts w:hint="eastAsia"/>
                <w:b/>
                <w:bCs/>
                <w:color w:val="000000"/>
              </w:rPr>
              <w:t>学校数（所）</w:t>
            </w:r>
          </w:p>
        </w:tc>
        <w:tc>
          <w:tcPr>
            <w:tcW w:w="890" w:type="pct"/>
            <w:shd w:val="clear" w:color="auto" w:fill="FFFFFF"/>
            <w:noWrap w:val="0"/>
            <w:tcMar>
              <w:top w:w="28" w:type="dxa"/>
              <w:left w:w="28" w:type="dxa"/>
              <w:bottom w:w="28" w:type="dxa"/>
              <w:right w:w="28" w:type="dxa"/>
            </w:tcMar>
            <w:vAlign w:val="center"/>
          </w:tcPr>
          <w:p w14:paraId="7AB38E4D">
            <w:pPr>
              <w:pStyle w:val="11"/>
              <w:bidi w:val="0"/>
              <w:jc w:val="center"/>
              <w:rPr>
                <w:rFonts w:hint="eastAsia"/>
                <w:b/>
                <w:bCs/>
                <w:color w:val="000000"/>
              </w:rPr>
            </w:pPr>
            <w:r>
              <w:rPr>
                <w:rFonts w:hint="eastAsia"/>
                <w:b/>
                <w:bCs/>
                <w:color w:val="000000"/>
              </w:rPr>
              <w:t>招生数（人）</w:t>
            </w:r>
          </w:p>
        </w:tc>
        <w:tc>
          <w:tcPr>
            <w:tcW w:w="889" w:type="pct"/>
            <w:shd w:val="clear" w:color="auto" w:fill="FFFFFF"/>
            <w:noWrap w:val="0"/>
            <w:tcMar>
              <w:top w:w="28" w:type="dxa"/>
              <w:left w:w="28" w:type="dxa"/>
              <w:bottom w:w="28" w:type="dxa"/>
              <w:right w:w="28" w:type="dxa"/>
            </w:tcMar>
            <w:vAlign w:val="center"/>
          </w:tcPr>
          <w:p w14:paraId="5F521461">
            <w:pPr>
              <w:pStyle w:val="11"/>
              <w:bidi w:val="0"/>
              <w:jc w:val="center"/>
              <w:rPr>
                <w:rFonts w:hint="eastAsia"/>
                <w:b/>
                <w:bCs/>
                <w:color w:val="000000"/>
              </w:rPr>
            </w:pPr>
            <w:r>
              <w:rPr>
                <w:rFonts w:hint="eastAsia"/>
                <w:b/>
                <w:bCs/>
                <w:color w:val="000000"/>
              </w:rPr>
              <w:t>在校学生（人）</w:t>
            </w:r>
          </w:p>
        </w:tc>
        <w:tc>
          <w:tcPr>
            <w:tcW w:w="890" w:type="pct"/>
            <w:shd w:val="clear" w:color="auto" w:fill="FFFFFF"/>
            <w:noWrap w:val="0"/>
            <w:tcMar>
              <w:top w:w="28" w:type="dxa"/>
              <w:left w:w="28" w:type="dxa"/>
              <w:bottom w:w="28" w:type="dxa"/>
              <w:right w:w="28" w:type="dxa"/>
            </w:tcMar>
            <w:vAlign w:val="center"/>
          </w:tcPr>
          <w:p w14:paraId="08BCD0E1">
            <w:pPr>
              <w:pStyle w:val="11"/>
              <w:bidi w:val="0"/>
              <w:jc w:val="center"/>
              <w:rPr>
                <w:rFonts w:hint="eastAsia" w:eastAsia="宋体"/>
                <w:b/>
                <w:bCs/>
                <w:color w:val="000000"/>
                <w:lang w:eastAsia="zh-CN"/>
              </w:rPr>
            </w:pPr>
            <w:r>
              <w:rPr>
                <w:rFonts w:hint="eastAsia"/>
                <w:b/>
                <w:bCs/>
                <w:color w:val="000000"/>
              </w:rPr>
              <w:t>毕业人数（人）</w:t>
            </w:r>
          </w:p>
        </w:tc>
      </w:tr>
      <w:tr w14:paraId="390B99B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1439" w:type="pct"/>
            <w:shd w:val="clear" w:color="auto" w:fill="FFFFFF"/>
            <w:noWrap w:val="0"/>
            <w:vAlign w:val="center"/>
          </w:tcPr>
          <w:p w14:paraId="7A5115FF">
            <w:pPr>
              <w:pStyle w:val="11"/>
              <w:bidi w:val="0"/>
              <w:ind w:leftChars="100"/>
              <w:jc w:val="both"/>
              <w:rPr>
                <w:rFonts w:hint="eastAsia" w:eastAsia="宋体"/>
                <w:color w:val="000000"/>
                <w:lang w:eastAsia="zh-CN"/>
              </w:rPr>
            </w:pPr>
            <w:r>
              <w:rPr>
                <w:rFonts w:hint="eastAsia"/>
                <w:color w:val="000000"/>
              </w:rPr>
              <w:t>幼儿园</w:t>
            </w:r>
          </w:p>
        </w:tc>
        <w:tc>
          <w:tcPr>
            <w:tcW w:w="890" w:type="pct"/>
            <w:shd w:val="clear" w:color="auto" w:fill="FFFFFF"/>
            <w:noWrap w:val="0"/>
            <w:tcMar>
              <w:top w:w="28" w:type="dxa"/>
              <w:left w:w="28" w:type="dxa"/>
              <w:bottom w:w="28" w:type="dxa"/>
              <w:right w:w="28" w:type="dxa"/>
            </w:tcMar>
            <w:vAlign w:val="center"/>
          </w:tcPr>
          <w:p w14:paraId="1961CC1D">
            <w:pPr>
              <w:pStyle w:val="11"/>
              <w:bidi w:val="0"/>
              <w:jc w:val="center"/>
              <w:rPr>
                <w:rFonts w:hint="eastAsia" w:eastAsia="宋体"/>
                <w:color w:val="000000"/>
                <w:lang w:eastAsia="zh-CN"/>
              </w:rPr>
            </w:pPr>
            <w:r>
              <w:rPr>
                <w:rFonts w:hint="eastAsia"/>
                <w:color w:val="000000"/>
              </w:rPr>
              <w:t>62</w:t>
            </w:r>
          </w:p>
        </w:tc>
        <w:tc>
          <w:tcPr>
            <w:tcW w:w="890" w:type="pct"/>
            <w:shd w:val="clear" w:color="auto" w:fill="FFFFFF"/>
            <w:noWrap w:val="0"/>
            <w:tcMar>
              <w:top w:w="28" w:type="dxa"/>
              <w:left w:w="397" w:type="dxa"/>
              <w:bottom w:w="28" w:type="dxa"/>
              <w:right w:w="28" w:type="dxa"/>
            </w:tcMar>
            <w:vAlign w:val="center"/>
          </w:tcPr>
          <w:p w14:paraId="34C675DA">
            <w:pPr>
              <w:pStyle w:val="11"/>
              <w:bidi w:val="0"/>
              <w:jc w:val="center"/>
              <w:rPr>
                <w:rFonts w:hint="eastAsia" w:eastAsia="宋体"/>
                <w:color w:val="000000"/>
                <w:lang w:eastAsia="zh-CN"/>
              </w:rPr>
            </w:pPr>
            <w:r>
              <w:rPr>
                <w:rFonts w:hint="eastAsia"/>
                <w:color w:val="000000"/>
              </w:rPr>
              <w:t>5603</w:t>
            </w:r>
          </w:p>
        </w:tc>
        <w:tc>
          <w:tcPr>
            <w:tcW w:w="889" w:type="pct"/>
            <w:shd w:val="clear" w:color="auto" w:fill="FFFFFF"/>
            <w:noWrap w:val="0"/>
            <w:tcMar>
              <w:left w:w="397" w:type="dxa"/>
            </w:tcMar>
            <w:vAlign w:val="center"/>
          </w:tcPr>
          <w:p w14:paraId="1C5F4821">
            <w:pPr>
              <w:pStyle w:val="11"/>
              <w:bidi w:val="0"/>
              <w:jc w:val="center"/>
              <w:rPr>
                <w:rFonts w:hint="eastAsia" w:eastAsia="宋体"/>
                <w:color w:val="000000"/>
                <w:lang w:eastAsia="zh-CN"/>
              </w:rPr>
            </w:pPr>
            <w:r>
              <w:rPr>
                <w:rFonts w:hint="eastAsia"/>
                <w:color w:val="000000"/>
              </w:rPr>
              <w:t>14257</w:t>
            </w:r>
          </w:p>
        </w:tc>
        <w:tc>
          <w:tcPr>
            <w:tcW w:w="890" w:type="pct"/>
            <w:shd w:val="clear" w:color="auto" w:fill="FFFFFF"/>
            <w:noWrap w:val="0"/>
            <w:tcMar>
              <w:left w:w="397" w:type="dxa"/>
            </w:tcMar>
            <w:vAlign w:val="center"/>
          </w:tcPr>
          <w:p w14:paraId="367932A5">
            <w:pPr>
              <w:pStyle w:val="11"/>
              <w:bidi w:val="0"/>
              <w:jc w:val="center"/>
              <w:rPr>
                <w:rFonts w:hint="eastAsia" w:eastAsia="宋体"/>
                <w:color w:val="000000"/>
                <w:lang w:eastAsia="zh-CN"/>
              </w:rPr>
            </w:pPr>
            <w:r>
              <w:rPr>
                <w:rFonts w:hint="eastAsia"/>
                <w:color w:val="000000"/>
              </w:rPr>
              <w:t>5993</w:t>
            </w:r>
          </w:p>
        </w:tc>
      </w:tr>
      <w:tr w14:paraId="62F3DFD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1439" w:type="pct"/>
            <w:shd w:val="clear" w:color="auto" w:fill="FFFFFF"/>
            <w:noWrap w:val="0"/>
            <w:vAlign w:val="center"/>
          </w:tcPr>
          <w:p w14:paraId="3A927C39">
            <w:pPr>
              <w:pStyle w:val="11"/>
              <w:bidi w:val="0"/>
              <w:ind w:leftChars="100"/>
              <w:jc w:val="both"/>
              <w:rPr>
                <w:rFonts w:hint="eastAsia" w:eastAsia="宋体"/>
                <w:color w:val="000000"/>
                <w:lang w:eastAsia="zh-CN"/>
              </w:rPr>
            </w:pPr>
            <w:r>
              <w:rPr>
                <w:rFonts w:hint="eastAsia"/>
                <w:color w:val="000000"/>
              </w:rPr>
              <w:t>义务教育</w:t>
            </w:r>
          </w:p>
        </w:tc>
        <w:tc>
          <w:tcPr>
            <w:tcW w:w="890" w:type="pct"/>
            <w:shd w:val="clear" w:color="auto" w:fill="FFFFFF"/>
            <w:noWrap w:val="0"/>
            <w:tcMar>
              <w:top w:w="28" w:type="dxa"/>
              <w:left w:w="28" w:type="dxa"/>
              <w:bottom w:w="28" w:type="dxa"/>
              <w:right w:w="28" w:type="dxa"/>
            </w:tcMar>
            <w:vAlign w:val="center"/>
          </w:tcPr>
          <w:p w14:paraId="230F7F2B">
            <w:pPr>
              <w:pStyle w:val="11"/>
              <w:bidi w:val="0"/>
              <w:jc w:val="center"/>
              <w:rPr>
                <w:rFonts w:hint="eastAsia" w:eastAsia="宋体"/>
                <w:color w:val="000000"/>
                <w:lang w:eastAsia="zh-CN"/>
              </w:rPr>
            </w:pPr>
            <w:r>
              <w:rPr>
                <w:rFonts w:hint="eastAsia"/>
                <w:color w:val="000000"/>
              </w:rPr>
              <w:t>45</w:t>
            </w:r>
          </w:p>
        </w:tc>
        <w:tc>
          <w:tcPr>
            <w:tcW w:w="890" w:type="pct"/>
            <w:shd w:val="clear" w:color="auto" w:fill="FFFFFF"/>
            <w:noWrap w:val="0"/>
            <w:tcMar>
              <w:top w:w="28" w:type="dxa"/>
              <w:left w:w="397" w:type="dxa"/>
              <w:bottom w:w="28" w:type="dxa"/>
              <w:right w:w="28" w:type="dxa"/>
            </w:tcMar>
            <w:vAlign w:val="center"/>
          </w:tcPr>
          <w:p w14:paraId="154948A6">
            <w:pPr>
              <w:pStyle w:val="11"/>
              <w:bidi w:val="0"/>
              <w:jc w:val="center"/>
              <w:rPr>
                <w:rFonts w:hint="eastAsia" w:eastAsia="宋体"/>
                <w:color w:val="000000"/>
                <w:lang w:eastAsia="zh-CN"/>
              </w:rPr>
            </w:pPr>
            <w:r>
              <w:rPr>
                <w:rFonts w:hint="eastAsia"/>
                <w:color w:val="000000"/>
              </w:rPr>
              <w:t>10576</w:t>
            </w:r>
          </w:p>
        </w:tc>
        <w:tc>
          <w:tcPr>
            <w:tcW w:w="889" w:type="pct"/>
            <w:shd w:val="clear" w:color="auto" w:fill="FFFFFF"/>
            <w:noWrap w:val="0"/>
            <w:tcMar>
              <w:left w:w="397" w:type="dxa"/>
            </w:tcMar>
            <w:vAlign w:val="center"/>
          </w:tcPr>
          <w:p w14:paraId="13AAD85F">
            <w:pPr>
              <w:pStyle w:val="11"/>
              <w:bidi w:val="0"/>
              <w:jc w:val="center"/>
              <w:rPr>
                <w:rFonts w:hint="eastAsia" w:eastAsia="宋体"/>
                <w:color w:val="000000"/>
                <w:lang w:eastAsia="zh-CN"/>
              </w:rPr>
            </w:pPr>
            <w:r>
              <w:rPr>
                <w:rFonts w:hint="eastAsia"/>
                <w:color w:val="000000"/>
              </w:rPr>
              <w:t>44181</w:t>
            </w:r>
          </w:p>
        </w:tc>
        <w:tc>
          <w:tcPr>
            <w:tcW w:w="890" w:type="pct"/>
            <w:shd w:val="clear" w:color="auto" w:fill="FFFFFF"/>
            <w:noWrap w:val="0"/>
            <w:tcMar>
              <w:left w:w="397" w:type="dxa"/>
            </w:tcMar>
            <w:vAlign w:val="center"/>
          </w:tcPr>
          <w:p w14:paraId="3E7B9E86">
            <w:pPr>
              <w:pStyle w:val="11"/>
              <w:bidi w:val="0"/>
              <w:jc w:val="center"/>
              <w:rPr>
                <w:rFonts w:hint="eastAsia" w:eastAsia="宋体"/>
                <w:color w:val="000000"/>
                <w:lang w:eastAsia="zh-CN"/>
              </w:rPr>
            </w:pPr>
            <w:r>
              <w:rPr>
                <w:rFonts w:hint="eastAsia"/>
                <w:color w:val="000000"/>
              </w:rPr>
              <w:t>8943</w:t>
            </w:r>
          </w:p>
        </w:tc>
      </w:tr>
      <w:tr w14:paraId="5F766D7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1439" w:type="pct"/>
            <w:shd w:val="clear" w:color="auto" w:fill="FFFFFF"/>
            <w:noWrap w:val="0"/>
            <w:vAlign w:val="center"/>
          </w:tcPr>
          <w:p w14:paraId="0351F969">
            <w:pPr>
              <w:pStyle w:val="11"/>
              <w:bidi w:val="0"/>
              <w:ind w:leftChars="200"/>
              <w:jc w:val="both"/>
              <w:rPr>
                <w:rFonts w:hint="eastAsia"/>
                <w:color w:val="000000"/>
              </w:rPr>
            </w:pPr>
            <w:r>
              <w:rPr>
                <w:rFonts w:hint="eastAsia"/>
                <w:color w:val="000000"/>
              </w:rPr>
              <w:t>#：小学</w:t>
            </w:r>
          </w:p>
        </w:tc>
        <w:tc>
          <w:tcPr>
            <w:tcW w:w="890" w:type="pct"/>
            <w:shd w:val="clear" w:color="auto" w:fill="FFFFFF"/>
            <w:noWrap w:val="0"/>
            <w:tcMar>
              <w:top w:w="28" w:type="dxa"/>
              <w:left w:w="28" w:type="dxa"/>
              <w:bottom w:w="28" w:type="dxa"/>
              <w:right w:w="28" w:type="dxa"/>
            </w:tcMar>
            <w:vAlign w:val="center"/>
          </w:tcPr>
          <w:p w14:paraId="5F0747B0">
            <w:pPr>
              <w:pStyle w:val="11"/>
              <w:bidi w:val="0"/>
              <w:jc w:val="center"/>
              <w:rPr>
                <w:rFonts w:hint="eastAsia" w:eastAsia="宋体"/>
                <w:color w:val="000000"/>
                <w:lang w:eastAsia="zh-CN"/>
              </w:rPr>
            </w:pPr>
            <w:r>
              <w:rPr>
                <w:rFonts w:hint="eastAsia"/>
                <w:color w:val="000000"/>
              </w:rPr>
              <w:t>29</w:t>
            </w:r>
          </w:p>
        </w:tc>
        <w:tc>
          <w:tcPr>
            <w:tcW w:w="890" w:type="pct"/>
            <w:shd w:val="clear" w:color="auto" w:fill="FFFFFF"/>
            <w:noWrap w:val="0"/>
            <w:tcMar>
              <w:top w:w="28" w:type="dxa"/>
              <w:left w:w="397" w:type="dxa"/>
              <w:bottom w:w="28" w:type="dxa"/>
              <w:right w:w="28" w:type="dxa"/>
            </w:tcMar>
            <w:vAlign w:val="center"/>
          </w:tcPr>
          <w:p w14:paraId="4A757E3A">
            <w:pPr>
              <w:pStyle w:val="11"/>
              <w:bidi w:val="0"/>
              <w:jc w:val="center"/>
              <w:rPr>
                <w:rFonts w:hint="eastAsia" w:eastAsia="宋体"/>
                <w:color w:val="000000"/>
                <w:lang w:eastAsia="zh-CN"/>
              </w:rPr>
            </w:pPr>
            <w:r>
              <w:rPr>
                <w:rFonts w:hint="eastAsia"/>
                <w:color w:val="000000"/>
              </w:rPr>
              <w:t>6002</w:t>
            </w:r>
          </w:p>
        </w:tc>
        <w:tc>
          <w:tcPr>
            <w:tcW w:w="889" w:type="pct"/>
            <w:shd w:val="clear" w:color="auto" w:fill="FFFFFF"/>
            <w:noWrap w:val="0"/>
            <w:tcMar>
              <w:left w:w="397" w:type="dxa"/>
            </w:tcMar>
            <w:vAlign w:val="center"/>
          </w:tcPr>
          <w:p w14:paraId="6698BB5A">
            <w:pPr>
              <w:pStyle w:val="11"/>
              <w:bidi w:val="0"/>
              <w:jc w:val="center"/>
              <w:rPr>
                <w:rFonts w:hint="eastAsia" w:eastAsia="宋体"/>
                <w:color w:val="000000"/>
                <w:lang w:eastAsia="zh-CN"/>
              </w:rPr>
            </w:pPr>
            <w:r>
              <w:rPr>
                <w:rFonts w:hint="eastAsia"/>
                <w:color w:val="000000"/>
              </w:rPr>
              <w:t>30309</w:t>
            </w:r>
          </w:p>
        </w:tc>
        <w:tc>
          <w:tcPr>
            <w:tcW w:w="890" w:type="pct"/>
            <w:shd w:val="clear" w:color="auto" w:fill="FFFFFF"/>
            <w:noWrap w:val="0"/>
            <w:tcMar>
              <w:left w:w="397" w:type="dxa"/>
            </w:tcMar>
            <w:vAlign w:val="center"/>
          </w:tcPr>
          <w:p w14:paraId="0F844A0E">
            <w:pPr>
              <w:pStyle w:val="11"/>
              <w:bidi w:val="0"/>
              <w:jc w:val="center"/>
              <w:rPr>
                <w:rFonts w:hint="eastAsia" w:eastAsia="宋体"/>
                <w:color w:val="000000"/>
                <w:lang w:eastAsia="zh-CN"/>
              </w:rPr>
            </w:pPr>
            <w:r>
              <w:rPr>
                <w:rFonts w:hint="eastAsia"/>
                <w:color w:val="000000"/>
              </w:rPr>
              <w:t>4594</w:t>
            </w:r>
          </w:p>
        </w:tc>
      </w:tr>
      <w:tr w14:paraId="1A3696D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1439" w:type="pct"/>
            <w:shd w:val="clear" w:color="auto" w:fill="FFFFFF"/>
            <w:noWrap w:val="0"/>
            <w:vAlign w:val="center"/>
          </w:tcPr>
          <w:p w14:paraId="503ABF95">
            <w:pPr>
              <w:pStyle w:val="11"/>
              <w:bidi w:val="0"/>
              <w:ind w:leftChars="200"/>
              <w:jc w:val="both"/>
              <w:rPr>
                <w:rFonts w:hint="eastAsia" w:eastAsia="宋体"/>
                <w:color w:val="000000"/>
                <w:lang w:eastAsia="zh-CN"/>
              </w:rPr>
            </w:pPr>
            <w:r>
              <w:rPr>
                <w:rFonts w:hint="eastAsia"/>
                <w:color w:val="000000"/>
              </w:rPr>
              <w:t>#：初中</w:t>
            </w:r>
          </w:p>
        </w:tc>
        <w:tc>
          <w:tcPr>
            <w:tcW w:w="890" w:type="pct"/>
            <w:shd w:val="clear" w:color="auto" w:fill="FFFFFF"/>
            <w:noWrap w:val="0"/>
            <w:tcMar>
              <w:top w:w="28" w:type="dxa"/>
              <w:left w:w="28" w:type="dxa"/>
              <w:bottom w:w="28" w:type="dxa"/>
              <w:right w:w="28" w:type="dxa"/>
            </w:tcMar>
            <w:vAlign w:val="center"/>
          </w:tcPr>
          <w:p w14:paraId="77E55009">
            <w:pPr>
              <w:pStyle w:val="11"/>
              <w:bidi w:val="0"/>
              <w:jc w:val="center"/>
              <w:rPr>
                <w:rFonts w:hint="eastAsia" w:eastAsia="宋体"/>
                <w:color w:val="000000"/>
                <w:lang w:eastAsia="zh-CN"/>
              </w:rPr>
            </w:pPr>
            <w:r>
              <w:rPr>
                <w:rFonts w:hint="eastAsia"/>
                <w:color w:val="000000"/>
              </w:rPr>
              <w:t>16</w:t>
            </w:r>
          </w:p>
        </w:tc>
        <w:tc>
          <w:tcPr>
            <w:tcW w:w="890" w:type="pct"/>
            <w:shd w:val="clear" w:color="auto" w:fill="FFFFFF"/>
            <w:noWrap w:val="0"/>
            <w:tcMar>
              <w:top w:w="28" w:type="dxa"/>
              <w:left w:w="397" w:type="dxa"/>
              <w:bottom w:w="28" w:type="dxa"/>
              <w:right w:w="28" w:type="dxa"/>
            </w:tcMar>
            <w:vAlign w:val="center"/>
          </w:tcPr>
          <w:p w14:paraId="1ACA0EC7">
            <w:pPr>
              <w:pStyle w:val="11"/>
              <w:bidi w:val="0"/>
              <w:jc w:val="center"/>
              <w:rPr>
                <w:rFonts w:hint="eastAsia" w:eastAsia="宋体"/>
                <w:color w:val="000000"/>
                <w:lang w:eastAsia="zh-CN"/>
              </w:rPr>
            </w:pPr>
            <w:r>
              <w:rPr>
                <w:rFonts w:hint="eastAsia"/>
                <w:color w:val="000000"/>
              </w:rPr>
              <w:t>4574</w:t>
            </w:r>
          </w:p>
        </w:tc>
        <w:tc>
          <w:tcPr>
            <w:tcW w:w="889" w:type="pct"/>
            <w:shd w:val="clear" w:color="auto" w:fill="FFFFFF"/>
            <w:noWrap w:val="0"/>
            <w:tcMar>
              <w:left w:w="397" w:type="dxa"/>
            </w:tcMar>
            <w:vAlign w:val="center"/>
          </w:tcPr>
          <w:p w14:paraId="6CC23258">
            <w:pPr>
              <w:pStyle w:val="11"/>
              <w:bidi w:val="0"/>
              <w:jc w:val="center"/>
              <w:rPr>
                <w:rFonts w:hint="eastAsia" w:eastAsia="宋体"/>
                <w:color w:val="000000"/>
                <w:lang w:eastAsia="zh-CN"/>
              </w:rPr>
            </w:pPr>
            <w:r>
              <w:rPr>
                <w:rFonts w:hint="eastAsia"/>
                <w:color w:val="000000"/>
              </w:rPr>
              <w:t>13872</w:t>
            </w:r>
          </w:p>
        </w:tc>
        <w:tc>
          <w:tcPr>
            <w:tcW w:w="890" w:type="pct"/>
            <w:shd w:val="clear" w:color="auto" w:fill="FFFFFF"/>
            <w:noWrap w:val="0"/>
            <w:tcMar>
              <w:left w:w="397" w:type="dxa"/>
            </w:tcMar>
            <w:vAlign w:val="center"/>
          </w:tcPr>
          <w:p w14:paraId="526C8597">
            <w:pPr>
              <w:pStyle w:val="11"/>
              <w:bidi w:val="0"/>
              <w:jc w:val="center"/>
              <w:rPr>
                <w:rFonts w:hint="eastAsia" w:eastAsia="宋体"/>
                <w:color w:val="000000"/>
                <w:lang w:eastAsia="zh-CN"/>
              </w:rPr>
            </w:pPr>
            <w:r>
              <w:rPr>
                <w:rFonts w:hint="eastAsia"/>
                <w:color w:val="000000"/>
              </w:rPr>
              <w:t>4349</w:t>
            </w:r>
          </w:p>
        </w:tc>
      </w:tr>
      <w:tr w14:paraId="78D9DCE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1439" w:type="pct"/>
            <w:shd w:val="clear" w:color="auto" w:fill="FFFFFF"/>
            <w:noWrap w:val="0"/>
            <w:vAlign w:val="center"/>
          </w:tcPr>
          <w:p w14:paraId="7BCE74E5">
            <w:pPr>
              <w:pStyle w:val="11"/>
              <w:bidi w:val="0"/>
              <w:ind w:leftChars="100"/>
              <w:jc w:val="both"/>
              <w:rPr>
                <w:rFonts w:hint="eastAsia"/>
                <w:color w:val="000000"/>
              </w:rPr>
            </w:pPr>
            <w:r>
              <w:rPr>
                <w:rFonts w:hint="eastAsia"/>
                <w:color w:val="000000"/>
              </w:rPr>
              <w:t>高中</w:t>
            </w:r>
          </w:p>
        </w:tc>
        <w:tc>
          <w:tcPr>
            <w:tcW w:w="890" w:type="pct"/>
            <w:shd w:val="clear" w:color="auto" w:fill="FFFFFF"/>
            <w:noWrap w:val="0"/>
            <w:tcMar>
              <w:top w:w="28" w:type="dxa"/>
              <w:left w:w="28" w:type="dxa"/>
              <w:bottom w:w="28" w:type="dxa"/>
              <w:right w:w="28" w:type="dxa"/>
            </w:tcMar>
            <w:vAlign w:val="center"/>
          </w:tcPr>
          <w:p w14:paraId="6056BB97">
            <w:pPr>
              <w:pStyle w:val="11"/>
              <w:bidi w:val="0"/>
              <w:jc w:val="center"/>
              <w:rPr>
                <w:rFonts w:hint="eastAsia" w:eastAsia="宋体"/>
                <w:color w:val="000000"/>
                <w:lang w:eastAsia="zh-CN"/>
              </w:rPr>
            </w:pPr>
            <w:r>
              <w:rPr>
                <w:rFonts w:hint="eastAsia"/>
                <w:color w:val="000000"/>
              </w:rPr>
              <w:t>3</w:t>
            </w:r>
          </w:p>
        </w:tc>
        <w:tc>
          <w:tcPr>
            <w:tcW w:w="890" w:type="pct"/>
            <w:shd w:val="clear" w:color="auto" w:fill="FFFFFF"/>
            <w:noWrap w:val="0"/>
            <w:tcMar>
              <w:top w:w="28" w:type="dxa"/>
              <w:left w:w="397" w:type="dxa"/>
              <w:bottom w:w="28" w:type="dxa"/>
              <w:right w:w="28" w:type="dxa"/>
            </w:tcMar>
            <w:vAlign w:val="center"/>
          </w:tcPr>
          <w:p w14:paraId="044BE0BA">
            <w:pPr>
              <w:pStyle w:val="11"/>
              <w:bidi w:val="0"/>
              <w:jc w:val="center"/>
              <w:rPr>
                <w:rFonts w:hint="eastAsia" w:eastAsia="宋体"/>
                <w:color w:val="000000"/>
                <w:lang w:eastAsia="zh-CN"/>
              </w:rPr>
            </w:pPr>
            <w:r>
              <w:rPr>
                <w:rFonts w:hint="eastAsia"/>
                <w:color w:val="000000"/>
              </w:rPr>
              <w:t>2183</w:t>
            </w:r>
          </w:p>
        </w:tc>
        <w:tc>
          <w:tcPr>
            <w:tcW w:w="889" w:type="pct"/>
            <w:shd w:val="clear" w:color="auto" w:fill="FFFFFF"/>
            <w:noWrap w:val="0"/>
            <w:tcMar>
              <w:left w:w="397" w:type="dxa"/>
            </w:tcMar>
            <w:vAlign w:val="center"/>
          </w:tcPr>
          <w:p w14:paraId="5B8AFF12">
            <w:pPr>
              <w:pStyle w:val="11"/>
              <w:bidi w:val="0"/>
              <w:jc w:val="center"/>
              <w:rPr>
                <w:rFonts w:hint="eastAsia" w:eastAsia="宋体"/>
                <w:color w:val="000000"/>
                <w:lang w:eastAsia="zh-CN"/>
              </w:rPr>
            </w:pPr>
            <w:r>
              <w:rPr>
                <w:rFonts w:hint="eastAsia"/>
                <w:color w:val="000000"/>
              </w:rPr>
              <w:t>6650</w:t>
            </w:r>
          </w:p>
        </w:tc>
        <w:tc>
          <w:tcPr>
            <w:tcW w:w="890" w:type="pct"/>
            <w:shd w:val="clear" w:color="auto" w:fill="FFFFFF"/>
            <w:noWrap w:val="0"/>
            <w:tcMar>
              <w:left w:w="397" w:type="dxa"/>
            </w:tcMar>
            <w:vAlign w:val="center"/>
          </w:tcPr>
          <w:p w14:paraId="30F25AD1">
            <w:pPr>
              <w:pStyle w:val="11"/>
              <w:bidi w:val="0"/>
              <w:jc w:val="center"/>
              <w:rPr>
                <w:rFonts w:hint="eastAsia" w:eastAsia="宋体"/>
                <w:color w:val="000000"/>
                <w:lang w:eastAsia="zh-CN"/>
              </w:rPr>
            </w:pPr>
            <w:r>
              <w:rPr>
                <w:rFonts w:hint="eastAsia"/>
                <w:color w:val="000000"/>
              </w:rPr>
              <w:t>2676</w:t>
            </w:r>
          </w:p>
        </w:tc>
      </w:tr>
      <w:tr w14:paraId="1DE762A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1439" w:type="pct"/>
            <w:shd w:val="clear" w:color="auto" w:fill="FFFFFF"/>
            <w:noWrap w:val="0"/>
            <w:vAlign w:val="center"/>
          </w:tcPr>
          <w:p w14:paraId="5B0E0E14">
            <w:pPr>
              <w:pStyle w:val="11"/>
              <w:bidi w:val="0"/>
              <w:ind w:leftChars="100"/>
              <w:jc w:val="both"/>
              <w:rPr>
                <w:rFonts w:hint="eastAsia" w:eastAsia="宋体"/>
                <w:color w:val="000000"/>
                <w:lang w:eastAsia="zh-CN"/>
              </w:rPr>
            </w:pPr>
            <w:r>
              <w:rPr>
                <w:rFonts w:hint="eastAsia"/>
                <w:color w:val="000000"/>
              </w:rPr>
              <w:t>特殊教育学校</w:t>
            </w:r>
          </w:p>
        </w:tc>
        <w:tc>
          <w:tcPr>
            <w:tcW w:w="890" w:type="pct"/>
            <w:shd w:val="clear" w:color="auto" w:fill="FFFFFF"/>
            <w:noWrap w:val="0"/>
            <w:tcMar>
              <w:top w:w="28" w:type="dxa"/>
              <w:left w:w="28" w:type="dxa"/>
              <w:bottom w:w="28" w:type="dxa"/>
              <w:right w:w="28" w:type="dxa"/>
            </w:tcMar>
            <w:vAlign w:val="center"/>
          </w:tcPr>
          <w:p w14:paraId="56D48149">
            <w:pPr>
              <w:pStyle w:val="11"/>
              <w:bidi w:val="0"/>
              <w:jc w:val="center"/>
              <w:rPr>
                <w:rFonts w:hint="eastAsia" w:eastAsia="宋体"/>
                <w:color w:val="000000"/>
                <w:lang w:eastAsia="zh-CN"/>
              </w:rPr>
            </w:pPr>
            <w:r>
              <w:rPr>
                <w:rFonts w:hint="eastAsia"/>
                <w:color w:val="000000"/>
              </w:rPr>
              <w:t>1</w:t>
            </w:r>
          </w:p>
        </w:tc>
        <w:tc>
          <w:tcPr>
            <w:tcW w:w="890" w:type="pct"/>
            <w:shd w:val="clear" w:color="auto" w:fill="FFFFFF"/>
            <w:noWrap w:val="0"/>
            <w:tcMar>
              <w:top w:w="28" w:type="dxa"/>
              <w:left w:w="397" w:type="dxa"/>
              <w:bottom w:w="28" w:type="dxa"/>
              <w:right w:w="28" w:type="dxa"/>
            </w:tcMar>
            <w:vAlign w:val="center"/>
          </w:tcPr>
          <w:p w14:paraId="29E48BDC">
            <w:pPr>
              <w:pStyle w:val="11"/>
              <w:bidi w:val="0"/>
              <w:jc w:val="center"/>
              <w:rPr>
                <w:rFonts w:hint="eastAsia" w:eastAsia="宋体"/>
                <w:color w:val="000000"/>
                <w:lang w:eastAsia="zh-CN"/>
              </w:rPr>
            </w:pPr>
            <w:r>
              <w:rPr>
                <w:rFonts w:hint="eastAsia"/>
                <w:color w:val="000000"/>
              </w:rPr>
              <w:t>22</w:t>
            </w:r>
          </w:p>
        </w:tc>
        <w:tc>
          <w:tcPr>
            <w:tcW w:w="889" w:type="pct"/>
            <w:shd w:val="clear" w:color="auto" w:fill="FFFFFF"/>
            <w:noWrap w:val="0"/>
            <w:tcMar>
              <w:left w:w="397" w:type="dxa"/>
            </w:tcMar>
            <w:vAlign w:val="center"/>
          </w:tcPr>
          <w:p w14:paraId="1498C80C">
            <w:pPr>
              <w:pStyle w:val="11"/>
              <w:bidi w:val="0"/>
              <w:jc w:val="center"/>
              <w:rPr>
                <w:rFonts w:hint="eastAsia" w:eastAsia="宋体"/>
                <w:color w:val="000000"/>
                <w:lang w:eastAsia="zh-CN"/>
              </w:rPr>
            </w:pPr>
            <w:r>
              <w:rPr>
                <w:rFonts w:hint="eastAsia"/>
                <w:color w:val="000000"/>
              </w:rPr>
              <w:t>86</w:t>
            </w:r>
          </w:p>
        </w:tc>
        <w:tc>
          <w:tcPr>
            <w:tcW w:w="890" w:type="pct"/>
            <w:shd w:val="clear" w:color="auto" w:fill="FFFFFF"/>
            <w:noWrap w:val="0"/>
            <w:tcMar>
              <w:left w:w="397" w:type="dxa"/>
            </w:tcMar>
            <w:vAlign w:val="center"/>
          </w:tcPr>
          <w:p w14:paraId="5EF096FA">
            <w:pPr>
              <w:pStyle w:val="11"/>
              <w:bidi w:val="0"/>
              <w:jc w:val="center"/>
              <w:rPr>
                <w:rFonts w:hint="eastAsia" w:eastAsia="宋体"/>
                <w:color w:val="000000"/>
                <w:lang w:eastAsia="zh-CN"/>
              </w:rPr>
            </w:pPr>
            <w:r>
              <w:rPr>
                <w:rFonts w:hint="eastAsia"/>
                <w:color w:val="000000"/>
              </w:rPr>
              <w:t>10</w:t>
            </w:r>
          </w:p>
        </w:tc>
      </w:tr>
      <w:tr w14:paraId="690C81F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1439" w:type="pct"/>
            <w:shd w:val="clear" w:color="auto" w:fill="FFFFFF"/>
            <w:noWrap w:val="0"/>
            <w:vAlign w:val="center"/>
          </w:tcPr>
          <w:p w14:paraId="279A10EC">
            <w:pPr>
              <w:pStyle w:val="11"/>
              <w:bidi w:val="0"/>
              <w:ind w:leftChars="100"/>
              <w:jc w:val="both"/>
              <w:rPr>
                <w:rFonts w:hint="eastAsia" w:eastAsia="宋体"/>
                <w:color w:val="000000"/>
                <w:lang w:eastAsia="zh-CN"/>
              </w:rPr>
            </w:pPr>
            <w:r>
              <w:rPr>
                <w:rFonts w:hint="eastAsia"/>
                <w:color w:val="000000"/>
              </w:rPr>
              <w:t>合计</w:t>
            </w:r>
          </w:p>
        </w:tc>
        <w:tc>
          <w:tcPr>
            <w:tcW w:w="890" w:type="pct"/>
            <w:shd w:val="clear" w:color="auto" w:fill="FFFFFF"/>
            <w:noWrap w:val="0"/>
            <w:tcMar>
              <w:top w:w="28" w:type="dxa"/>
              <w:left w:w="28" w:type="dxa"/>
              <w:bottom w:w="28" w:type="dxa"/>
              <w:right w:w="28" w:type="dxa"/>
            </w:tcMar>
            <w:vAlign w:val="center"/>
          </w:tcPr>
          <w:p w14:paraId="177B3730">
            <w:pPr>
              <w:pStyle w:val="11"/>
              <w:bidi w:val="0"/>
              <w:jc w:val="center"/>
              <w:rPr>
                <w:rFonts w:hint="eastAsia" w:eastAsia="宋体"/>
                <w:color w:val="000000"/>
                <w:lang w:eastAsia="zh-CN"/>
              </w:rPr>
            </w:pPr>
            <w:r>
              <w:rPr>
                <w:rFonts w:hint="eastAsia"/>
                <w:color w:val="000000"/>
              </w:rPr>
              <w:t>111</w:t>
            </w:r>
          </w:p>
        </w:tc>
        <w:tc>
          <w:tcPr>
            <w:tcW w:w="890" w:type="pct"/>
            <w:shd w:val="clear" w:color="auto" w:fill="FFFFFF"/>
            <w:noWrap w:val="0"/>
            <w:tcMar>
              <w:top w:w="28" w:type="dxa"/>
              <w:left w:w="397" w:type="dxa"/>
              <w:bottom w:w="28" w:type="dxa"/>
              <w:right w:w="28" w:type="dxa"/>
            </w:tcMar>
            <w:vAlign w:val="center"/>
          </w:tcPr>
          <w:p w14:paraId="413A1263">
            <w:pPr>
              <w:pStyle w:val="11"/>
              <w:bidi w:val="0"/>
              <w:jc w:val="center"/>
              <w:rPr>
                <w:rFonts w:hint="eastAsia" w:eastAsia="宋体"/>
                <w:color w:val="000000"/>
                <w:lang w:eastAsia="zh-CN"/>
              </w:rPr>
            </w:pPr>
            <w:r>
              <w:rPr>
                <w:rFonts w:hint="eastAsia"/>
                <w:color w:val="000000"/>
              </w:rPr>
              <w:t>18384</w:t>
            </w:r>
          </w:p>
        </w:tc>
        <w:tc>
          <w:tcPr>
            <w:tcW w:w="889" w:type="pct"/>
            <w:shd w:val="clear" w:color="auto" w:fill="FFFFFF"/>
            <w:noWrap w:val="0"/>
            <w:tcMar>
              <w:left w:w="397" w:type="dxa"/>
            </w:tcMar>
            <w:vAlign w:val="center"/>
          </w:tcPr>
          <w:p w14:paraId="7FCBCF2D">
            <w:pPr>
              <w:pStyle w:val="11"/>
              <w:bidi w:val="0"/>
              <w:jc w:val="center"/>
              <w:rPr>
                <w:rFonts w:hint="eastAsia" w:eastAsia="宋体"/>
                <w:color w:val="000000"/>
                <w:lang w:eastAsia="zh-CN"/>
              </w:rPr>
            </w:pPr>
            <w:r>
              <w:rPr>
                <w:rFonts w:hint="eastAsia"/>
                <w:color w:val="000000"/>
              </w:rPr>
              <w:t>65174</w:t>
            </w:r>
          </w:p>
        </w:tc>
        <w:tc>
          <w:tcPr>
            <w:tcW w:w="890" w:type="pct"/>
            <w:shd w:val="clear" w:color="auto" w:fill="FFFFFF"/>
            <w:noWrap w:val="0"/>
            <w:tcMar>
              <w:left w:w="397" w:type="dxa"/>
            </w:tcMar>
            <w:vAlign w:val="center"/>
          </w:tcPr>
          <w:p w14:paraId="30FFBBE6">
            <w:pPr>
              <w:pStyle w:val="11"/>
              <w:bidi w:val="0"/>
              <w:jc w:val="center"/>
              <w:rPr>
                <w:rFonts w:hint="eastAsia" w:eastAsia="宋体"/>
                <w:color w:val="000000"/>
                <w:lang w:eastAsia="zh-CN"/>
              </w:rPr>
            </w:pPr>
            <w:r>
              <w:rPr>
                <w:rFonts w:hint="eastAsia"/>
                <w:color w:val="000000"/>
              </w:rPr>
              <w:t>17622</w:t>
            </w:r>
          </w:p>
        </w:tc>
      </w:tr>
    </w:tbl>
    <w:p w14:paraId="1C79AC24">
      <w:pPr>
        <w:bidi w:val="0"/>
        <w:rPr>
          <w:rFonts w:hint="eastAsia"/>
        </w:rPr>
      </w:pPr>
      <w:r>
        <w:rPr>
          <w:rFonts w:hint="eastAsia"/>
        </w:rPr>
        <w:t>成人高等教育在校学生777人。其中本科生358人，大专生419人。当年毕业生224人。当年招生253人，其中本科生111人，大专生142人。中等职业学校在校学生1422人，毕业149人，招生648人。</w:t>
      </w:r>
    </w:p>
    <w:p w14:paraId="58E7F250">
      <w:pPr>
        <w:bidi w:val="0"/>
        <w:rPr>
          <w:rFonts w:hint="eastAsia"/>
        </w:rPr>
      </w:pPr>
      <w:r>
        <w:rPr>
          <w:rFonts w:hint="eastAsia"/>
        </w:rPr>
        <w:t>基础教育专任教师4349人。其中，城区1889人，镇区1818人，乡村642人。中等职业学校专任教师109人。其中，中级60人，副高级33人。</w:t>
      </w:r>
    </w:p>
    <w:p w14:paraId="04F184D7">
      <w:pPr>
        <w:bidi w:val="0"/>
        <w:rPr>
          <w:rFonts w:hint="eastAsia"/>
        </w:rPr>
      </w:pPr>
      <w:r>
        <w:rPr>
          <w:rFonts w:hint="eastAsia"/>
        </w:rPr>
        <w:t>荣获“省推进教育现代化先进市”称号。市第三小学、机关幼儿园总园、财贸幼儿园八一路校区、古市镇中心幼儿园新校园等建成投入使用，乌迳镇第二小学建设稳步推进。</w:t>
      </w:r>
    </w:p>
    <w:p w14:paraId="323E3DD2">
      <w:pPr>
        <w:bidi w:val="0"/>
        <w:rPr>
          <w:rFonts w:hint="eastAsia"/>
        </w:rPr>
      </w:pPr>
      <w:r>
        <w:rPr>
          <w:rFonts w:hint="eastAsia"/>
        </w:rPr>
        <w:t>年末全市有高新技术企业27家，比上年增加5家。全年专利申请578件。专利授权336件，其中发明专利授权40件，实用新颖授权143件，外观设计153件。</w:t>
      </w:r>
    </w:p>
    <w:p w14:paraId="519BDA80">
      <w:pPr>
        <w:bidi w:val="0"/>
        <w:rPr>
          <w:rFonts w:hint="eastAsia"/>
          <w:b/>
          <w:bCs/>
        </w:rPr>
      </w:pPr>
      <w:r>
        <w:rPr>
          <w:rFonts w:hint="eastAsia"/>
          <w:b/>
          <w:bCs/>
        </w:rPr>
        <w:t>九、文化、卫生和体育</w:t>
      </w:r>
    </w:p>
    <w:p w14:paraId="45620AAD">
      <w:pPr>
        <w:bidi w:val="0"/>
        <w:rPr>
          <w:rFonts w:hint="eastAsia"/>
        </w:rPr>
      </w:pPr>
      <w:r>
        <w:rPr>
          <w:rFonts w:hint="eastAsia"/>
        </w:rPr>
        <w:t>年末全市有文化馆1个，文化站18个。公共图书馆1个，建筑面积2000平方米，馆藏图书5.59万册。博物馆1个，建筑面积2500平方米。放映单位4家。全市群众文化设施建筑面积36755平方米，同比增长12.6%。有线广播电视用户85953户，同比下降0.02%。全市有文物保护单位55个。其中，国家级2个；省级13个；县级40个。</w:t>
      </w:r>
    </w:p>
    <w:p w14:paraId="3C9A86FF">
      <w:pPr>
        <w:bidi w:val="0"/>
        <w:rPr>
          <w:rFonts w:hint="eastAsia"/>
        </w:rPr>
      </w:pPr>
      <w:r>
        <w:rPr>
          <w:rFonts w:hint="eastAsia"/>
        </w:rPr>
        <w:t>年末全市有卫生事业机构79个。其中，医院2个；卫生院18个；社区卫生服务中心（站）1个；诊所、卫生所和医务室51个。病床总数1447张。各类卫生技术人员2168人。其中，执业医师578人；注册护士996人。全年诊疗81.63万人次。全市有卫生防疫人员535人。农村卫生厕所普及率98.66%；农村自来水普及率89.1%。</w:t>
      </w:r>
    </w:p>
    <w:p w14:paraId="14D6E533">
      <w:pPr>
        <w:bidi w:val="0"/>
        <w:rPr>
          <w:rFonts w:hint="eastAsia"/>
        </w:rPr>
      </w:pPr>
      <w:r>
        <w:rPr>
          <w:rFonts w:hint="eastAsia"/>
        </w:rPr>
        <w:t>市人民医院省级远程医疗会诊平台开通上线，市第二人民医院完成主体工程建设，市中医院妇计院医共体、市人民医院住院综合楼项目加快推进，完成81间公建民营村卫生站建设。</w:t>
      </w:r>
    </w:p>
    <w:p w14:paraId="60FE0175">
      <w:pPr>
        <w:bidi w:val="0"/>
        <w:rPr>
          <w:rFonts w:hint="eastAsia"/>
        </w:rPr>
      </w:pPr>
      <w:r>
        <w:rPr>
          <w:rFonts w:hint="eastAsia"/>
        </w:rPr>
        <w:t>全市有体育场15个，250米田径场28个。组织体育健儿参加地级市以上运动会2次，获得奖牌83枚。其中，金牌16枚、银牌47枚、铜牌20枚。全市有体育指导员1679人。其中，一级17人，二级325人，三级1337人。建成镇级农民健身工程276个。</w:t>
      </w:r>
    </w:p>
    <w:p w14:paraId="099061B5">
      <w:pPr>
        <w:bidi w:val="0"/>
        <w:rPr>
          <w:rFonts w:hint="eastAsia"/>
          <w:b/>
          <w:bCs/>
        </w:rPr>
      </w:pPr>
      <w:r>
        <w:rPr>
          <w:rFonts w:hint="eastAsia"/>
          <w:b/>
          <w:bCs/>
        </w:rPr>
        <w:t>十、人民生活、社会保障和安全生产</w:t>
      </w:r>
    </w:p>
    <w:p w14:paraId="01F3BEE0">
      <w:pPr>
        <w:bidi w:val="0"/>
        <w:rPr>
          <w:rFonts w:hint="eastAsia"/>
        </w:rPr>
      </w:pPr>
      <w:r>
        <w:rPr>
          <w:rFonts w:hint="eastAsia"/>
        </w:rPr>
        <w:t>2018年，南雄城乡居民人均可支配收入21709元，同比名义增长7.7%。按常住地划分，城镇常住居民人均可支配收入26776元，名义增长7.3%；农村常住居民人均可支配收入14962元，名义增长9.8%。城乡居民收入比为1.79∶1。</w:t>
      </w:r>
    </w:p>
    <w:p w14:paraId="64B2EBC6">
      <w:pPr>
        <w:bidi w:val="0"/>
        <w:rPr>
          <w:rFonts w:hint="eastAsia"/>
        </w:rPr>
      </w:pPr>
      <w:r>
        <w:rPr>
          <w:rFonts w:hint="eastAsia"/>
        </w:rPr>
        <w:t>年末，全市省定贫困村68个，贫困户5777户，贫困人口14767人。通过精准帮扶，2018年实现脱贫5451户，脱贫人口13691人。</w:t>
      </w:r>
    </w:p>
    <w:p w14:paraId="75E1E391">
      <w:pPr>
        <w:bidi w:val="0"/>
        <w:rPr>
          <w:rFonts w:hint="eastAsia"/>
        </w:rPr>
      </w:pPr>
      <w:r>
        <w:rPr>
          <w:rFonts w:hint="eastAsia"/>
        </w:rPr>
        <w:t>参加基本养老保险38104人，同比增长5.7%；参加城乡居民基本养老保险211116人，增长6%。参加失业保险21613人，增长2.2%。参加医疗保险424306人，下降0.34%。其中，参加城镇职工基本医疗保险36712人，增长3.7%；参加城乡居民医疗保险人数387594人，下降0.7%。年末离退休职工17737人。养老保险基金征缴额23055万元。</w:t>
      </w:r>
    </w:p>
    <w:p w14:paraId="107C3F0D">
      <w:pPr>
        <w:bidi w:val="0"/>
        <w:rPr>
          <w:rFonts w:hint="eastAsia"/>
        </w:rPr>
      </w:pPr>
      <w:r>
        <w:rPr>
          <w:rFonts w:hint="eastAsia"/>
        </w:rPr>
        <w:t>全市有敬老院18所，供养人数301人。农村居民最低生活保障9136人，城镇居民最低生活保障877人。登记注册社会团体组织209个。社会福利收养性单位1个，收养床位数50张。</w:t>
      </w:r>
    </w:p>
    <w:p w14:paraId="621ACD0A">
      <w:pPr>
        <w:bidi w:val="0"/>
        <w:rPr>
          <w:rFonts w:hint="eastAsia"/>
        </w:rPr>
      </w:pPr>
      <w:r>
        <w:rPr>
          <w:rFonts w:hint="eastAsia"/>
        </w:rPr>
        <w:t>全年发生各类安全生产事故172起，死亡5人，受伤17人，直接经济损失133.7万元。其中，道路交通事故18起，死亡4人，受伤17人；工矿商贸企业事故1起，死亡1人；消防火灾事故153起，无死亡和受伤。</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A0FF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83D909C">
            <w:pPr>
              <w:bidi w:val="0"/>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3579495" cy="2679700"/>
                  <wp:effectExtent l="0" t="0" r="1905" b="6350"/>
                  <wp:docPr id="149" name="图片 14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8"/>
                          <pic:cNvPicPr>
                            <a:picLocks noChangeAspect="1"/>
                          </pic:cNvPicPr>
                        </pic:nvPicPr>
                        <pic:blipFill>
                          <a:blip r:embed="rId136"/>
                          <a:stretch>
                            <a:fillRect/>
                          </a:stretch>
                        </pic:blipFill>
                        <pic:spPr>
                          <a:xfrm>
                            <a:off x="0" y="0"/>
                            <a:ext cx="3579495" cy="2679700"/>
                          </a:xfrm>
                          <a:prstGeom prst="rect">
                            <a:avLst/>
                          </a:prstGeom>
                        </pic:spPr>
                      </pic:pic>
                    </a:graphicData>
                  </a:graphic>
                </wp:inline>
              </w:drawing>
            </w:r>
          </w:p>
        </w:tc>
      </w:tr>
    </w:tbl>
    <w:p w14:paraId="10808B65">
      <w:pPr>
        <w:bidi w:val="0"/>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DDDD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5C506C3">
            <w:pPr>
              <w:bidi w:val="0"/>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3896360" cy="2900680"/>
                  <wp:effectExtent l="0" t="0" r="8890" b="13970"/>
                  <wp:docPr id="150" name="图片 15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9"/>
                          <pic:cNvPicPr>
                            <a:picLocks noChangeAspect="1"/>
                          </pic:cNvPicPr>
                        </pic:nvPicPr>
                        <pic:blipFill>
                          <a:blip r:embed="rId137"/>
                          <a:stretch>
                            <a:fillRect/>
                          </a:stretch>
                        </pic:blipFill>
                        <pic:spPr>
                          <a:xfrm>
                            <a:off x="0" y="0"/>
                            <a:ext cx="3896360" cy="2900680"/>
                          </a:xfrm>
                          <a:prstGeom prst="rect">
                            <a:avLst/>
                          </a:prstGeom>
                        </pic:spPr>
                      </pic:pic>
                    </a:graphicData>
                  </a:graphic>
                </wp:inline>
              </w:drawing>
            </w:r>
          </w:p>
        </w:tc>
      </w:tr>
    </w:tbl>
    <w:p w14:paraId="2AD6EBCE">
      <w:pPr>
        <w:bidi w:val="0"/>
        <w:rPr>
          <w:rFonts w:hint="eastAsia"/>
          <w:b/>
          <w:bCs/>
        </w:rPr>
      </w:pPr>
      <w:r>
        <w:rPr>
          <w:rFonts w:hint="eastAsia"/>
          <w:b/>
          <w:bCs/>
        </w:rPr>
        <w:t>十一、人口、资源、环境和社会</w:t>
      </w:r>
    </w:p>
    <w:p w14:paraId="23AFFB30">
      <w:pPr>
        <w:bidi w:val="0"/>
        <w:rPr>
          <w:rFonts w:hint="eastAsia"/>
        </w:rPr>
      </w:pPr>
      <w:r>
        <w:rPr>
          <w:rFonts w:hint="eastAsia"/>
        </w:rPr>
        <w:t>年末南雄市常住人口33.75万人，比上年增加0.21万人，增长0.62%。常住人口城镇化率48.18%，比上年提高0.92个百分点。全市户籍人口49.22万人，比上年增加0.17万人。全年出生人口6736人，人口出生率13.29‰；死亡人口3004人，人口死亡率5.9‰；人口自然增长率7.37‰。</w:t>
      </w:r>
    </w:p>
    <w:p w14:paraId="571D95D0">
      <w:pPr>
        <w:bidi w:val="0"/>
        <w:rPr>
          <w:rFonts w:hint="eastAsia"/>
        </w:rPr>
      </w:pPr>
      <w:r>
        <w:rPr>
          <w:rFonts w:hint="eastAsia"/>
        </w:rPr>
        <w:t>行政区域土地面积2326.18平方千米。其中，建成区面积119.84平方千米。年末耕地总资源43368.82公顷，其中，水田29280.62公顷，水浇地76.14公顷。</w:t>
      </w:r>
    </w:p>
    <w:p w14:paraId="4396A662">
      <w:pPr>
        <w:bidi w:val="0"/>
        <w:rPr>
          <w:rFonts w:hint="eastAsia"/>
        </w:rPr>
      </w:pPr>
      <w:r>
        <w:rPr>
          <w:rFonts w:hint="eastAsia"/>
        </w:rPr>
        <w:t>全市林地面积159032公顷，森林面积151864公顷，林木蓄积量836.09万立方米，森林覆盖率65.28%。生态公益林总面积7.469万公顷，全年林木采伐量3.04万立方米。全年造林面积3175.53公顷。</w:t>
      </w:r>
    </w:p>
    <w:p w14:paraId="276028AE">
      <w:pPr>
        <w:bidi w:val="0"/>
        <w:rPr>
          <w:rFonts w:hint="eastAsia"/>
        </w:rPr>
      </w:pPr>
      <w:r>
        <w:rPr>
          <w:rFonts w:hint="eastAsia"/>
        </w:rPr>
        <w:t>建立国家级湿地公园1个；省级森林公园2个；市级森林公园2个；县级森林公园13个。自然保护区4个，规划总面积169.73平方千米。建成区绿化覆盖面积443.54公顷。全市园林绿地面积415.59公顷，其中公共绿地面积86.91公顷。</w:t>
      </w:r>
    </w:p>
    <w:p w14:paraId="008AD82B">
      <w:pPr>
        <w:bidi w:val="0"/>
        <w:rPr>
          <w:rFonts w:hint="eastAsia"/>
        </w:rPr>
      </w:pPr>
      <w:r>
        <w:rPr>
          <w:rFonts w:hint="eastAsia"/>
        </w:rPr>
        <w:t>全年治理水土流失面积10平方千米；审批开发建设项目水土保持方案16宗。</w:t>
      </w:r>
    </w:p>
    <w:p w14:paraId="4F9323FE">
      <w:pPr>
        <w:bidi w:val="0"/>
        <w:rPr>
          <w:rFonts w:hint="eastAsia"/>
        </w:rPr>
      </w:pPr>
      <w:r>
        <w:rPr>
          <w:rFonts w:hint="eastAsia"/>
        </w:rPr>
        <w:t>全市气象观测场1个。全年降雨量1454毫米，比上年增加183.1毫米。年平均气温20.5℃。全年日照时数1671.3小时，比上年增加17.2小时。年极端最高气温37.6℃，年极端最低气温-3.1℃。</w:t>
      </w:r>
    </w:p>
    <w:p w14:paraId="238AD6EA">
      <w:pPr>
        <w:bidi w:val="0"/>
        <w:rPr>
          <w:rFonts w:hint="eastAsia"/>
        </w:rPr>
      </w:pPr>
      <w:r>
        <w:rPr>
          <w:rFonts w:hint="eastAsia"/>
        </w:rPr>
        <w:t>全年能源消费总量85.41万吨标准煤，同比增长51.09%，其中，第一产业能源消费9.99万吨标准煤，增长25.35%；第二产业能源消费54.53万吨标准煤，增长87.97%；第三产业能源消费10.52万吨标准煤，下降0.94%。单位GDP能耗0.757吨标准煤/万元，同比增长40.55%。单位工业增加值能耗1.18吨标准煤/万元，同比增长307.8%。单位GDP电耗626.79千瓦时/万元，增长28.2%。</w:t>
      </w:r>
    </w:p>
    <w:p w14:paraId="592F8173">
      <w:pPr>
        <w:bidi w:val="0"/>
        <w:rPr>
          <w:rFonts w:hint="eastAsia"/>
        </w:rPr>
      </w:pPr>
      <w:r>
        <w:rPr>
          <w:rFonts w:hint="eastAsia"/>
        </w:rPr>
        <w:t>全社会用电量70724万千瓦时，同比增长37.8%。其中，第一产业用电2582万千瓦时，增长3%；第二产业用电37990万千瓦时，增长68.1%（其中，工业用电36678万千瓦时，增长71.9%）；第三产业用电11666万千瓦时，增长16.4%。城乡居民生活用电18486万千瓦时，增长14.2%，其中，城镇居民用电7810万千瓦时，增长12.6%，乡村居民用电10677万千瓦时，增长15.4%。</w:t>
      </w:r>
    </w:p>
    <w:p w14:paraId="2828FA48">
      <w:pPr>
        <w:bidi w:val="0"/>
        <w:rPr>
          <w:rFonts w:hint="eastAsia"/>
        </w:rPr>
      </w:pPr>
      <w:r>
        <w:rPr>
          <w:rFonts w:hint="eastAsia"/>
        </w:rPr>
        <w:t>全市有污水处理厂4个。城市污水处理率94.84%。工业废水排放达标率100%。城市PM2.5浓度29，城区空气质量优良以上天数336天，城市空气质量优良天数比率95.45%。地表水达到或好于Ⅲ类水体断面比例100%。城市生活垃圾无害化处理率95%，比上年提高5个百分点。</w:t>
      </w:r>
    </w:p>
    <w:p w14:paraId="6250E5B5">
      <w:pPr>
        <w:bidi w:val="0"/>
        <w:rPr>
          <w:rFonts w:hint="eastAsia"/>
        </w:rPr>
      </w:pPr>
      <w:r>
        <w:rPr>
          <w:rFonts w:hint="eastAsia"/>
        </w:rPr>
        <w:t>全年刑事立案204件，同比下降8.3%。刑事案审结217件，审结率86.1%；民事立案1984件，同比增长38.8%。民事案审结2041件，审结率93.8%。劳动仲裁立案55件，结案55件，劳动仲裁结案率100%。</w:t>
      </w:r>
    </w:p>
    <w:p w14:paraId="7995120F">
      <w:pPr>
        <w:bidi w:val="0"/>
        <w:rPr>
          <w:rFonts w:hint="eastAsia"/>
          <w:b/>
          <w:bCs/>
        </w:rPr>
      </w:pPr>
      <w:r>
        <w:rPr>
          <w:rFonts w:hint="eastAsia"/>
          <w:b/>
          <w:bCs/>
        </w:rPr>
        <w:t>注：</w:t>
      </w:r>
    </w:p>
    <w:p w14:paraId="1ECC40E0">
      <w:pPr>
        <w:bidi w:val="0"/>
        <w:rPr>
          <w:rFonts w:hint="eastAsia"/>
        </w:rPr>
      </w:pPr>
      <w:r>
        <w:rPr>
          <w:rFonts w:hint="eastAsia"/>
        </w:rPr>
        <w:t>〔1〕本公报中各项数据为初步统计数。部分数据由于四舍五入的原因，存在着与分项合计不等的情况。</w:t>
      </w:r>
    </w:p>
    <w:p w14:paraId="2F97EC56">
      <w:pPr>
        <w:bidi w:val="0"/>
        <w:rPr>
          <w:rFonts w:hint="eastAsia"/>
        </w:rPr>
      </w:pPr>
      <w:r>
        <w:rPr>
          <w:rFonts w:hint="eastAsia"/>
        </w:rPr>
        <w:t>〔2〕地区生产总值、各产业增加值和产值绝对数按当年价计算。地区生产总值和各产业增加值增长速度按可比价计算。</w:t>
      </w:r>
    </w:p>
    <w:p w14:paraId="178B8F05">
      <w:pPr>
        <w:bidi w:val="0"/>
        <w:rPr>
          <w:rFonts w:hint="eastAsia"/>
        </w:rPr>
      </w:pPr>
      <w:r>
        <w:rPr>
          <w:rFonts w:hint="eastAsia"/>
        </w:rPr>
        <w:t>〔3〕规模以上工业企业指年主营业务收入2000万元及以上的工业法人企业；固定资产投资项目统计起点500万元；限额以上批发企业指年主营业务收入2000万元及以上的批发法人企业；限额以上零售企业指年主营业务收入500万元及以上的零售法人企业；限额以上住宿餐饮企业指年主营业务收入200万元及以上的住宿餐饮法人企业。</w:t>
      </w:r>
    </w:p>
    <w:p w14:paraId="22D9344C">
      <w:pPr>
        <w:bidi w:val="0"/>
        <w:rPr>
          <w:rFonts w:hint="eastAsia"/>
        </w:rPr>
      </w:pPr>
      <w:r>
        <w:rPr>
          <w:rFonts w:hint="eastAsia"/>
        </w:rPr>
        <w:t>〔4〕2018年人民币对美元平均汇率为6.8632。</w:t>
      </w:r>
    </w:p>
    <w:p w14:paraId="1387F41F">
      <w:pPr>
        <w:bidi w:val="0"/>
        <w:rPr>
          <w:rFonts w:hint="eastAsia"/>
        </w:rPr>
      </w:pPr>
      <w:r>
        <w:rPr>
          <w:rFonts w:hint="eastAsia"/>
        </w:rPr>
        <w:t>〔5〕本公报中的居民消费价格指数是国家统计局韶关调查队发布的韶关市居民消费价格指数。</w:t>
      </w:r>
    </w:p>
    <w:p w14:paraId="0C41787C">
      <w:pPr>
        <w:bidi w:val="0"/>
        <w:rPr>
          <w:rFonts w:hint="eastAsia"/>
        </w:rPr>
      </w:pPr>
      <w:r>
        <w:rPr>
          <w:rFonts w:hint="eastAsia"/>
        </w:rPr>
        <w:t>〔6〕资料来源：本公报中城镇新增就业和登记失业率数据来自市人力资源和社会保障局；扶贫数据来自市扶贫办；社会保障数据来自韶关市社会保险服务管理局南雄分局；财政数据来自市财政局；货币金融数据来自中国人民银行南雄市支行；外贸进出口总额、利用外资等数据来自市商务局；互联网用户、邮电业务总量等数据来自邮政及通信部门（单位）；旅游数据来自市旅游局；教育数据来自市教育局；科学技术、专利数据来自市经信局；气象数据来自市气象局；水利、用水数据来自市水务局；用电量数据来自广东电网韶关南雄供电局；测绘数据来自市国土资源局；博物馆、公共图书馆、文化馆、广播电视等数据来自市文广新局；体育数据来自市体育局；卫生及人口计划生育数据来自市卫生和计划生育局；低保、社会组织数据来自市民政局；安全生产数据来自市安监局；环境监测数据来自市环保局；林业数据来自市林业局；水土流失治理数据来自市水保办；户籍人口数据来自市公安局；刑（民）事立（结）案数据来自市人民法院；劳动仲裁立（结）案数据来自市人力资源和社会保障局；城乡居民人均可支配收入数据来自国家统计局南雄调查队；其他数据来自市统计局。</w:t>
      </w:r>
    </w:p>
    <w:p w14:paraId="7C71B90C">
      <w:pPr>
        <w:pStyle w:val="3"/>
        <w:bidi w:val="0"/>
        <w:rPr>
          <w:rFonts w:hint="eastAsia"/>
        </w:rPr>
      </w:pPr>
      <w:r>
        <w:rPr>
          <w:rFonts w:hint="eastAsia"/>
        </w:rPr>
        <w:t>2018年南雄市国民经济和社会发展主要指标</w:t>
      </w:r>
    </w:p>
    <w:p w14:paraId="73FEF73F">
      <w:pPr>
        <w:pStyle w:val="4"/>
        <w:bidi w:val="0"/>
        <w:rPr>
          <w:rFonts w:hint="eastAsia"/>
        </w:rPr>
      </w:pPr>
      <w:r>
        <w:rPr>
          <w:rFonts w:hint="eastAsia"/>
        </w:rPr>
        <w:t>表32</w:t>
      </w:r>
      <w:r>
        <w:rPr>
          <w:rFonts w:hint="eastAsia"/>
          <w:lang w:val="en-US" w:eastAsia="zh-CN"/>
        </w:rPr>
        <w:t xml:space="preserve">  </w:t>
      </w:r>
      <w:r>
        <w:rPr>
          <w:rFonts w:hint="eastAsia"/>
        </w:rPr>
        <w:t>全市基本情况</w:t>
      </w:r>
    </w:p>
    <w:tbl>
      <w:tblPr>
        <w:tblStyle w:val="7"/>
        <w:tblW w:w="4998"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4380"/>
        <w:gridCol w:w="2709"/>
        <w:gridCol w:w="2709"/>
      </w:tblGrid>
      <w:tr w14:paraId="477C142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416" w:hRule="atLeast"/>
        </w:trPr>
        <w:tc>
          <w:tcPr>
            <w:tcW w:w="2235" w:type="pct"/>
            <w:shd w:val="clear" w:color="auto" w:fill="auto"/>
            <w:noWrap w:val="0"/>
            <w:tcMar>
              <w:top w:w="28" w:type="dxa"/>
              <w:left w:w="28" w:type="dxa"/>
              <w:bottom w:w="28" w:type="dxa"/>
              <w:right w:w="28" w:type="dxa"/>
            </w:tcMar>
            <w:vAlign w:val="center"/>
          </w:tcPr>
          <w:p w14:paraId="3565BD55">
            <w:pPr>
              <w:pStyle w:val="11"/>
              <w:bidi w:val="0"/>
              <w:jc w:val="center"/>
              <w:rPr>
                <w:rFonts w:hint="eastAsia" w:eastAsia="宋体"/>
                <w:b/>
                <w:bCs/>
                <w:color w:val="000000"/>
                <w:lang w:eastAsia="zh-CN"/>
              </w:rPr>
            </w:pPr>
            <w:r>
              <w:rPr>
                <w:rFonts w:hint="eastAsia"/>
                <w:b/>
                <w:bCs/>
                <w:color w:val="000000"/>
              </w:rPr>
              <w:t>指标</w:t>
            </w:r>
          </w:p>
        </w:tc>
        <w:tc>
          <w:tcPr>
            <w:tcW w:w="1382" w:type="pct"/>
            <w:shd w:val="clear" w:color="auto" w:fill="auto"/>
            <w:noWrap w:val="0"/>
            <w:tcMar>
              <w:top w:w="28" w:type="dxa"/>
              <w:left w:w="28" w:type="dxa"/>
              <w:bottom w:w="28" w:type="dxa"/>
              <w:right w:w="28" w:type="dxa"/>
            </w:tcMar>
            <w:vAlign w:val="center"/>
          </w:tcPr>
          <w:p w14:paraId="0559FA21">
            <w:pPr>
              <w:pStyle w:val="11"/>
              <w:bidi w:val="0"/>
              <w:jc w:val="center"/>
              <w:rPr>
                <w:rFonts w:hint="eastAsia" w:eastAsia="宋体"/>
                <w:b/>
                <w:bCs/>
                <w:color w:val="000000"/>
                <w:lang w:eastAsia="zh-CN"/>
              </w:rPr>
            </w:pPr>
            <w:r>
              <w:rPr>
                <w:rFonts w:hint="eastAsia"/>
                <w:b/>
                <w:bCs/>
                <w:color w:val="000000"/>
              </w:rPr>
              <w:t>计量单位</w:t>
            </w:r>
          </w:p>
        </w:tc>
        <w:tc>
          <w:tcPr>
            <w:tcW w:w="1382" w:type="pct"/>
            <w:shd w:val="clear" w:color="auto" w:fill="auto"/>
            <w:noWrap w:val="0"/>
            <w:tcMar>
              <w:top w:w="28" w:type="dxa"/>
              <w:left w:w="28" w:type="dxa"/>
              <w:bottom w:w="28" w:type="dxa"/>
              <w:right w:w="28" w:type="dxa"/>
            </w:tcMar>
            <w:vAlign w:val="center"/>
          </w:tcPr>
          <w:p w14:paraId="381CC968">
            <w:pPr>
              <w:pStyle w:val="11"/>
              <w:bidi w:val="0"/>
              <w:jc w:val="center"/>
              <w:rPr>
                <w:rFonts w:hint="eastAsia" w:eastAsia="宋体"/>
                <w:b/>
                <w:bCs/>
                <w:color w:val="000000"/>
                <w:lang w:eastAsia="zh-CN"/>
              </w:rPr>
            </w:pPr>
            <w:r>
              <w:rPr>
                <w:rFonts w:hint="eastAsia"/>
                <w:b/>
                <w:bCs/>
                <w:color w:val="000000"/>
              </w:rPr>
              <w:t>2018年</w:t>
            </w:r>
          </w:p>
        </w:tc>
      </w:tr>
      <w:tr w14:paraId="4337723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27D00D77">
            <w:pPr>
              <w:pStyle w:val="11"/>
              <w:bidi w:val="0"/>
              <w:jc w:val="both"/>
              <w:rPr>
                <w:rFonts w:hint="eastAsia" w:eastAsia="宋体"/>
                <w:color w:val="000000"/>
                <w:lang w:eastAsia="zh-CN"/>
              </w:rPr>
            </w:pPr>
            <w:r>
              <w:rPr>
                <w:rFonts w:hint="eastAsia"/>
                <w:color w:val="000000"/>
              </w:rPr>
              <w:t>一、行政区</w:t>
            </w:r>
          </w:p>
        </w:tc>
        <w:tc>
          <w:tcPr>
            <w:tcW w:w="1382" w:type="pct"/>
            <w:shd w:val="clear" w:color="auto" w:fill="auto"/>
            <w:noWrap w:val="0"/>
            <w:tcMar>
              <w:top w:w="28" w:type="dxa"/>
              <w:left w:w="28" w:type="dxa"/>
              <w:bottom w:w="28" w:type="dxa"/>
              <w:right w:w="28" w:type="dxa"/>
            </w:tcMar>
            <w:vAlign w:val="center"/>
          </w:tcPr>
          <w:p w14:paraId="3726E245">
            <w:pPr>
              <w:pStyle w:val="11"/>
              <w:bidi w:val="0"/>
              <w:jc w:val="center"/>
              <w:rPr>
                <w:rFonts w:hint="eastAsia"/>
                <w:color w:val="000000"/>
                <w:lang w:val="en-US"/>
              </w:rPr>
            </w:pPr>
          </w:p>
        </w:tc>
        <w:tc>
          <w:tcPr>
            <w:tcW w:w="1382" w:type="pct"/>
            <w:shd w:val="clear" w:color="auto" w:fill="auto"/>
            <w:noWrap w:val="0"/>
            <w:tcMar>
              <w:top w:w="28" w:type="dxa"/>
              <w:bottom w:w="28" w:type="dxa"/>
              <w:right w:w="28" w:type="dxa"/>
            </w:tcMar>
            <w:vAlign w:val="center"/>
          </w:tcPr>
          <w:p w14:paraId="3B93631D">
            <w:pPr>
              <w:pStyle w:val="11"/>
              <w:bidi w:val="0"/>
              <w:jc w:val="center"/>
              <w:rPr>
                <w:rFonts w:hint="eastAsia"/>
                <w:color w:val="000000"/>
                <w:lang w:val="en-US"/>
              </w:rPr>
            </w:pPr>
          </w:p>
        </w:tc>
      </w:tr>
      <w:tr w14:paraId="46E1212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1A2681DC">
            <w:pPr>
              <w:pStyle w:val="11"/>
              <w:bidi w:val="0"/>
              <w:ind w:leftChars="100"/>
              <w:jc w:val="both"/>
              <w:rPr>
                <w:rFonts w:hint="eastAsia" w:eastAsia="宋体"/>
                <w:color w:val="000000"/>
                <w:lang w:eastAsia="zh-CN"/>
              </w:rPr>
            </w:pPr>
            <w:r>
              <w:rPr>
                <w:rFonts w:hint="eastAsia"/>
                <w:color w:val="000000"/>
              </w:rPr>
              <w:t>镇（街道办事处）</w:t>
            </w:r>
          </w:p>
        </w:tc>
        <w:tc>
          <w:tcPr>
            <w:tcW w:w="1382" w:type="pct"/>
            <w:shd w:val="clear" w:color="auto" w:fill="auto"/>
            <w:noWrap w:val="0"/>
            <w:tcMar>
              <w:top w:w="28" w:type="dxa"/>
              <w:left w:w="28" w:type="dxa"/>
              <w:bottom w:w="28" w:type="dxa"/>
              <w:right w:w="28" w:type="dxa"/>
            </w:tcMar>
            <w:vAlign w:val="center"/>
          </w:tcPr>
          <w:p w14:paraId="53198CB7">
            <w:pPr>
              <w:pStyle w:val="11"/>
              <w:bidi w:val="0"/>
              <w:jc w:val="center"/>
              <w:rPr>
                <w:rFonts w:hint="eastAsia" w:eastAsia="宋体"/>
                <w:color w:val="000000"/>
                <w:lang w:eastAsia="zh-CN"/>
              </w:rPr>
            </w:pPr>
            <w:r>
              <w:rPr>
                <w:rFonts w:hint="eastAsia"/>
                <w:color w:val="000000"/>
              </w:rPr>
              <w:t>个</w:t>
            </w:r>
          </w:p>
        </w:tc>
        <w:tc>
          <w:tcPr>
            <w:tcW w:w="1382" w:type="pct"/>
            <w:shd w:val="clear" w:color="auto" w:fill="auto"/>
            <w:noWrap w:val="0"/>
            <w:tcMar>
              <w:top w:w="28" w:type="dxa"/>
              <w:bottom w:w="28" w:type="dxa"/>
              <w:right w:w="28" w:type="dxa"/>
            </w:tcMar>
            <w:vAlign w:val="center"/>
          </w:tcPr>
          <w:p w14:paraId="51F4B365">
            <w:pPr>
              <w:pStyle w:val="11"/>
              <w:bidi w:val="0"/>
              <w:jc w:val="center"/>
              <w:rPr>
                <w:rFonts w:hint="eastAsia" w:eastAsia="宋体"/>
                <w:color w:val="000000"/>
                <w:lang w:eastAsia="zh-CN"/>
              </w:rPr>
            </w:pPr>
            <w:r>
              <w:rPr>
                <w:rFonts w:hint="eastAsia"/>
                <w:color w:val="000000"/>
              </w:rPr>
              <w:t>18</w:t>
            </w:r>
          </w:p>
        </w:tc>
      </w:tr>
      <w:tr w14:paraId="76C17F3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030321AA">
            <w:pPr>
              <w:pStyle w:val="11"/>
              <w:bidi w:val="0"/>
              <w:ind w:leftChars="100"/>
              <w:jc w:val="both"/>
              <w:rPr>
                <w:rFonts w:hint="eastAsia" w:eastAsia="宋体"/>
                <w:color w:val="000000"/>
                <w:lang w:eastAsia="zh-CN"/>
              </w:rPr>
            </w:pPr>
            <w:r>
              <w:rPr>
                <w:rFonts w:hint="eastAsia"/>
                <w:color w:val="000000"/>
              </w:rPr>
              <w:t>村民委员会</w:t>
            </w:r>
          </w:p>
        </w:tc>
        <w:tc>
          <w:tcPr>
            <w:tcW w:w="1382" w:type="pct"/>
            <w:shd w:val="clear" w:color="auto" w:fill="auto"/>
            <w:noWrap w:val="0"/>
            <w:tcMar>
              <w:top w:w="28" w:type="dxa"/>
              <w:left w:w="28" w:type="dxa"/>
              <w:bottom w:w="28" w:type="dxa"/>
              <w:right w:w="28" w:type="dxa"/>
            </w:tcMar>
            <w:vAlign w:val="center"/>
          </w:tcPr>
          <w:p w14:paraId="6B6447FE">
            <w:pPr>
              <w:pStyle w:val="11"/>
              <w:bidi w:val="0"/>
              <w:jc w:val="center"/>
              <w:rPr>
                <w:rFonts w:hint="eastAsia" w:eastAsia="宋体"/>
                <w:color w:val="000000"/>
                <w:lang w:eastAsia="zh-CN"/>
              </w:rPr>
            </w:pPr>
            <w:r>
              <w:rPr>
                <w:rFonts w:hint="eastAsia"/>
                <w:color w:val="000000"/>
              </w:rPr>
              <w:t>个</w:t>
            </w:r>
          </w:p>
        </w:tc>
        <w:tc>
          <w:tcPr>
            <w:tcW w:w="1382" w:type="pct"/>
            <w:shd w:val="clear" w:color="auto" w:fill="auto"/>
            <w:noWrap w:val="0"/>
            <w:tcMar>
              <w:top w:w="28" w:type="dxa"/>
              <w:bottom w:w="28" w:type="dxa"/>
              <w:right w:w="28" w:type="dxa"/>
            </w:tcMar>
            <w:vAlign w:val="center"/>
          </w:tcPr>
          <w:p w14:paraId="0CBE57B7">
            <w:pPr>
              <w:pStyle w:val="11"/>
              <w:bidi w:val="0"/>
              <w:jc w:val="center"/>
              <w:rPr>
                <w:rFonts w:hint="eastAsia" w:eastAsia="宋体"/>
                <w:color w:val="000000"/>
                <w:lang w:eastAsia="zh-CN"/>
              </w:rPr>
            </w:pPr>
            <w:r>
              <w:rPr>
                <w:rFonts w:hint="eastAsia"/>
                <w:color w:val="000000"/>
              </w:rPr>
              <w:t>208</w:t>
            </w:r>
          </w:p>
        </w:tc>
      </w:tr>
      <w:tr w14:paraId="5AC47F5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705FDCE0">
            <w:pPr>
              <w:pStyle w:val="11"/>
              <w:bidi w:val="0"/>
              <w:ind w:leftChars="100"/>
              <w:jc w:val="both"/>
              <w:rPr>
                <w:rFonts w:hint="eastAsia" w:eastAsia="宋体"/>
                <w:color w:val="000000"/>
                <w:lang w:eastAsia="zh-CN"/>
              </w:rPr>
            </w:pPr>
            <w:r>
              <w:rPr>
                <w:rFonts w:hint="eastAsia"/>
                <w:color w:val="000000"/>
              </w:rPr>
              <w:t>居民委员会</w:t>
            </w:r>
          </w:p>
        </w:tc>
        <w:tc>
          <w:tcPr>
            <w:tcW w:w="1382" w:type="pct"/>
            <w:shd w:val="clear" w:color="auto" w:fill="auto"/>
            <w:noWrap w:val="0"/>
            <w:tcMar>
              <w:top w:w="28" w:type="dxa"/>
              <w:left w:w="28" w:type="dxa"/>
              <w:bottom w:w="28" w:type="dxa"/>
              <w:right w:w="28" w:type="dxa"/>
            </w:tcMar>
            <w:vAlign w:val="center"/>
          </w:tcPr>
          <w:p w14:paraId="7F94BB21">
            <w:pPr>
              <w:pStyle w:val="11"/>
              <w:bidi w:val="0"/>
              <w:jc w:val="center"/>
              <w:rPr>
                <w:rFonts w:hint="eastAsia" w:eastAsia="宋体"/>
                <w:color w:val="000000"/>
                <w:lang w:eastAsia="zh-CN"/>
              </w:rPr>
            </w:pPr>
            <w:r>
              <w:rPr>
                <w:rFonts w:hint="eastAsia"/>
                <w:color w:val="000000"/>
              </w:rPr>
              <w:t>个</w:t>
            </w:r>
          </w:p>
        </w:tc>
        <w:tc>
          <w:tcPr>
            <w:tcW w:w="1382" w:type="pct"/>
            <w:shd w:val="clear" w:color="auto" w:fill="auto"/>
            <w:noWrap w:val="0"/>
            <w:tcMar>
              <w:top w:w="28" w:type="dxa"/>
              <w:bottom w:w="28" w:type="dxa"/>
              <w:right w:w="28" w:type="dxa"/>
            </w:tcMar>
            <w:vAlign w:val="center"/>
          </w:tcPr>
          <w:p w14:paraId="7F8344FD">
            <w:pPr>
              <w:pStyle w:val="11"/>
              <w:bidi w:val="0"/>
              <w:jc w:val="center"/>
              <w:rPr>
                <w:rFonts w:hint="eastAsia" w:eastAsia="宋体"/>
                <w:color w:val="000000"/>
                <w:lang w:eastAsia="zh-CN"/>
              </w:rPr>
            </w:pPr>
            <w:r>
              <w:rPr>
                <w:rFonts w:hint="eastAsia"/>
                <w:color w:val="000000"/>
              </w:rPr>
              <w:t>24</w:t>
            </w:r>
          </w:p>
        </w:tc>
      </w:tr>
      <w:tr w14:paraId="30486D9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02B26C9A">
            <w:pPr>
              <w:pStyle w:val="11"/>
              <w:bidi w:val="0"/>
              <w:ind w:leftChars="100"/>
              <w:jc w:val="both"/>
              <w:rPr>
                <w:rFonts w:hint="eastAsia" w:eastAsia="宋体"/>
                <w:color w:val="000000"/>
                <w:lang w:eastAsia="zh-CN"/>
              </w:rPr>
            </w:pPr>
            <w:r>
              <w:rPr>
                <w:rFonts w:hint="eastAsia"/>
                <w:color w:val="000000"/>
              </w:rPr>
              <w:t>村民小组</w:t>
            </w:r>
          </w:p>
        </w:tc>
        <w:tc>
          <w:tcPr>
            <w:tcW w:w="1382" w:type="pct"/>
            <w:shd w:val="clear" w:color="auto" w:fill="auto"/>
            <w:noWrap w:val="0"/>
            <w:tcMar>
              <w:top w:w="28" w:type="dxa"/>
              <w:left w:w="28" w:type="dxa"/>
              <w:bottom w:w="28" w:type="dxa"/>
              <w:right w:w="28" w:type="dxa"/>
            </w:tcMar>
            <w:vAlign w:val="center"/>
          </w:tcPr>
          <w:p w14:paraId="07E4ECF8">
            <w:pPr>
              <w:pStyle w:val="11"/>
              <w:bidi w:val="0"/>
              <w:jc w:val="center"/>
              <w:rPr>
                <w:rFonts w:hint="eastAsia" w:eastAsia="宋体"/>
                <w:color w:val="000000"/>
                <w:lang w:eastAsia="zh-CN"/>
              </w:rPr>
            </w:pPr>
            <w:r>
              <w:rPr>
                <w:rFonts w:hint="eastAsia"/>
                <w:color w:val="000000"/>
              </w:rPr>
              <w:t>个</w:t>
            </w:r>
          </w:p>
        </w:tc>
        <w:tc>
          <w:tcPr>
            <w:tcW w:w="1382" w:type="pct"/>
            <w:shd w:val="clear" w:color="auto" w:fill="auto"/>
            <w:noWrap w:val="0"/>
            <w:tcMar>
              <w:top w:w="28" w:type="dxa"/>
              <w:bottom w:w="28" w:type="dxa"/>
              <w:right w:w="28" w:type="dxa"/>
            </w:tcMar>
            <w:vAlign w:val="center"/>
          </w:tcPr>
          <w:p w14:paraId="0CF2F619">
            <w:pPr>
              <w:pStyle w:val="11"/>
              <w:bidi w:val="0"/>
              <w:jc w:val="center"/>
              <w:rPr>
                <w:rFonts w:hint="eastAsia" w:eastAsia="宋体"/>
                <w:color w:val="000000"/>
                <w:lang w:eastAsia="zh-CN"/>
              </w:rPr>
            </w:pPr>
            <w:r>
              <w:rPr>
                <w:rFonts w:hint="eastAsia"/>
                <w:color w:val="000000"/>
              </w:rPr>
              <w:t>2585</w:t>
            </w:r>
          </w:p>
        </w:tc>
      </w:tr>
      <w:tr w14:paraId="32E92A8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49E45BC2">
            <w:pPr>
              <w:pStyle w:val="11"/>
              <w:bidi w:val="0"/>
              <w:jc w:val="both"/>
              <w:rPr>
                <w:rFonts w:hint="eastAsia" w:eastAsia="宋体"/>
                <w:color w:val="000000"/>
                <w:lang w:eastAsia="zh-CN"/>
              </w:rPr>
            </w:pPr>
            <w:r>
              <w:rPr>
                <w:rFonts w:hint="eastAsia"/>
                <w:color w:val="000000"/>
              </w:rPr>
              <w:t>二、人口</w:t>
            </w:r>
          </w:p>
        </w:tc>
        <w:tc>
          <w:tcPr>
            <w:tcW w:w="1382" w:type="pct"/>
            <w:shd w:val="clear" w:color="auto" w:fill="auto"/>
            <w:noWrap w:val="0"/>
            <w:tcMar>
              <w:top w:w="28" w:type="dxa"/>
              <w:left w:w="28" w:type="dxa"/>
              <w:bottom w:w="28" w:type="dxa"/>
              <w:right w:w="28" w:type="dxa"/>
            </w:tcMar>
            <w:vAlign w:val="center"/>
          </w:tcPr>
          <w:p w14:paraId="1D09BC79">
            <w:pPr>
              <w:pStyle w:val="11"/>
              <w:bidi w:val="0"/>
              <w:jc w:val="center"/>
              <w:rPr>
                <w:rFonts w:hint="eastAsia"/>
                <w:color w:val="000000"/>
                <w:lang w:val="en-US"/>
              </w:rPr>
            </w:pPr>
          </w:p>
        </w:tc>
        <w:tc>
          <w:tcPr>
            <w:tcW w:w="1382" w:type="pct"/>
            <w:shd w:val="clear" w:color="auto" w:fill="auto"/>
            <w:noWrap w:val="0"/>
            <w:tcMar>
              <w:top w:w="28" w:type="dxa"/>
              <w:bottom w:w="28" w:type="dxa"/>
              <w:right w:w="28" w:type="dxa"/>
            </w:tcMar>
            <w:vAlign w:val="center"/>
          </w:tcPr>
          <w:p w14:paraId="4FA803BF">
            <w:pPr>
              <w:pStyle w:val="11"/>
              <w:bidi w:val="0"/>
              <w:jc w:val="center"/>
              <w:rPr>
                <w:rFonts w:hint="eastAsia"/>
                <w:color w:val="000000"/>
                <w:lang w:val="en-US"/>
              </w:rPr>
            </w:pPr>
          </w:p>
        </w:tc>
      </w:tr>
      <w:tr w14:paraId="2493158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1FB0C50E">
            <w:pPr>
              <w:pStyle w:val="11"/>
              <w:bidi w:val="0"/>
              <w:ind w:leftChars="100"/>
              <w:jc w:val="both"/>
              <w:rPr>
                <w:rFonts w:hint="eastAsia" w:eastAsia="宋体"/>
                <w:color w:val="000000"/>
                <w:lang w:eastAsia="zh-CN"/>
              </w:rPr>
            </w:pPr>
            <w:r>
              <w:rPr>
                <w:rFonts w:hint="eastAsia"/>
                <w:color w:val="000000"/>
              </w:rPr>
              <w:t>年末户籍人口</w:t>
            </w:r>
          </w:p>
        </w:tc>
        <w:tc>
          <w:tcPr>
            <w:tcW w:w="1382" w:type="pct"/>
            <w:shd w:val="clear" w:color="auto" w:fill="auto"/>
            <w:noWrap w:val="0"/>
            <w:tcMar>
              <w:top w:w="28" w:type="dxa"/>
              <w:left w:w="28" w:type="dxa"/>
              <w:bottom w:w="28" w:type="dxa"/>
              <w:right w:w="28" w:type="dxa"/>
            </w:tcMar>
            <w:vAlign w:val="center"/>
          </w:tcPr>
          <w:p w14:paraId="569F67BC">
            <w:pPr>
              <w:pStyle w:val="11"/>
              <w:bidi w:val="0"/>
              <w:jc w:val="center"/>
              <w:rPr>
                <w:rFonts w:hint="eastAsia" w:eastAsia="宋体"/>
                <w:color w:val="000000"/>
                <w:lang w:eastAsia="zh-CN"/>
              </w:rPr>
            </w:pPr>
            <w:r>
              <w:rPr>
                <w:rFonts w:hint="eastAsia"/>
                <w:color w:val="000000"/>
              </w:rPr>
              <w:t>万人</w:t>
            </w:r>
          </w:p>
        </w:tc>
        <w:tc>
          <w:tcPr>
            <w:tcW w:w="1382" w:type="pct"/>
            <w:shd w:val="clear" w:color="auto" w:fill="auto"/>
            <w:noWrap w:val="0"/>
            <w:tcMar>
              <w:top w:w="28" w:type="dxa"/>
              <w:bottom w:w="28" w:type="dxa"/>
              <w:right w:w="28" w:type="dxa"/>
            </w:tcMar>
            <w:vAlign w:val="center"/>
          </w:tcPr>
          <w:p w14:paraId="44B66724">
            <w:pPr>
              <w:pStyle w:val="11"/>
              <w:bidi w:val="0"/>
              <w:jc w:val="center"/>
              <w:rPr>
                <w:rFonts w:hint="eastAsia"/>
                <w:color w:val="000000"/>
              </w:rPr>
            </w:pPr>
            <w:r>
              <w:rPr>
                <w:rFonts w:hint="eastAsia"/>
                <w:color w:val="000000"/>
              </w:rPr>
              <w:t>49.22</w:t>
            </w:r>
          </w:p>
        </w:tc>
      </w:tr>
      <w:tr w14:paraId="4F8B3EF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75F5E675">
            <w:pPr>
              <w:pStyle w:val="11"/>
              <w:bidi w:val="0"/>
              <w:ind w:leftChars="100"/>
              <w:jc w:val="both"/>
              <w:rPr>
                <w:rFonts w:hint="eastAsia" w:eastAsia="宋体"/>
                <w:color w:val="000000"/>
                <w:lang w:eastAsia="zh-CN"/>
              </w:rPr>
            </w:pPr>
            <w:r>
              <w:rPr>
                <w:rFonts w:hint="eastAsia"/>
                <w:color w:val="000000"/>
              </w:rPr>
              <w:t>#城镇人口</w:t>
            </w:r>
          </w:p>
        </w:tc>
        <w:tc>
          <w:tcPr>
            <w:tcW w:w="1382" w:type="pct"/>
            <w:shd w:val="clear" w:color="auto" w:fill="auto"/>
            <w:noWrap w:val="0"/>
            <w:tcMar>
              <w:top w:w="28" w:type="dxa"/>
              <w:left w:w="28" w:type="dxa"/>
              <w:bottom w:w="28" w:type="dxa"/>
              <w:right w:w="28" w:type="dxa"/>
            </w:tcMar>
            <w:vAlign w:val="center"/>
          </w:tcPr>
          <w:p w14:paraId="59BD9188">
            <w:pPr>
              <w:pStyle w:val="11"/>
              <w:bidi w:val="0"/>
              <w:jc w:val="center"/>
              <w:rPr>
                <w:rFonts w:hint="eastAsia" w:eastAsia="宋体"/>
                <w:color w:val="000000"/>
                <w:lang w:eastAsia="zh-CN"/>
              </w:rPr>
            </w:pPr>
            <w:r>
              <w:rPr>
                <w:rFonts w:hint="eastAsia"/>
                <w:color w:val="000000"/>
              </w:rPr>
              <w:t>万人</w:t>
            </w:r>
          </w:p>
        </w:tc>
        <w:tc>
          <w:tcPr>
            <w:tcW w:w="1382" w:type="pct"/>
            <w:shd w:val="clear" w:color="auto" w:fill="auto"/>
            <w:noWrap w:val="0"/>
            <w:tcMar>
              <w:top w:w="28" w:type="dxa"/>
              <w:bottom w:w="28" w:type="dxa"/>
              <w:right w:w="28" w:type="dxa"/>
            </w:tcMar>
            <w:vAlign w:val="center"/>
          </w:tcPr>
          <w:p w14:paraId="0690DA50">
            <w:pPr>
              <w:pStyle w:val="11"/>
              <w:bidi w:val="0"/>
              <w:jc w:val="center"/>
              <w:rPr>
                <w:rFonts w:hint="eastAsia"/>
                <w:color w:val="000000"/>
              </w:rPr>
            </w:pPr>
            <w:r>
              <w:rPr>
                <w:rFonts w:hint="eastAsia"/>
                <w:color w:val="000000"/>
              </w:rPr>
              <w:t>15.09</w:t>
            </w:r>
          </w:p>
        </w:tc>
      </w:tr>
      <w:tr w14:paraId="70E44C4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2ED2DBED">
            <w:pPr>
              <w:pStyle w:val="11"/>
              <w:bidi w:val="0"/>
              <w:ind w:leftChars="100"/>
              <w:jc w:val="both"/>
              <w:rPr>
                <w:rFonts w:hint="eastAsia" w:eastAsia="宋体"/>
                <w:color w:val="000000"/>
                <w:lang w:eastAsia="zh-CN"/>
              </w:rPr>
            </w:pPr>
            <w:r>
              <w:rPr>
                <w:rFonts w:hint="eastAsia"/>
                <w:color w:val="000000"/>
              </w:rPr>
              <w:t>乡村人口</w:t>
            </w:r>
          </w:p>
        </w:tc>
        <w:tc>
          <w:tcPr>
            <w:tcW w:w="1382" w:type="pct"/>
            <w:shd w:val="clear" w:color="auto" w:fill="auto"/>
            <w:noWrap w:val="0"/>
            <w:tcMar>
              <w:top w:w="28" w:type="dxa"/>
              <w:left w:w="28" w:type="dxa"/>
              <w:bottom w:w="28" w:type="dxa"/>
              <w:right w:w="28" w:type="dxa"/>
            </w:tcMar>
            <w:vAlign w:val="center"/>
          </w:tcPr>
          <w:p w14:paraId="0E55FEFC">
            <w:pPr>
              <w:pStyle w:val="11"/>
              <w:bidi w:val="0"/>
              <w:jc w:val="center"/>
              <w:rPr>
                <w:rFonts w:hint="eastAsia" w:eastAsia="宋体"/>
                <w:color w:val="000000"/>
                <w:lang w:eastAsia="zh-CN"/>
              </w:rPr>
            </w:pPr>
            <w:r>
              <w:rPr>
                <w:rFonts w:hint="eastAsia"/>
                <w:color w:val="000000"/>
              </w:rPr>
              <w:t>万人</w:t>
            </w:r>
          </w:p>
        </w:tc>
        <w:tc>
          <w:tcPr>
            <w:tcW w:w="1382" w:type="pct"/>
            <w:shd w:val="clear" w:color="auto" w:fill="auto"/>
            <w:noWrap w:val="0"/>
            <w:tcMar>
              <w:top w:w="28" w:type="dxa"/>
              <w:bottom w:w="28" w:type="dxa"/>
              <w:right w:w="28" w:type="dxa"/>
            </w:tcMar>
            <w:vAlign w:val="center"/>
          </w:tcPr>
          <w:p w14:paraId="659A0198">
            <w:pPr>
              <w:pStyle w:val="11"/>
              <w:bidi w:val="0"/>
              <w:jc w:val="center"/>
              <w:rPr>
                <w:rFonts w:hint="eastAsia"/>
                <w:color w:val="000000"/>
              </w:rPr>
            </w:pPr>
            <w:r>
              <w:rPr>
                <w:rFonts w:hint="eastAsia"/>
                <w:color w:val="000000"/>
              </w:rPr>
              <w:t>34.13</w:t>
            </w:r>
          </w:p>
        </w:tc>
      </w:tr>
      <w:tr w14:paraId="700A0C4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1FB8E453">
            <w:pPr>
              <w:pStyle w:val="11"/>
              <w:bidi w:val="0"/>
              <w:ind w:leftChars="100"/>
              <w:jc w:val="both"/>
              <w:rPr>
                <w:rFonts w:hint="eastAsia" w:eastAsia="宋体"/>
                <w:color w:val="000000"/>
                <w:lang w:eastAsia="zh-CN"/>
              </w:rPr>
            </w:pPr>
            <w:r>
              <w:rPr>
                <w:rFonts w:hint="eastAsia"/>
                <w:color w:val="000000"/>
              </w:rPr>
              <w:t>年末户籍总户数</w:t>
            </w:r>
          </w:p>
        </w:tc>
        <w:tc>
          <w:tcPr>
            <w:tcW w:w="1382" w:type="pct"/>
            <w:shd w:val="clear" w:color="auto" w:fill="auto"/>
            <w:noWrap w:val="0"/>
            <w:tcMar>
              <w:top w:w="28" w:type="dxa"/>
              <w:left w:w="28" w:type="dxa"/>
              <w:bottom w:w="28" w:type="dxa"/>
              <w:right w:w="28" w:type="dxa"/>
            </w:tcMar>
            <w:vAlign w:val="center"/>
          </w:tcPr>
          <w:p w14:paraId="36989C63">
            <w:pPr>
              <w:pStyle w:val="11"/>
              <w:bidi w:val="0"/>
              <w:jc w:val="center"/>
              <w:rPr>
                <w:rFonts w:hint="eastAsia" w:eastAsia="宋体"/>
                <w:color w:val="000000"/>
                <w:lang w:eastAsia="zh-CN"/>
              </w:rPr>
            </w:pPr>
            <w:r>
              <w:rPr>
                <w:rFonts w:hint="eastAsia"/>
                <w:color w:val="000000"/>
              </w:rPr>
              <w:t>万户</w:t>
            </w:r>
          </w:p>
        </w:tc>
        <w:tc>
          <w:tcPr>
            <w:tcW w:w="1382" w:type="pct"/>
            <w:shd w:val="clear" w:color="auto" w:fill="auto"/>
            <w:noWrap w:val="0"/>
            <w:tcMar>
              <w:top w:w="28" w:type="dxa"/>
              <w:bottom w:w="28" w:type="dxa"/>
              <w:right w:w="28" w:type="dxa"/>
            </w:tcMar>
            <w:vAlign w:val="center"/>
          </w:tcPr>
          <w:p w14:paraId="76943CE4">
            <w:pPr>
              <w:pStyle w:val="11"/>
              <w:bidi w:val="0"/>
              <w:jc w:val="center"/>
              <w:rPr>
                <w:rFonts w:hint="eastAsia"/>
                <w:color w:val="000000"/>
              </w:rPr>
            </w:pPr>
            <w:r>
              <w:rPr>
                <w:rFonts w:hint="eastAsia"/>
                <w:color w:val="000000"/>
              </w:rPr>
              <w:t>15.33</w:t>
            </w:r>
          </w:p>
        </w:tc>
      </w:tr>
      <w:tr w14:paraId="7992F82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0646487B">
            <w:pPr>
              <w:pStyle w:val="11"/>
              <w:bidi w:val="0"/>
              <w:ind w:leftChars="100"/>
              <w:jc w:val="both"/>
              <w:rPr>
                <w:rFonts w:hint="eastAsia" w:eastAsia="宋体"/>
                <w:color w:val="000000"/>
                <w:lang w:eastAsia="zh-CN"/>
              </w:rPr>
            </w:pPr>
            <w:r>
              <w:rPr>
                <w:rFonts w:hint="eastAsia"/>
                <w:color w:val="000000"/>
              </w:rPr>
              <w:t>年末常住人口</w:t>
            </w:r>
          </w:p>
        </w:tc>
        <w:tc>
          <w:tcPr>
            <w:tcW w:w="1382" w:type="pct"/>
            <w:shd w:val="clear" w:color="auto" w:fill="auto"/>
            <w:noWrap w:val="0"/>
            <w:tcMar>
              <w:top w:w="28" w:type="dxa"/>
              <w:left w:w="28" w:type="dxa"/>
              <w:bottom w:w="28" w:type="dxa"/>
              <w:right w:w="28" w:type="dxa"/>
            </w:tcMar>
            <w:vAlign w:val="center"/>
          </w:tcPr>
          <w:p w14:paraId="0B8F7F58">
            <w:pPr>
              <w:pStyle w:val="11"/>
              <w:bidi w:val="0"/>
              <w:jc w:val="center"/>
              <w:rPr>
                <w:rFonts w:hint="eastAsia" w:eastAsia="宋体"/>
                <w:color w:val="000000"/>
                <w:lang w:eastAsia="zh-CN"/>
              </w:rPr>
            </w:pPr>
            <w:r>
              <w:rPr>
                <w:rFonts w:hint="eastAsia"/>
                <w:color w:val="000000"/>
              </w:rPr>
              <w:t>万人</w:t>
            </w:r>
          </w:p>
        </w:tc>
        <w:tc>
          <w:tcPr>
            <w:tcW w:w="1382" w:type="pct"/>
            <w:shd w:val="clear" w:color="auto" w:fill="auto"/>
            <w:noWrap w:val="0"/>
            <w:tcMar>
              <w:top w:w="28" w:type="dxa"/>
              <w:bottom w:w="28" w:type="dxa"/>
              <w:right w:w="28" w:type="dxa"/>
            </w:tcMar>
            <w:vAlign w:val="center"/>
          </w:tcPr>
          <w:p w14:paraId="6F514CAC">
            <w:pPr>
              <w:pStyle w:val="11"/>
              <w:bidi w:val="0"/>
              <w:jc w:val="center"/>
              <w:rPr>
                <w:rFonts w:hint="eastAsia"/>
                <w:color w:val="000000"/>
              </w:rPr>
            </w:pPr>
            <w:r>
              <w:rPr>
                <w:rFonts w:hint="eastAsia"/>
                <w:color w:val="000000"/>
              </w:rPr>
              <w:t>33.75</w:t>
            </w:r>
          </w:p>
        </w:tc>
      </w:tr>
      <w:tr w14:paraId="3A3535E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5BFB3A6B">
            <w:pPr>
              <w:pStyle w:val="11"/>
              <w:bidi w:val="0"/>
              <w:ind w:leftChars="100"/>
              <w:jc w:val="both"/>
              <w:rPr>
                <w:rFonts w:hint="eastAsia" w:eastAsia="宋体"/>
                <w:color w:val="000000"/>
                <w:lang w:eastAsia="zh-CN"/>
              </w:rPr>
            </w:pPr>
            <w:r>
              <w:rPr>
                <w:rFonts w:hint="eastAsia"/>
                <w:color w:val="000000"/>
              </w:rPr>
              <w:t>#城镇人口</w:t>
            </w:r>
          </w:p>
        </w:tc>
        <w:tc>
          <w:tcPr>
            <w:tcW w:w="1382" w:type="pct"/>
            <w:shd w:val="clear" w:color="auto" w:fill="auto"/>
            <w:noWrap w:val="0"/>
            <w:tcMar>
              <w:top w:w="28" w:type="dxa"/>
              <w:left w:w="28" w:type="dxa"/>
              <w:bottom w:w="28" w:type="dxa"/>
              <w:right w:w="28" w:type="dxa"/>
            </w:tcMar>
            <w:vAlign w:val="center"/>
          </w:tcPr>
          <w:p w14:paraId="226DD19F">
            <w:pPr>
              <w:pStyle w:val="11"/>
              <w:bidi w:val="0"/>
              <w:jc w:val="center"/>
              <w:rPr>
                <w:rFonts w:hint="eastAsia" w:eastAsia="宋体"/>
                <w:color w:val="000000"/>
                <w:lang w:eastAsia="zh-CN"/>
              </w:rPr>
            </w:pPr>
            <w:r>
              <w:rPr>
                <w:rFonts w:hint="eastAsia"/>
                <w:color w:val="000000"/>
              </w:rPr>
              <w:t>万人</w:t>
            </w:r>
          </w:p>
        </w:tc>
        <w:tc>
          <w:tcPr>
            <w:tcW w:w="1382" w:type="pct"/>
            <w:shd w:val="clear" w:color="auto" w:fill="auto"/>
            <w:noWrap w:val="0"/>
            <w:tcMar>
              <w:top w:w="28" w:type="dxa"/>
              <w:bottom w:w="28" w:type="dxa"/>
              <w:right w:w="28" w:type="dxa"/>
            </w:tcMar>
            <w:vAlign w:val="center"/>
          </w:tcPr>
          <w:p w14:paraId="531F106C">
            <w:pPr>
              <w:pStyle w:val="11"/>
              <w:bidi w:val="0"/>
              <w:jc w:val="center"/>
              <w:rPr>
                <w:rFonts w:hint="eastAsia"/>
                <w:color w:val="000000"/>
              </w:rPr>
            </w:pPr>
            <w:r>
              <w:rPr>
                <w:rFonts w:hint="eastAsia"/>
                <w:color w:val="000000"/>
              </w:rPr>
              <w:t>16.26</w:t>
            </w:r>
          </w:p>
        </w:tc>
      </w:tr>
      <w:tr w14:paraId="37EFB3C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69A00560">
            <w:pPr>
              <w:pStyle w:val="11"/>
              <w:bidi w:val="0"/>
              <w:ind w:leftChars="100"/>
              <w:jc w:val="both"/>
              <w:rPr>
                <w:rFonts w:hint="eastAsia" w:eastAsia="宋体"/>
                <w:color w:val="000000"/>
                <w:lang w:eastAsia="zh-CN"/>
              </w:rPr>
            </w:pPr>
            <w:r>
              <w:rPr>
                <w:rFonts w:hint="eastAsia"/>
                <w:color w:val="000000"/>
              </w:rPr>
              <w:t>农村人口</w:t>
            </w:r>
          </w:p>
        </w:tc>
        <w:tc>
          <w:tcPr>
            <w:tcW w:w="1382" w:type="pct"/>
            <w:shd w:val="clear" w:color="auto" w:fill="auto"/>
            <w:noWrap w:val="0"/>
            <w:tcMar>
              <w:top w:w="28" w:type="dxa"/>
              <w:left w:w="28" w:type="dxa"/>
              <w:bottom w:w="28" w:type="dxa"/>
              <w:right w:w="28" w:type="dxa"/>
            </w:tcMar>
            <w:vAlign w:val="center"/>
          </w:tcPr>
          <w:p w14:paraId="20F4A0BC">
            <w:pPr>
              <w:pStyle w:val="11"/>
              <w:bidi w:val="0"/>
              <w:jc w:val="center"/>
              <w:rPr>
                <w:rFonts w:hint="eastAsia" w:eastAsia="宋体"/>
                <w:color w:val="000000"/>
                <w:lang w:eastAsia="zh-CN"/>
              </w:rPr>
            </w:pPr>
            <w:r>
              <w:rPr>
                <w:rFonts w:hint="eastAsia"/>
                <w:color w:val="000000"/>
              </w:rPr>
              <w:t>万人</w:t>
            </w:r>
          </w:p>
        </w:tc>
        <w:tc>
          <w:tcPr>
            <w:tcW w:w="1382" w:type="pct"/>
            <w:shd w:val="clear" w:color="auto" w:fill="auto"/>
            <w:noWrap w:val="0"/>
            <w:tcMar>
              <w:top w:w="28" w:type="dxa"/>
              <w:bottom w:w="28" w:type="dxa"/>
              <w:right w:w="28" w:type="dxa"/>
            </w:tcMar>
            <w:vAlign w:val="center"/>
          </w:tcPr>
          <w:p w14:paraId="211561F9">
            <w:pPr>
              <w:pStyle w:val="11"/>
              <w:bidi w:val="0"/>
              <w:jc w:val="center"/>
              <w:rPr>
                <w:rFonts w:hint="eastAsia"/>
                <w:color w:val="000000"/>
              </w:rPr>
            </w:pPr>
            <w:r>
              <w:rPr>
                <w:rFonts w:hint="eastAsia"/>
                <w:color w:val="000000"/>
              </w:rPr>
              <w:t>17.49</w:t>
            </w:r>
          </w:p>
        </w:tc>
      </w:tr>
      <w:tr w14:paraId="0A6B794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6BCECAA9">
            <w:pPr>
              <w:pStyle w:val="11"/>
              <w:bidi w:val="0"/>
              <w:ind w:leftChars="100"/>
              <w:jc w:val="both"/>
              <w:rPr>
                <w:rFonts w:hint="eastAsia" w:eastAsia="宋体"/>
                <w:color w:val="000000"/>
                <w:lang w:eastAsia="zh-CN"/>
              </w:rPr>
            </w:pPr>
            <w:r>
              <w:rPr>
                <w:rFonts w:hint="eastAsia"/>
                <w:color w:val="000000"/>
              </w:rPr>
              <w:t>人口出生率</w:t>
            </w:r>
          </w:p>
        </w:tc>
        <w:tc>
          <w:tcPr>
            <w:tcW w:w="1382" w:type="pct"/>
            <w:shd w:val="clear" w:color="auto" w:fill="auto"/>
            <w:noWrap w:val="0"/>
            <w:tcMar>
              <w:top w:w="28" w:type="dxa"/>
              <w:left w:w="28" w:type="dxa"/>
              <w:bottom w:w="28" w:type="dxa"/>
              <w:right w:w="28" w:type="dxa"/>
            </w:tcMar>
            <w:vAlign w:val="center"/>
          </w:tcPr>
          <w:p w14:paraId="3D75DA2C">
            <w:pPr>
              <w:pStyle w:val="11"/>
              <w:bidi w:val="0"/>
              <w:jc w:val="center"/>
              <w:rPr>
                <w:rFonts w:hint="eastAsia" w:eastAsia="宋体"/>
                <w:color w:val="000000"/>
                <w:lang w:eastAsia="zh-CN"/>
              </w:rPr>
            </w:pPr>
            <w:r>
              <w:rPr>
                <w:rFonts w:hint="eastAsia"/>
                <w:color w:val="000000"/>
              </w:rPr>
              <w:t>‰</w:t>
            </w:r>
          </w:p>
        </w:tc>
        <w:tc>
          <w:tcPr>
            <w:tcW w:w="1382" w:type="pct"/>
            <w:shd w:val="clear" w:color="auto" w:fill="auto"/>
            <w:noWrap w:val="0"/>
            <w:tcMar>
              <w:top w:w="28" w:type="dxa"/>
              <w:bottom w:w="28" w:type="dxa"/>
              <w:right w:w="28" w:type="dxa"/>
            </w:tcMar>
            <w:vAlign w:val="center"/>
          </w:tcPr>
          <w:p w14:paraId="08C1D34E">
            <w:pPr>
              <w:pStyle w:val="11"/>
              <w:bidi w:val="0"/>
              <w:jc w:val="center"/>
              <w:rPr>
                <w:rFonts w:hint="eastAsia" w:eastAsia="宋体"/>
                <w:color w:val="000000"/>
                <w:lang w:eastAsia="zh-CN"/>
              </w:rPr>
            </w:pPr>
            <w:r>
              <w:rPr>
                <w:rFonts w:hint="eastAsia"/>
                <w:color w:val="000000"/>
              </w:rPr>
              <w:t>13.29</w:t>
            </w:r>
          </w:p>
        </w:tc>
      </w:tr>
      <w:tr w14:paraId="25D60DC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7FCB19C9">
            <w:pPr>
              <w:pStyle w:val="11"/>
              <w:bidi w:val="0"/>
              <w:ind w:leftChars="100"/>
              <w:jc w:val="both"/>
              <w:rPr>
                <w:rFonts w:hint="eastAsia" w:eastAsia="宋体"/>
                <w:color w:val="000000"/>
                <w:lang w:eastAsia="zh-CN"/>
              </w:rPr>
            </w:pPr>
            <w:r>
              <w:rPr>
                <w:rFonts w:hint="eastAsia"/>
                <w:color w:val="000000"/>
              </w:rPr>
              <w:t>人口死亡率</w:t>
            </w:r>
          </w:p>
        </w:tc>
        <w:tc>
          <w:tcPr>
            <w:tcW w:w="1382" w:type="pct"/>
            <w:shd w:val="clear" w:color="auto" w:fill="auto"/>
            <w:noWrap w:val="0"/>
            <w:tcMar>
              <w:top w:w="28" w:type="dxa"/>
              <w:left w:w="28" w:type="dxa"/>
              <w:bottom w:w="28" w:type="dxa"/>
              <w:right w:w="28" w:type="dxa"/>
            </w:tcMar>
            <w:vAlign w:val="center"/>
          </w:tcPr>
          <w:p w14:paraId="447360CA">
            <w:pPr>
              <w:pStyle w:val="11"/>
              <w:bidi w:val="0"/>
              <w:jc w:val="center"/>
              <w:rPr>
                <w:rFonts w:hint="eastAsia" w:eastAsia="宋体"/>
                <w:color w:val="000000"/>
                <w:lang w:eastAsia="zh-CN"/>
              </w:rPr>
            </w:pPr>
            <w:r>
              <w:rPr>
                <w:rFonts w:hint="eastAsia"/>
                <w:color w:val="000000"/>
              </w:rPr>
              <w:t>‰</w:t>
            </w:r>
          </w:p>
        </w:tc>
        <w:tc>
          <w:tcPr>
            <w:tcW w:w="1382" w:type="pct"/>
            <w:shd w:val="clear" w:color="auto" w:fill="auto"/>
            <w:noWrap w:val="0"/>
            <w:tcMar>
              <w:top w:w="28" w:type="dxa"/>
              <w:bottom w:w="28" w:type="dxa"/>
              <w:right w:w="28" w:type="dxa"/>
            </w:tcMar>
            <w:vAlign w:val="center"/>
          </w:tcPr>
          <w:p w14:paraId="01C32479">
            <w:pPr>
              <w:pStyle w:val="11"/>
              <w:bidi w:val="0"/>
              <w:jc w:val="center"/>
              <w:rPr>
                <w:rFonts w:hint="eastAsia" w:eastAsia="宋体"/>
                <w:color w:val="000000"/>
                <w:lang w:eastAsia="zh-CN"/>
              </w:rPr>
            </w:pPr>
            <w:r>
              <w:rPr>
                <w:rFonts w:hint="eastAsia"/>
                <w:color w:val="000000"/>
              </w:rPr>
              <w:t>5.93</w:t>
            </w:r>
          </w:p>
        </w:tc>
      </w:tr>
      <w:tr w14:paraId="2AFEAEF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484D03D5">
            <w:pPr>
              <w:pStyle w:val="11"/>
              <w:bidi w:val="0"/>
              <w:ind w:leftChars="100"/>
              <w:jc w:val="both"/>
              <w:rPr>
                <w:rFonts w:hint="eastAsia" w:eastAsia="宋体"/>
                <w:color w:val="000000"/>
                <w:lang w:eastAsia="zh-CN"/>
              </w:rPr>
            </w:pPr>
            <w:r>
              <w:rPr>
                <w:rFonts w:hint="eastAsia"/>
                <w:color w:val="000000"/>
              </w:rPr>
              <w:t>人口自然增长率</w:t>
            </w:r>
          </w:p>
        </w:tc>
        <w:tc>
          <w:tcPr>
            <w:tcW w:w="1382" w:type="pct"/>
            <w:shd w:val="clear" w:color="auto" w:fill="auto"/>
            <w:noWrap w:val="0"/>
            <w:tcMar>
              <w:top w:w="28" w:type="dxa"/>
              <w:left w:w="28" w:type="dxa"/>
              <w:bottom w:w="28" w:type="dxa"/>
              <w:right w:w="28" w:type="dxa"/>
            </w:tcMar>
            <w:vAlign w:val="center"/>
          </w:tcPr>
          <w:p w14:paraId="38C8DF21">
            <w:pPr>
              <w:pStyle w:val="11"/>
              <w:bidi w:val="0"/>
              <w:jc w:val="center"/>
              <w:rPr>
                <w:rFonts w:hint="eastAsia" w:eastAsia="宋体"/>
                <w:color w:val="000000"/>
                <w:lang w:eastAsia="zh-CN"/>
              </w:rPr>
            </w:pPr>
            <w:r>
              <w:rPr>
                <w:rFonts w:hint="eastAsia"/>
                <w:color w:val="000000"/>
              </w:rPr>
              <w:t>‰</w:t>
            </w:r>
          </w:p>
        </w:tc>
        <w:tc>
          <w:tcPr>
            <w:tcW w:w="1382" w:type="pct"/>
            <w:shd w:val="clear" w:color="auto" w:fill="auto"/>
            <w:noWrap w:val="0"/>
            <w:tcMar>
              <w:top w:w="28" w:type="dxa"/>
              <w:bottom w:w="28" w:type="dxa"/>
              <w:right w:w="28" w:type="dxa"/>
            </w:tcMar>
            <w:vAlign w:val="center"/>
          </w:tcPr>
          <w:p w14:paraId="37BE124A">
            <w:pPr>
              <w:pStyle w:val="11"/>
              <w:bidi w:val="0"/>
              <w:jc w:val="center"/>
              <w:rPr>
                <w:rFonts w:hint="eastAsia" w:eastAsia="宋体"/>
                <w:color w:val="000000"/>
                <w:lang w:eastAsia="zh-CN"/>
              </w:rPr>
            </w:pPr>
            <w:r>
              <w:rPr>
                <w:rFonts w:hint="eastAsia"/>
                <w:color w:val="000000"/>
              </w:rPr>
              <w:t>7.37</w:t>
            </w:r>
          </w:p>
        </w:tc>
      </w:tr>
      <w:tr w14:paraId="1266A5C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5FFC3808">
            <w:pPr>
              <w:pStyle w:val="11"/>
              <w:bidi w:val="0"/>
              <w:jc w:val="both"/>
              <w:rPr>
                <w:rFonts w:hint="eastAsia" w:eastAsia="宋体"/>
                <w:color w:val="000000"/>
                <w:lang w:eastAsia="zh-CN"/>
              </w:rPr>
            </w:pPr>
            <w:r>
              <w:rPr>
                <w:rFonts w:hint="eastAsia"/>
                <w:color w:val="000000"/>
              </w:rPr>
              <w:t>三、资源</w:t>
            </w:r>
          </w:p>
        </w:tc>
        <w:tc>
          <w:tcPr>
            <w:tcW w:w="1382" w:type="pct"/>
            <w:shd w:val="clear" w:color="auto" w:fill="auto"/>
            <w:noWrap w:val="0"/>
            <w:tcMar>
              <w:top w:w="28" w:type="dxa"/>
              <w:left w:w="28" w:type="dxa"/>
              <w:bottom w:w="28" w:type="dxa"/>
              <w:right w:w="28" w:type="dxa"/>
            </w:tcMar>
            <w:vAlign w:val="center"/>
          </w:tcPr>
          <w:p w14:paraId="5966993A">
            <w:pPr>
              <w:pStyle w:val="11"/>
              <w:bidi w:val="0"/>
              <w:jc w:val="center"/>
              <w:rPr>
                <w:rFonts w:hint="eastAsia"/>
                <w:color w:val="000000"/>
                <w:lang w:val="en-US"/>
              </w:rPr>
            </w:pPr>
          </w:p>
        </w:tc>
        <w:tc>
          <w:tcPr>
            <w:tcW w:w="1382" w:type="pct"/>
            <w:shd w:val="clear" w:color="auto" w:fill="auto"/>
            <w:noWrap w:val="0"/>
            <w:tcMar>
              <w:top w:w="28" w:type="dxa"/>
              <w:bottom w:w="28" w:type="dxa"/>
              <w:right w:w="28" w:type="dxa"/>
            </w:tcMar>
            <w:vAlign w:val="center"/>
          </w:tcPr>
          <w:p w14:paraId="304CD9EF">
            <w:pPr>
              <w:pStyle w:val="11"/>
              <w:bidi w:val="0"/>
              <w:jc w:val="center"/>
              <w:rPr>
                <w:rFonts w:hint="eastAsia"/>
                <w:color w:val="000000"/>
                <w:lang w:val="en-US"/>
              </w:rPr>
            </w:pPr>
          </w:p>
        </w:tc>
      </w:tr>
      <w:tr w14:paraId="1CBEB33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1559B43A">
            <w:pPr>
              <w:pStyle w:val="11"/>
              <w:bidi w:val="0"/>
              <w:ind w:leftChars="100"/>
              <w:jc w:val="both"/>
              <w:rPr>
                <w:rFonts w:hint="eastAsia" w:eastAsia="宋体"/>
                <w:color w:val="000000"/>
                <w:lang w:eastAsia="zh-CN"/>
              </w:rPr>
            </w:pPr>
            <w:r>
              <w:rPr>
                <w:rFonts w:hint="eastAsia"/>
                <w:color w:val="000000"/>
              </w:rPr>
              <w:t>土地面积</w:t>
            </w:r>
          </w:p>
        </w:tc>
        <w:tc>
          <w:tcPr>
            <w:tcW w:w="1382" w:type="pct"/>
            <w:shd w:val="clear" w:color="auto" w:fill="auto"/>
            <w:noWrap w:val="0"/>
            <w:tcMar>
              <w:top w:w="28" w:type="dxa"/>
              <w:left w:w="28" w:type="dxa"/>
              <w:bottom w:w="28" w:type="dxa"/>
              <w:right w:w="28" w:type="dxa"/>
            </w:tcMar>
            <w:vAlign w:val="center"/>
          </w:tcPr>
          <w:p w14:paraId="3892D3F0">
            <w:pPr>
              <w:pStyle w:val="11"/>
              <w:bidi w:val="0"/>
              <w:jc w:val="center"/>
              <w:rPr>
                <w:rFonts w:hint="eastAsia" w:eastAsia="宋体"/>
                <w:color w:val="000000"/>
                <w:lang w:eastAsia="zh-CN"/>
              </w:rPr>
            </w:pPr>
            <w:r>
              <w:rPr>
                <w:rFonts w:hint="eastAsia"/>
                <w:color w:val="000000"/>
              </w:rPr>
              <w:t>平方千米</w:t>
            </w:r>
          </w:p>
        </w:tc>
        <w:tc>
          <w:tcPr>
            <w:tcW w:w="1382" w:type="pct"/>
            <w:shd w:val="clear" w:color="auto" w:fill="auto"/>
            <w:noWrap w:val="0"/>
            <w:tcMar>
              <w:top w:w="28" w:type="dxa"/>
              <w:bottom w:w="28" w:type="dxa"/>
              <w:right w:w="28" w:type="dxa"/>
            </w:tcMar>
            <w:vAlign w:val="center"/>
          </w:tcPr>
          <w:p w14:paraId="59090304">
            <w:pPr>
              <w:pStyle w:val="11"/>
              <w:bidi w:val="0"/>
              <w:jc w:val="center"/>
              <w:rPr>
                <w:rFonts w:hint="eastAsia"/>
                <w:color w:val="000000"/>
              </w:rPr>
            </w:pPr>
            <w:r>
              <w:rPr>
                <w:rFonts w:hint="eastAsia"/>
                <w:color w:val="000000"/>
              </w:rPr>
              <w:t>2326.18</w:t>
            </w:r>
          </w:p>
        </w:tc>
      </w:tr>
      <w:tr w14:paraId="4AD63E1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7AAC0759">
            <w:pPr>
              <w:pStyle w:val="11"/>
              <w:bidi w:val="0"/>
              <w:ind w:leftChars="100"/>
              <w:jc w:val="both"/>
              <w:rPr>
                <w:rFonts w:hint="eastAsia" w:eastAsia="宋体"/>
                <w:color w:val="000000"/>
                <w:lang w:eastAsia="zh-CN"/>
              </w:rPr>
            </w:pPr>
            <w:r>
              <w:rPr>
                <w:rFonts w:hint="eastAsia"/>
                <w:color w:val="000000"/>
              </w:rPr>
              <w:t>建设用地面积</w:t>
            </w:r>
          </w:p>
        </w:tc>
        <w:tc>
          <w:tcPr>
            <w:tcW w:w="1382" w:type="pct"/>
            <w:shd w:val="clear" w:color="auto" w:fill="auto"/>
            <w:noWrap w:val="0"/>
            <w:tcMar>
              <w:top w:w="28" w:type="dxa"/>
              <w:left w:w="28" w:type="dxa"/>
              <w:bottom w:w="28" w:type="dxa"/>
              <w:right w:w="28" w:type="dxa"/>
            </w:tcMar>
            <w:vAlign w:val="center"/>
          </w:tcPr>
          <w:p w14:paraId="7A6B3678">
            <w:pPr>
              <w:pStyle w:val="11"/>
              <w:bidi w:val="0"/>
              <w:jc w:val="center"/>
              <w:rPr>
                <w:rFonts w:hint="eastAsia" w:eastAsia="宋体"/>
                <w:color w:val="000000"/>
                <w:lang w:eastAsia="zh-CN"/>
              </w:rPr>
            </w:pPr>
            <w:r>
              <w:rPr>
                <w:rFonts w:hint="eastAsia"/>
                <w:color w:val="000000"/>
              </w:rPr>
              <w:t>平方千米</w:t>
            </w:r>
          </w:p>
        </w:tc>
        <w:tc>
          <w:tcPr>
            <w:tcW w:w="1382" w:type="pct"/>
            <w:shd w:val="clear" w:color="auto" w:fill="auto"/>
            <w:noWrap w:val="0"/>
            <w:tcMar>
              <w:top w:w="28" w:type="dxa"/>
              <w:bottom w:w="28" w:type="dxa"/>
              <w:right w:w="28" w:type="dxa"/>
            </w:tcMar>
            <w:vAlign w:val="center"/>
          </w:tcPr>
          <w:p w14:paraId="70611E2B">
            <w:pPr>
              <w:pStyle w:val="11"/>
              <w:bidi w:val="0"/>
              <w:jc w:val="center"/>
              <w:rPr>
                <w:rFonts w:hint="eastAsia"/>
                <w:color w:val="000000"/>
              </w:rPr>
            </w:pPr>
            <w:r>
              <w:rPr>
                <w:rFonts w:hint="eastAsia"/>
                <w:color w:val="000000"/>
              </w:rPr>
              <w:t>119.84</w:t>
            </w:r>
          </w:p>
        </w:tc>
      </w:tr>
      <w:tr w14:paraId="581DF96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31F990B3">
            <w:pPr>
              <w:pStyle w:val="11"/>
              <w:bidi w:val="0"/>
              <w:ind w:leftChars="100"/>
              <w:jc w:val="both"/>
              <w:rPr>
                <w:rFonts w:hint="eastAsia" w:eastAsia="宋体"/>
                <w:color w:val="000000"/>
                <w:lang w:eastAsia="zh-CN"/>
              </w:rPr>
            </w:pPr>
            <w:r>
              <w:rPr>
                <w:rFonts w:hint="eastAsia"/>
                <w:color w:val="000000"/>
              </w:rPr>
              <w:t>耕地总资源</w:t>
            </w:r>
          </w:p>
        </w:tc>
        <w:tc>
          <w:tcPr>
            <w:tcW w:w="1382" w:type="pct"/>
            <w:shd w:val="clear" w:color="auto" w:fill="auto"/>
            <w:noWrap w:val="0"/>
            <w:tcMar>
              <w:top w:w="28" w:type="dxa"/>
              <w:left w:w="28" w:type="dxa"/>
              <w:bottom w:w="28" w:type="dxa"/>
              <w:right w:w="28" w:type="dxa"/>
            </w:tcMar>
            <w:vAlign w:val="center"/>
          </w:tcPr>
          <w:p w14:paraId="7070F22F">
            <w:pPr>
              <w:pStyle w:val="11"/>
              <w:bidi w:val="0"/>
              <w:jc w:val="center"/>
              <w:rPr>
                <w:rFonts w:hint="eastAsia" w:eastAsia="宋体"/>
                <w:color w:val="000000"/>
                <w:lang w:eastAsia="zh-CN"/>
              </w:rPr>
            </w:pPr>
            <w:r>
              <w:rPr>
                <w:rFonts w:hint="eastAsia"/>
                <w:color w:val="000000"/>
              </w:rPr>
              <w:t>万亩</w:t>
            </w:r>
          </w:p>
        </w:tc>
        <w:tc>
          <w:tcPr>
            <w:tcW w:w="1382" w:type="pct"/>
            <w:shd w:val="clear" w:color="auto" w:fill="auto"/>
            <w:noWrap w:val="0"/>
            <w:tcMar>
              <w:top w:w="28" w:type="dxa"/>
              <w:bottom w:w="28" w:type="dxa"/>
              <w:right w:w="28" w:type="dxa"/>
            </w:tcMar>
            <w:vAlign w:val="center"/>
          </w:tcPr>
          <w:p w14:paraId="3A7294E3">
            <w:pPr>
              <w:pStyle w:val="11"/>
              <w:bidi w:val="0"/>
              <w:jc w:val="center"/>
              <w:rPr>
                <w:rFonts w:hint="eastAsia"/>
                <w:color w:val="000000"/>
              </w:rPr>
            </w:pPr>
            <w:r>
              <w:rPr>
                <w:rFonts w:hint="eastAsia"/>
                <w:color w:val="000000"/>
              </w:rPr>
              <w:t>65.05</w:t>
            </w:r>
          </w:p>
        </w:tc>
      </w:tr>
      <w:tr w14:paraId="7A6C240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6CE10CD6">
            <w:pPr>
              <w:pStyle w:val="11"/>
              <w:bidi w:val="0"/>
              <w:ind w:leftChars="100"/>
              <w:jc w:val="both"/>
              <w:rPr>
                <w:rFonts w:hint="eastAsia"/>
                <w:color w:val="000000"/>
              </w:rPr>
            </w:pPr>
            <w:r>
              <w:rPr>
                <w:rFonts w:hint="eastAsia"/>
                <w:color w:val="000000"/>
              </w:rPr>
              <w:t>林地面积</w:t>
            </w:r>
          </w:p>
        </w:tc>
        <w:tc>
          <w:tcPr>
            <w:tcW w:w="1382" w:type="pct"/>
            <w:shd w:val="clear" w:color="auto" w:fill="auto"/>
            <w:noWrap w:val="0"/>
            <w:tcMar>
              <w:top w:w="28" w:type="dxa"/>
              <w:left w:w="28" w:type="dxa"/>
              <w:bottom w:w="28" w:type="dxa"/>
              <w:right w:w="28" w:type="dxa"/>
            </w:tcMar>
            <w:vAlign w:val="center"/>
          </w:tcPr>
          <w:p w14:paraId="331C6445">
            <w:pPr>
              <w:pStyle w:val="11"/>
              <w:bidi w:val="0"/>
              <w:jc w:val="center"/>
              <w:rPr>
                <w:rFonts w:hint="eastAsia" w:eastAsia="宋体"/>
                <w:color w:val="000000"/>
                <w:lang w:eastAsia="zh-CN"/>
              </w:rPr>
            </w:pPr>
            <w:r>
              <w:rPr>
                <w:rFonts w:hint="eastAsia"/>
                <w:color w:val="000000"/>
              </w:rPr>
              <w:t>万亩</w:t>
            </w:r>
          </w:p>
        </w:tc>
        <w:tc>
          <w:tcPr>
            <w:tcW w:w="1382" w:type="pct"/>
            <w:shd w:val="clear" w:color="auto" w:fill="auto"/>
            <w:noWrap w:val="0"/>
            <w:tcMar>
              <w:top w:w="28" w:type="dxa"/>
              <w:bottom w:w="28" w:type="dxa"/>
              <w:right w:w="28" w:type="dxa"/>
            </w:tcMar>
            <w:vAlign w:val="center"/>
          </w:tcPr>
          <w:p w14:paraId="754EB41A">
            <w:pPr>
              <w:pStyle w:val="11"/>
              <w:bidi w:val="0"/>
              <w:jc w:val="center"/>
              <w:rPr>
                <w:rFonts w:hint="eastAsia"/>
                <w:color w:val="000000"/>
              </w:rPr>
            </w:pPr>
            <w:r>
              <w:rPr>
                <w:rFonts w:hint="eastAsia"/>
                <w:color w:val="000000"/>
              </w:rPr>
              <w:t>236.83</w:t>
            </w:r>
          </w:p>
        </w:tc>
      </w:tr>
      <w:tr w14:paraId="03DF81A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569E9B5C">
            <w:pPr>
              <w:pStyle w:val="11"/>
              <w:bidi w:val="0"/>
              <w:ind w:leftChars="100"/>
              <w:jc w:val="both"/>
              <w:rPr>
                <w:rFonts w:hint="eastAsia" w:eastAsia="宋体"/>
                <w:color w:val="000000"/>
                <w:lang w:eastAsia="zh-CN"/>
              </w:rPr>
            </w:pPr>
            <w:r>
              <w:rPr>
                <w:rFonts w:hint="eastAsia"/>
                <w:color w:val="000000"/>
              </w:rPr>
              <w:t>园地面积</w:t>
            </w:r>
          </w:p>
        </w:tc>
        <w:tc>
          <w:tcPr>
            <w:tcW w:w="1382" w:type="pct"/>
            <w:shd w:val="clear" w:color="auto" w:fill="auto"/>
            <w:noWrap w:val="0"/>
            <w:tcMar>
              <w:top w:w="28" w:type="dxa"/>
              <w:left w:w="28" w:type="dxa"/>
              <w:bottom w:w="28" w:type="dxa"/>
              <w:right w:w="28" w:type="dxa"/>
            </w:tcMar>
            <w:vAlign w:val="center"/>
          </w:tcPr>
          <w:p w14:paraId="35026EA7">
            <w:pPr>
              <w:pStyle w:val="11"/>
              <w:bidi w:val="0"/>
              <w:jc w:val="center"/>
              <w:rPr>
                <w:rFonts w:hint="eastAsia" w:eastAsia="宋体"/>
                <w:color w:val="000000"/>
                <w:lang w:eastAsia="zh-CN"/>
              </w:rPr>
            </w:pPr>
            <w:r>
              <w:rPr>
                <w:rFonts w:hint="eastAsia"/>
                <w:color w:val="000000"/>
              </w:rPr>
              <w:t>万亩</w:t>
            </w:r>
          </w:p>
        </w:tc>
        <w:tc>
          <w:tcPr>
            <w:tcW w:w="1382" w:type="pct"/>
            <w:shd w:val="clear" w:color="auto" w:fill="auto"/>
            <w:noWrap w:val="0"/>
            <w:tcMar>
              <w:top w:w="28" w:type="dxa"/>
              <w:bottom w:w="28" w:type="dxa"/>
              <w:right w:w="28" w:type="dxa"/>
            </w:tcMar>
            <w:vAlign w:val="center"/>
          </w:tcPr>
          <w:p w14:paraId="21E04264">
            <w:pPr>
              <w:pStyle w:val="11"/>
              <w:bidi w:val="0"/>
              <w:jc w:val="center"/>
              <w:rPr>
                <w:rFonts w:hint="eastAsia"/>
                <w:color w:val="000000"/>
              </w:rPr>
            </w:pPr>
            <w:r>
              <w:rPr>
                <w:rFonts w:hint="eastAsia"/>
                <w:color w:val="000000"/>
              </w:rPr>
              <w:t>5.78</w:t>
            </w:r>
          </w:p>
        </w:tc>
      </w:tr>
      <w:tr w14:paraId="68B414B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54AC2E24">
            <w:pPr>
              <w:pStyle w:val="11"/>
              <w:bidi w:val="0"/>
              <w:ind w:leftChars="100"/>
              <w:jc w:val="both"/>
              <w:rPr>
                <w:rFonts w:hint="eastAsia" w:eastAsia="宋体"/>
                <w:color w:val="000000"/>
                <w:lang w:eastAsia="zh-CN"/>
              </w:rPr>
            </w:pPr>
            <w:r>
              <w:rPr>
                <w:rFonts w:hint="eastAsia"/>
                <w:color w:val="000000"/>
              </w:rPr>
              <w:t>牧草地面积</w:t>
            </w:r>
          </w:p>
        </w:tc>
        <w:tc>
          <w:tcPr>
            <w:tcW w:w="1382" w:type="pct"/>
            <w:shd w:val="clear" w:color="auto" w:fill="auto"/>
            <w:noWrap w:val="0"/>
            <w:tcMar>
              <w:top w:w="28" w:type="dxa"/>
              <w:left w:w="28" w:type="dxa"/>
              <w:bottom w:w="28" w:type="dxa"/>
              <w:right w:w="28" w:type="dxa"/>
            </w:tcMar>
            <w:vAlign w:val="center"/>
          </w:tcPr>
          <w:p w14:paraId="0823A168">
            <w:pPr>
              <w:pStyle w:val="11"/>
              <w:bidi w:val="0"/>
              <w:jc w:val="center"/>
              <w:rPr>
                <w:rFonts w:hint="eastAsia" w:eastAsia="宋体"/>
                <w:color w:val="000000"/>
                <w:lang w:eastAsia="zh-CN"/>
              </w:rPr>
            </w:pPr>
            <w:r>
              <w:rPr>
                <w:rFonts w:hint="eastAsia"/>
                <w:color w:val="000000"/>
              </w:rPr>
              <w:t>万亩</w:t>
            </w:r>
          </w:p>
        </w:tc>
        <w:tc>
          <w:tcPr>
            <w:tcW w:w="1382" w:type="pct"/>
            <w:shd w:val="clear" w:color="auto" w:fill="auto"/>
            <w:noWrap w:val="0"/>
            <w:tcMar>
              <w:top w:w="28" w:type="dxa"/>
              <w:bottom w:w="28" w:type="dxa"/>
              <w:right w:w="28" w:type="dxa"/>
            </w:tcMar>
            <w:vAlign w:val="center"/>
          </w:tcPr>
          <w:p w14:paraId="10FDFED8">
            <w:pPr>
              <w:pStyle w:val="11"/>
              <w:bidi w:val="0"/>
              <w:jc w:val="center"/>
              <w:rPr>
                <w:rFonts w:hint="eastAsia"/>
                <w:color w:val="000000"/>
              </w:rPr>
            </w:pPr>
            <w:r>
              <w:rPr>
                <w:rFonts w:hint="eastAsia"/>
                <w:color w:val="000000"/>
              </w:rPr>
              <w:t>6.01</w:t>
            </w:r>
          </w:p>
        </w:tc>
      </w:tr>
      <w:tr w14:paraId="429615D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26684307">
            <w:pPr>
              <w:pStyle w:val="11"/>
              <w:bidi w:val="0"/>
              <w:ind w:leftChars="100"/>
              <w:jc w:val="both"/>
              <w:rPr>
                <w:rFonts w:hint="eastAsia" w:eastAsia="宋体"/>
                <w:color w:val="000000"/>
                <w:lang w:eastAsia="zh-CN"/>
              </w:rPr>
            </w:pPr>
            <w:r>
              <w:rPr>
                <w:rFonts w:hint="eastAsia"/>
                <w:color w:val="000000"/>
              </w:rPr>
              <w:t>森林覆盖率</w:t>
            </w:r>
          </w:p>
        </w:tc>
        <w:tc>
          <w:tcPr>
            <w:tcW w:w="1382" w:type="pct"/>
            <w:shd w:val="clear" w:color="auto" w:fill="auto"/>
            <w:noWrap w:val="0"/>
            <w:tcMar>
              <w:top w:w="28" w:type="dxa"/>
              <w:left w:w="28" w:type="dxa"/>
              <w:bottom w:w="28" w:type="dxa"/>
              <w:right w:w="28" w:type="dxa"/>
            </w:tcMar>
            <w:vAlign w:val="center"/>
          </w:tcPr>
          <w:p w14:paraId="48BBC42D">
            <w:pPr>
              <w:pStyle w:val="11"/>
              <w:bidi w:val="0"/>
              <w:jc w:val="center"/>
              <w:rPr>
                <w:rFonts w:hint="eastAsia" w:eastAsia="宋体"/>
                <w:color w:val="000000"/>
                <w:lang w:eastAsia="zh-CN"/>
              </w:rPr>
            </w:pPr>
            <w:r>
              <w:rPr>
                <w:rFonts w:hint="eastAsia"/>
                <w:color w:val="000000"/>
              </w:rPr>
              <w:t>%</w:t>
            </w:r>
          </w:p>
        </w:tc>
        <w:tc>
          <w:tcPr>
            <w:tcW w:w="1382" w:type="pct"/>
            <w:shd w:val="clear" w:color="auto" w:fill="auto"/>
            <w:noWrap w:val="0"/>
            <w:tcMar>
              <w:top w:w="28" w:type="dxa"/>
              <w:bottom w:w="28" w:type="dxa"/>
              <w:right w:w="28" w:type="dxa"/>
            </w:tcMar>
            <w:vAlign w:val="center"/>
          </w:tcPr>
          <w:p w14:paraId="2B1899B7">
            <w:pPr>
              <w:pStyle w:val="11"/>
              <w:bidi w:val="0"/>
              <w:jc w:val="center"/>
              <w:rPr>
                <w:rFonts w:hint="eastAsia"/>
                <w:color w:val="000000"/>
              </w:rPr>
            </w:pPr>
            <w:r>
              <w:rPr>
                <w:rFonts w:hint="eastAsia"/>
                <w:color w:val="000000"/>
              </w:rPr>
              <w:t>65.28</w:t>
            </w:r>
          </w:p>
        </w:tc>
      </w:tr>
      <w:tr w14:paraId="37B091A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2F6B9852">
            <w:pPr>
              <w:pStyle w:val="11"/>
              <w:bidi w:val="0"/>
              <w:ind w:leftChars="100"/>
              <w:jc w:val="both"/>
              <w:rPr>
                <w:rFonts w:hint="eastAsia" w:eastAsia="宋体"/>
                <w:color w:val="000000"/>
                <w:lang w:eastAsia="zh-CN"/>
              </w:rPr>
            </w:pPr>
            <w:r>
              <w:rPr>
                <w:rFonts w:hint="eastAsia"/>
                <w:color w:val="000000"/>
              </w:rPr>
              <w:t>活立木总蓄积量</w:t>
            </w:r>
          </w:p>
        </w:tc>
        <w:tc>
          <w:tcPr>
            <w:tcW w:w="1382" w:type="pct"/>
            <w:shd w:val="clear" w:color="auto" w:fill="auto"/>
            <w:noWrap w:val="0"/>
            <w:tcMar>
              <w:top w:w="28" w:type="dxa"/>
              <w:left w:w="28" w:type="dxa"/>
              <w:bottom w:w="28" w:type="dxa"/>
              <w:right w:w="28" w:type="dxa"/>
            </w:tcMar>
            <w:vAlign w:val="center"/>
          </w:tcPr>
          <w:p w14:paraId="351A6C49">
            <w:pPr>
              <w:pStyle w:val="11"/>
              <w:bidi w:val="0"/>
              <w:jc w:val="center"/>
              <w:rPr>
                <w:rFonts w:hint="eastAsia" w:eastAsia="宋体"/>
                <w:color w:val="000000"/>
                <w:lang w:eastAsia="zh-CN"/>
              </w:rPr>
            </w:pPr>
            <w:r>
              <w:rPr>
                <w:rFonts w:hint="eastAsia"/>
                <w:color w:val="000000"/>
              </w:rPr>
              <w:t>万立方米</w:t>
            </w:r>
          </w:p>
        </w:tc>
        <w:tc>
          <w:tcPr>
            <w:tcW w:w="1382" w:type="pct"/>
            <w:shd w:val="clear" w:color="auto" w:fill="auto"/>
            <w:noWrap w:val="0"/>
            <w:tcMar>
              <w:top w:w="28" w:type="dxa"/>
              <w:bottom w:w="28" w:type="dxa"/>
              <w:right w:w="28" w:type="dxa"/>
            </w:tcMar>
            <w:vAlign w:val="center"/>
          </w:tcPr>
          <w:p w14:paraId="58919012">
            <w:pPr>
              <w:pStyle w:val="11"/>
              <w:bidi w:val="0"/>
              <w:jc w:val="center"/>
              <w:rPr>
                <w:rFonts w:hint="eastAsia"/>
                <w:color w:val="000000"/>
              </w:rPr>
            </w:pPr>
            <w:r>
              <w:rPr>
                <w:rFonts w:hint="eastAsia"/>
                <w:color w:val="000000"/>
              </w:rPr>
              <w:t>836.09</w:t>
            </w:r>
          </w:p>
        </w:tc>
      </w:tr>
      <w:tr w14:paraId="7B247CE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1E7A9DED">
            <w:pPr>
              <w:pStyle w:val="11"/>
              <w:bidi w:val="0"/>
              <w:ind w:leftChars="100"/>
              <w:jc w:val="both"/>
              <w:rPr>
                <w:rFonts w:hint="eastAsia" w:eastAsia="宋体"/>
                <w:color w:val="000000"/>
                <w:lang w:eastAsia="zh-CN"/>
              </w:rPr>
            </w:pPr>
            <w:r>
              <w:rPr>
                <w:rFonts w:hint="eastAsia"/>
                <w:color w:val="000000"/>
              </w:rPr>
              <w:t>三十年平均降雨量</w:t>
            </w:r>
          </w:p>
        </w:tc>
        <w:tc>
          <w:tcPr>
            <w:tcW w:w="1382" w:type="pct"/>
            <w:shd w:val="clear" w:color="auto" w:fill="auto"/>
            <w:noWrap w:val="0"/>
            <w:tcMar>
              <w:top w:w="28" w:type="dxa"/>
              <w:left w:w="28" w:type="dxa"/>
              <w:bottom w:w="28" w:type="dxa"/>
              <w:right w:w="28" w:type="dxa"/>
            </w:tcMar>
            <w:vAlign w:val="center"/>
          </w:tcPr>
          <w:p w14:paraId="0E0E96E1">
            <w:pPr>
              <w:pStyle w:val="11"/>
              <w:bidi w:val="0"/>
              <w:jc w:val="center"/>
              <w:rPr>
                <w:rFonts w:hint="eastAsia" w:eastAsia="宋体"/>
                <w:color w:val="000000"/>
                <w:lang w:eastAsia="zh-CN"/>
              </w:rPr>
            </w:pPr>
            <w:r>
              <w:rPr>
                <w:rFonts w:hint="eastAsia"/>
                <w:color w:val="000000"/>
              </w:rPr>
              <w:t>毫米</w:t>
            </w:r>
          </w:p>
        </w:tc>
        <w:tc>
          <w:tcPr>
            <w:tcW w:w="1382" w:type="pct"/>
            <w:shd w:val="clear" w:color="auto" w:fill="auto"/>
            <w:noWrap w:val="0"/>
            <w:tcMar>
              <w:top w:w="28" w:type="dxa"/>
              <w:bottom w:w="28" w:type="dxa"/>
              <w:right w:w="28" w:type="dxa"/>
            </w:tcMar>
            <w:vAlign w:val="center"/>
          </w:tcPr>
          <w:p w14:paraId="5E2466F1">
            <w:pPr>
              <w:pStyle w:val="11"/>
              <w:bidi w:val="0"/>
              <w:jc w:val="center"/>
              <w:rPr>
                <w:rFonts w:hint="eastAsia"/>
                <w:color w:val="000000"/>
              </w:rPr>
            </w:pPr>
            <w:r>
              <w:rPr>
                <w:rFonts w:hint="eastAsia"/>
                <w:color w:val="000000"/>
              </w:rPr>
              <w:t>1454</w:t>
            </w:r>
          </w:p>
        </w:tc>
      </w:tr>
      <w:tr w14:paraId="78452F9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416" w:hRule="atLeast"/>
        </w:trPr>
        <w:tc>
          <w:tcPr>
            <w:tcW w:w="2235" w:type="pct"/>
            <w:shd w:val="clear" w:color="auto" w:fill="auto"/>
            <w:noWrap w:val="0"/>
            <w:tcMar>
              <w:left w:w="397" w:type="dxa"/>
            </w:tcMar>
            <w:vAlign w:val="center"/>
          </w:tcPr>
          <w:p w14:paraId="2E70D543">
            <w:pPr>
              <w:pStyle w:val="11"/>
              <w:bidi w:val="0"/>
              <w:ind w:leftChars="100"/>
              <w:jc w:val="both"/>
              <w:rPr>
                <w:rFonts w:hint="eastAsia" w:eastAsia="宋体"/>
                <w:color w:val="000000"/>
                <w:lang w:eastAsia="zh-CN"/>
              </w:rPr>
            </w:pPr>
            <w:r>
              <w:rPr>
                <w:rFonts w:hint="eastAsia"/>
                <w:color w:val="000000"/>
              </w:rPr>
              <w:t>年平均气温</w:t>
            </w:r>
          </w:p>
        </w:tc>
        <w:tc>
          <w:tcPr>
            <w:tcW w:w="1382" w:type="pct"/>
            <w:shd w:val="clear" w:color="auto" w:fill="auto"/>
            <w:noWrap w:val="0"/>
            <w:tcMar>
              <w:top w:w="28" w:type="dxa"/>
              <w:left w:w="28" w:type="dxa"/>
              <w:bottom w:w="28" w:type="dxa"/>
              <w:right w:w="28" w:type="dxa"/>
            </w:tcMar>
            <w:vAlign w:val="center"/>
          </w:tcPr>
          <w:p w14:paraId="26C5DEE6">
            <w:pPr>
              <w:pStyle w:val="11"/>
              <w:bidi w:val="0"/>
              <w:jc w:val="center"/>
              <w:rPr>
                <w:rFonts w:hint="eastAsia" w:eastAsia="宋体"/>
                <w:color w:val="000000"/>
                <w:lang w:eastAsia="zh-CN"/>
              </w:rPr>
            </w:pPr>
            <w:r>
              <w:rPr>
                <w:rFonts w:hint="eastAsia"/>
                <w:color w:val="000000"/>
              </w:rPr>
              <w:t>摄氏度</w:t>
            </w:r>
          </w:p>
        </w:tc>
        <w:tc>
          <w:tcPr>
            <w:tcW w:w="1382" w:type="pct"/>
            <w:shd w:val="clear" w:color="auto" w:fill="auto"/>
            <w:noWrap w:val="0"/>
            <w:tcMar>
              <w:top w:w="28" w:type="dxa"/>
              <w:bottom w:w="28" w:type="dxa"/>
              <w:right w:w="28" w:type="dxa"/>
            </w:tcMar>
            <w:vAlign w:val="center"/>
          </w:tcPr>
          <w:p w14:paraId="5AC4C20A">
            <w:pPr>
              <w:pStyle w:val="11"/>
              <w:bidi w:val="0"/>
              <w:jc w:val="center"/>
              <w:rPr>
                <w:rFonts w:hint="eastAsia" w:eastAsia="宋体"/>
                <w:color w:val="000000"/>
                <w:lang w:eastAsia="zh-CN"/>
              </w:rPr>
            </w:pPr>
            <w:r>
              <w:rPr>
                <w:rFonts w:hint="eastAsia"/>
                <w:color w:val="000000"/>
              </w:rPr>
              <w:t>20.5</w:t>
            </w:r>
          </w:p>
        </w:tc>
      </w:tr>
    </w:tbl>
    <w:p w14:paraId="36A7FB37">
      <w:pPr>
        <w:pStyle w:val="4"/>
        <w:bidi w:val="0"/>
        <w:rPr>
          <w:rFonts w:hint="eastAsia"/>
        </w:rPr>
      </w:pPr>
      <w:r>
        <w:rPr>
          <w:rFonts w:hint="eastAsia"/>
        </w:rPr>
        <w:t>表33</w:t>
      </w:r>
      <w:r>
        <w:rPr>
          <w:rFonts w:hint="eastAsia"/>
          <w:lang w:val="en-US" w:eastAsia="zh-CN"/>
        </w:rPr>
        <w:t xml:space="preserve">  </w:t>
      </w:r>
      <w:r>
        <w:rPr>
          <w:rFonts w:hint="eastAsia"/>
        </w:rPr>
        <w:t>全市分镇（街道）行政区与人口</w:t>
      </w:r>
    </w:p>
    <w:tbl>
      <w:tblPr>
        <w:tblStyle w:val="7"/>
        <w:tblW w:w="4998"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288"/>
        <w:gridCol w:w="1700"/>
        <w:gridCol w:w="1703"/>
        <w:gridCol w:w="1703"/>
        <w:gridCol w:w="1701"/>
        <w:gridCol w:w="1703"/>
      </w:tblGrid>
      <w:tr w14:paraId="1F56248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6" w:hRule="atLeast"/>
        </w:trPr>
        <w:tc>
          <w:tcPr>
            <w:tcW w:w="657" w:type="pct"/>
            <w:shd w:val="clear" w:color="auto" w:fill="FFFFFF"/>
            <w:noWrap w:val="0"/>
            <w:tcMar>
              <w:top w:w="28" w:type="dxa"/>
              <w:left w:w="28" w:type="dxa"/>
              <w:bottom w:w="28" w:type="dxa"/>
              <w:right w:w="28" w:type="dxa"/>
            </w:tcMar>
            <w:vAlign w:val="center"/>
          </w:tcPr>
          <w:p w14:paraId="2CC5D6E8">
            <w:pPr>
              <w:pStyle w:val="11"/>
              <w:bidi w:val="0"/>
              <w:jc w:val="center"/>
              <w:rPr>
                <w:rFonts w:hint="eastAsia"/>
                <w:b/>
                <w:bCs/>
                <w:color w:val="000000"/>
                <w:lang w:val="en-US"/>
              </w:rPr>
            </w:pPr>
          </w:p>
        </w:tc>
        <w:tc>
          <w:tcPr>
            <w:tcW w:w="867" w:type="pct"/>
            <w:shd w:val="clear" w:color="auto" w:fill="FFFFFF"/>
            <w:noWrap w:val="0"/>
            <w:tcMar>
              <w:top w:w="28" w:type="dxa"/>
              <w:left w:w="28" w:type="dxa"/>
              <w:bottom w:w="28" w:type="dxa"/>
              <w:right w:w="28" w:type="dxa"/>
            </w:tcMar>
            <w:vAlign w:val="center"/>
          </w:tcPr>
          <w:p w14:paraId="55F16712">
            <w:pPr>
              <w:pStyle w:val="11"/>
              <w:bidi w:val="0"/>
              <w:jc w:val="center"/>
              <w:rPr>
                <w:rFonts w:hint="eastAsia" w:eastAsia="宋体"/>
                <w:b/>
                <w:bCs/>
                <w:color w:val="000000"/>
                <w:lang w:eastAsia="zh-CN"/>
              </w:rPr>
            </w:pPr>
            <w:r>
              <w:rPr>
                <w:rFonts w:hint="eastAsia"/>
                <w:b/>
                <w:bCs/>
                <w:color w:val="000000"/>
              </w:rPr>
              <w:t>1、村民委员会（个）</w:t>
            </w:r>
          </w:p>
        </w:tc>
        <w:tc>
          <w:tcPr>
            <w:tcW w:w="868" w:type="pct"/>
            <w:shd w:val="clear" w:color="auto" w:fill="FFFFFF"/>
            <w:noWrap w:val="0"/>
            <w:tcMar>
              <w:top w:w="28" w:type="dxa"/>
              <w:left w:w="28" w:type="dxa"/>
              <w:bottom w:w="28" w:type="dxa"/>
              <w:right w:w="28" w:type="dxa"/>
            </w:tcMar>
            <w:vAlign w:val="center"/>
          </w:tcPr>
          <w:p w14:paraId="202C3E6B">
            <w:pPr>
              <w:pStyle w:val="11"/>
              <w:bidi w:val="0"/>
              <w:jc w:val="center"/>
              <w:rPr>
                <w:rFonts w:hint="eastAsia" w:eastAsia="宋体"/>
                <w:b/>
                <w:bCs/>
                <w:color w:val="000000"/>
                <w:lang w:eastAsia="zh-CN"/>
              </w:rPr>
            </w:pPr>
            <w:r>
              <w:rPr>
                <w:rFonts w:hint="eastAsia"/>
                <w:b/>
                <w:bCs/>
                <w:color w:val="000000"/>
              </w:rPr>
              <w:t>2、居民委员会（个）</w:t>
            </w:r>
          </w:p>
        </w:tc>
        <w:tc>
          <w:tcPr>
            <w:tcW w:w="868" w:type="pct"/>
            <w:shd w:val="clear" w:color="auto" w:fill="FFFFFF"/>
            <w:noWrap w:val="0"/>
            <w:tcMar>
              <w:top w:w="28" w:type="dxa"/>
              <w:left w:w="28" w:type="dxa"/>
              <w:bottom w:w="28" w:type="dxa"/>
              <w:right w:w="28" w:type="dxa"/>
            </w:tcMar>
            <w:vAlign w:val="center"/>
          </w:tcPr>
          <w:p w14:paraId="6C7D2AF3">
            <w:pPr>
              <w:pStyle w:val="11"/>
              <w:bidi w:val="0"/>
              <w:jc w:val="center"/>
              <w:rPr>
                <w:rFonts w:hint="eastAsia" w:eastAsia="宋体"/>
                <w:b/>
                <w:bCs/>
                <w:color w:val="000000"/>
                <w:lang w:eastAsia="zh-CN"/>
              </w:rPr>
            </w:pPr>
            <w:r>
              <w:rPr>
                <w:rFonts w:hint="eastAsia"/>
                <w:b/>
                <w:bCs/>
                <w:color w:val="000000"/>
              </w:rPr>
              <w:t>3、年末户籍总人口（万人）</w:t>
            </w:r>
          </w:p>
        </w:tc>
        <w:tc>
          <w:tcPr>
            <w:tcW w:w="867" w:type="pct"/>
            <w:shd w:val="clear" w:color="auto" w:fill="FFFFFF"/>
            <w:noWrap w:val="0"/>
            <w:tcMar>
              <w:top w:w="28" w:type="dxa"/>
              <w:left w:w="28" w:type="dxa"/>
              <w:bottom w:w="28" w:type="dxa"/>
              <w:right w:w="28" w:type="dxa"/>
            </w:tcMar>
            <w:vAlign w:val="center"/>
          </w:tcPr>
          <w:p w14:paraId="140BB9B3">
            <w:pPr>
              <w:pStyle w:val="11"/>
              <w:bidi w:val="0"/>
              <w:jc w:val="center"/>
              <w:rPr>
                <w:rFonts w:hint="eastAsia" w:eastAsia="宋体"/>
                <w:b/>
                <w:bCs/>
                <w:color w:val="000000"/>
                <w:lang w:eastAsia="zh-CN"/>
              </w:rPr>
            </w:pPr>
            <w:r>
              <w:rPr>
                <w:rFonts w:hint="eastAsia"/>
                <w:b/>
                <w:bCs/>
                <w:color w:val="000000"/>
              </w:rPr>
              <w:t>4、年末常住人口（万人）</w:t>
            </w:r>
          </w:p>
        </w:tc>
        <w:tc>
          <w:tcPr>
            <w:tcW w:w="868" w:type="pct"/>
            <w:shd w:val="clear" w:color="auto" w:fill="FFFFFF"/>
            <w:noWrap w:val="0"/>
            <w:tcMar>
              <w:top w:w="28" w:type="dxa"/>
              <w:left w:w="28" w:type="dxa"/>
              <w:bottom w:w="28" w:type="dxa"/>
              <w:right w:w="28" w:type="dxa"/>
            </w:tcMar>
            <w:vAlign w:val="center"/>
          </w:tcPr>
          <w:p w14:paraId="1A8253BF">
            <w:pPr>
              <w:pStyle w:val="11"/>
              <w:bidi w:val="0"/>
              <w:jc w:val="center"/>
              <w:rPr>
                <w:rFonts w:hint="eastAsia" w:eastAsia="宋体"/>
                <w:b/>
                <w:bCs/>
                <w:color w:val="000000"/>
                <w:lang w:eastAsia="zh-CN"/>
              </w:rPr>
            </w:pPr>
            <w:r>
              <w:rPr>
                <w:rFonts w:hint="eastAsia"/>
                <w:b/>
                <w:bCs/>
                <w:color w:val="000000"/>
              </w:rPr>
              <w:t>5、年末常住总户数（户）</w:t>
            </w:r>
          </w:p>
        </w:tc>
      </w:tr>
      <w:tr w14:paraId="0E0DFC7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0F452A16">
            <w:pPr>
              <w:pStyle w:val="11"/>
              <w:bidi w:val="0"/>
              <w:jc w:val="center"/>
              <w:rPr>
                <w:rFonts w:hint="eastAsia" w:eastAsia="宋体"/>
                <w:color w:val="000000"/>
                <w:lang w:eastAsia="zh-CN"/>
              </w:rPr>
            </w:pPr>
            <w:r>
              <w:rPr>
                <w:rFonts w:hint="eastAsia"/>
                <w:color w:val="000000"/>
              </w:rPr>
              <w:t>全市</w:t>
            </w:r>
          </w:p>
        </w:tc>
        <w:tc>
          <w:tcPr>
            <w:tcW w:w="867" w:type="pct"/>
            <w:shd w:val="clear" w:color="auto" w:fill="FFFFFF"/>
            <w:noWrap w:val="0"/>
            <w:tcMar>
              <w:top w:w="28" w:type="dxa"/>
              <w:left w:w="28" w:type="dxa"/>
              <w:bottom w:w="28" w:type="dxa"/>
              <w:right w:w="28" w:type="dxa"/>
            </w:tcMar>
            <w:vAlign w:val="center"/>
          </w:tcPr>
          <w:p w14:paraId="2B6F6D01">
            <w:pPr>
              <w:pStyle w:val="11"/>
              <w:bidi w:val="0"/>
              <w:jc w:val="center"/>
              <w:rPr>
                <w:rFonts w:hint="eastAsia" w:eastAsia="宋体"/>
                <w:color w:val="000000"/>
                <w:lang w:eastAsia="zh-CN"/>
              </w:rPr>
            </w:pPr>
            <w:r>
              <w:rPr>
                <w:rFonts w:hint="eastAsia"/>
                <w:color w:val="000000"/>
              </w:rPr>
              <w:t>208</w:t>
            </w:r>
          </w:p>
        </w:tc>
        <w:tc>
          <w:tcPr>
            <w:tcW w:w="868" w:type="pct"/>
            <w:shd w:val="clear" w:color="auto" w:fill="FFFFFF"/>
            <w:noWrap w:val="0"/>
            <w:tcMar>
              <w:top w:w="28" w:type="dxa"/>
              <w:left w:w="28" w:type="dxa"/>
              <w:bottom w:w="28" w:type="dxa"/>
              <w:right w:w="28" w:type="dxa"/>
            </w:tcMar>
            <w:vAlign w:val="center"/>
          </w:tcPr>
          <w:p w14:paraId="34A624C8">
            <w:pPr>
              <w:pStyle w:val="11"/>
              <w:bidi w:val="0"/>
              <w:jc w:val="center"/>
              <w:rPr>
                <w:rFonts w:hint="eastAsia" w:eastAsia="宋体"/>
                <w:color w:val="000000"/>
                <w:lang w:eastAsia="zh-CN"/>
              </w:rPr>
            </w:pPr>
            <w:r>
              <w:rPr>
                <w:rFonts w:hint="eastAsia"/>
                <w:color w:val="000000"/>
              </w:rPr>
              <w:t>24</w:t>
            </w:r>
          </w:p>
        </w:tc>
        <w:tc>
          <w:tcPr>
            <w:tcW w:w="868" w:type="pct"/>
            <w:shd w:val="clear" w:color="auto" w:fill="FFFFFF"/>
            <w:noWrap w:val="0"/>
            <w:tcMar>
              <w:top w:w="28" w:type="dxa"/>
              <w:left w:w="28" w:type="dxa"/>
              <w:bottom w:w="28" w:type="dxa"/>
              <w:right w:w="28" w:type="dxa"/>
            </w:tcMar>
            <w:vAlign w:val="center"/>
          </w:tcPr>
          <w:p w14:paraId="3CAE1F66">
            <w:pPr>
              <w:pStyle w:val="11"/>
              <w:bidi w:val="0"/>
              <w:jc w:val="center"/>
              <w:rPr>
                <w:rFonts w:hint="eastAsia"/>
                <w:color w:val="000000"/>
              </w:rPr>
            </w:pPr>
            <w:r>
              <w:rPr>
                <w:rFonts w:hint="eastAsia"/>
                <w:color w:val="000000"/>
              </w:rPr>
              <w:t>49.22</w:t>
            </w:r>
          </w:p>
        </w:tc>
        <w:tc>
          <w:tcPr>
            <w:tcW w:w="867" w:type="pct"/>
            <w:shd w:val="clear" w:color="auto" w:fill="FFFFFF"/>
            <w:noWrap w:val="0"/>
            <w:tcMar>
              <w:top w:w="28" w:type="dxa"/>
              <w:left w:w="28" w:type="dxa"/>
              <w:bottom w:w="28" w:type="dxa"/>
              <w:right w:w="28" w:type="dxa"/>
            </w:tcMar>
            <w:vAlign w:val="center"/>
          </w:tcPr>
          <w:p w14:paraId="61763564">
            <w:pPr>
              <w:pStyle w:val="11"/>
              <w:bidi w:val="0"/>
              <w:jc w:val="center"/>
              <w:rPr>
                <w:rFonts w:hint="eastAsia"/>
                <w:color w:val="000000"/>
              </w:rPr>
            </w:pPr>
            <w:r>
              <w:rPr>
                <w:rFonts w:hint="eastAsia"/>
                <w:color w:val="000000"/>
              </w:rPr>
              <w:t>33.75</w:t>
            </w:r>
          </w:p>
        </w:tc>
        <w:tc>
          <w:tcPr>
            <w:tcW w:w="868" w:type="pct"/>
            <w:shd w:val="clear" w:color="auto" w:fill="FFFFFF"/>
            <w:noWrap w:val="0"/>
            <w:tcMar>
              <w:top w:w="28" w:type="dxa"/>
              <w:left w:w="28" w:type="dxa"/>
              <w:bottom w:w="28" w:type="dxa"/>
              <w:right w:w="28" w:type="dxa"/>
            </w:tcMar>
            <w:vAlign w:val="center"/>
          </w:tcPr>
          <w:p w14:paraId="59A9CBAB">
            <w:pPr>
              <w:pStyle w:val="11"/>
              <w:bidi w:val="0"/>
              <w:jc w:val="center"/>
              <w:rPr>
                <w:rFonts w:hint="eastAsia"/>
                <w:color w:val="000000"/>
              </w:rPr>
            </w:pPr>
            <w:r>
              <w:rPr>
                <w:rFonts w:hint="eastAsia"/>
                <w:color w:val="000000"/>
              </w:rPr>
              <w:t>102923</w:t>
            </w:r>
          </w:p>
        </w:tc>
      </w:tr>
      <w:tr w14:paraId="7635B05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349CE6F4">
            <w:pPr>
              <w:pStyle w:val="11"/>
              <w:bidi w:val="0"/>
              <w:jc w:val="center"/>
              <w:rPr>
                <w:rFonts w:hint="eastAsia" w:eastAsia="宋体"/>
                <w:color w:val="000000"/>
                <w:lang w:eastAsia="zh-CN"/>
              </w:rPr>
            </w:pPr>
            <w:r>
              <w:rPr>
                <w:rFonts w:hint="eastAsia"/>
                <w:color w:val="000000"/>
              </w:rPr>
              <w:t>乌迳镇</w:t>
            </w:r>
          </w:p>
        </w:tc>
        <w:tc>
          <w:tcPr>
            <w:tcW w:w="867" w:type="pct"/>
            <w:shd w:val="clear" w:color="auto" w:fill="FFFFFF"/>
            <w:noWrap w:val="0"/>
            <w:tcMar>
              <w:top w:w="28" w:type="dxa"/>
              <w:left w:w="28" w:type="dxa"/>
              <w:bottom w:w="28" w:type="dxa"/>
              <w:right w:w="28" w:type="dxa"/>
            </w:tcMar>
            <w:vAlign w:val="center"/>
          </w:tcPr>
          <w:p w14:paraId="0B18FF8E">
            <w:pPr>
              <w:pStyle w:val="11"/>
              <w:bidi w:val="0"/>
              <w:jc w:val="center"/>
              <w:rPr>
                <w:rFonts w:hint="eastAsia" w:eastAsia="宋体"/>
                <w:color w:val="000000"/>
                <w:lang w:eastAsia="zh-CN"/>
              </w:rPr>
            </w:pPr>
            <w:r>
              <w:rPr>
                <w:rFonts w:hint="eastAsia"/>
                <w:color w:val="000000"/>
              </w:rPr>
              <w:t>21</w:t>
            </w:r>
          </w:p>
        </w:tc>
        <w:tc>
          <w:tcPr>
            <w:tcW w:w="868" w:type="pct"/>
            <w:shd w:val="clear" w:color="auto" w:fill="FFFFFF"/>
            <w:noWrap w:val="0"/>
            <w:tcMar>
              <w:top w:w="28" w:type="dxa"/>
              <w:left w:w="28" w:type="dxa"/>
              <w:bottom w:w="28" w:type="dxa"/>
              <w:right w:w="28" w:type="dxa"/>
            </w:tcMar>
            <w:vAlign w:val="center"/>
          </w:tcPr>
          <w:p w14:paraId="0F91E6F2">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334EA5F1">
            <w:pPr>
              <w:pStyle w:val="11"/>
              <w:bidi w:val="0"/>
              <w:jc w:val="center"/>
              <w:rPr>
                <w:rFonts w:hint="eastAsia"/>
                <w:color w:val="000000"/>
              </w:rPr>
            </w:pPr>
            <w:r>
              <w:rPr>
                <w:rFonts w:hint="eastAsia"/>
                <w:color w:val="000000"/>
              </w:rPr>
              <w:t>4.77</w:t>
            </w:r>
          </w:p>
        </w:tc>
        <w:tc>
          <w:tcPr>
            <w:tcW w:w="867" w:type="pct"/>
            <w:shd w:val="clear" w:color="auto" w:fill="FFFFFF"/>
            <w:noWrap w:val="0"/>
            <w:tcMar>
              <w:top w:w="28" w:type="dxa"/>
              <w:left w:w="28" w:type="dxa"/>
              <w:bottom w:w="28" w:type="dxa"/>
              <w:right w:w="28" w:type="dxa"/>
            </w:tcMar>
            <w:vAlign w:val="center"/>
          </w:tcPr>
          <w:p w14:paraId="1A2F7854">
            <w:pPr>
              <w:pStyle w:val="11"/>
              <w:bidi w:val="0"/>
              <w:jc w:val="center"/>
              <w:rPr>
                <w:rFonts w:hint="eastAsia"/>
                <w:color w:val="000000"/>
              </w:rPr>
            </w:pPr>
            <w:r>
              <w:rPr>
                <w:rFonts w:hint="eastAsia"/>
                <w:color w:val="000000"/>
              </w:rPr>
              <w:t>2.81</w:t>
            </w:r>
          </w:p>
        </w:tc>
        <w:tc>
          <w:tcPr>
            <w:tcW w:w="868" w:type="pct"/>
            <w:shd w:val="clear" w:color="auto" w:fill="FFFFFF"/>
            <w:noWrap w:val="0"/>
            <w:tcMar>
              <w:top w:w="28" w:type="dxa"/>
              <w:left w:w="28" w:type="dxa"/>
              <w:bottom w:w="28" w:type="dxa"/>
              <w:right w:w="28" w:type="dxa"/>
            </w:tcMar>
            <w:vAlign w:val="center"/>
          </w:tcPr>
          <w:p w14:paraId="5AF396B7">
            <w:pPr>
              <w:pStyle w:val="11"/>
              <w:bidi w:val="0"/>
              <w:jc w:val="center"/>
              <w:rPr>
                <w:rFonts w:hint="eastAsia"/>
                <w:color w:val="000000"/>
              </w:rPr>
            </w:pPr>
            <w:r>
              <w:rPr>
                <w:rFonts w:hint="eastAsia"/>
                <w:color w:val="000000"/>
              </w:rPr>
              <w:t>9433</w:t>
            </w:r>
          </w:p>
        </w:tc>
      </w:tr>
      <w:tr w14:paraId="45B2876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69DB0E66">
            <w:pPr>
              <w:pStyle w:val="11"/>
              <w:bidi w:val="0"/>
              <w:jc w:val="center"/>
              <w:rPr>
                <w:rFonts w:hint="eastAsia" w:eastAsia="宋体"/>
                <w:color w:val="000000"/>
                <w:lang w:eastAsia="zh-CN"/>
              </w:rPr>
            </w:pPr>
            <w:r>
              <w:rPr>
                <w:rFonts w:hint="eastAsia"/>
                <w:color w:val="000000"/>
              </w:rPr>
              <w:t>界址镇</w:t>
            </w:r>
          </w:p>
        </w:tc>
        <w:tc>
          <w:tcPr>
            <w:tcW w:w="867" w:type="pct"/>
            <w:shd w:val="clear" w:color="auto" w:fill="FFFFFF"/>
            <w:noWrap w:val="0"/>
            <w:tcMar>
              <w:top w:w="28" w:type="dxa"/>
              <w:left w:w="28" w:type="dxa"/>
              <w:bottom w:w="28" w:type="dxa"/>
              <w:right w:w="28" w:type="dxa"/>
            </w:tcMar>
            <w:vAlign w:val="center"/>
          </w:tcPr>
          <w:p w14:paraId="68ED112B">
            <w:pPr>
              <w:pStyle w:val="11"/>
              <w:bidi w:val="0"/>
              <w:jc w:val="center"/>
              <w:rPr>
                <w:rFonts w:hint="eastAsia" w:eastAsia="宋体"/>
                <w:color w:val="000000"/>
                <w:lang w:eastAsia="zh-CN"/>
              </w:rPr>
            </w:pPr>
            <w:r>
              <w:rPr>
                <w:rFonts w:hint="eastAsia"/>
                <w:color w:val="000000"/>
              </w:rPr>
              <w:t>8</w:t>
            </w:r>
          </w:p>
        </w:tc>
        <w:tc>
          <w:tcPr>
            <w:tcW w:w="868" w:type="pct"/>
            <w:shd w:val="clear" w:color="auto" w:fill="FFFFFF"/>
            <w:noWrap w:val="0"/>
            <w:tcMar>
              <w:top w:w="28" w:type="dxa"/>
              <w:left w:w="28" w:type="dxa"/>
              <w:bottom w:w="28" w:type="dxa"/>
              <w:right w:w="28" w:type="dxa"/>
            </w:tcMar>
            <w:vAlign w:val="center"/>
          </w:tcPr>
          <w:p w14:paraId="3BC7880D">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2FC6E5B1">
            <w:pPr>
              <w:pStyle w:val="11"/>
              <w:bidi w:val="0"/>
              <w:jc w:val="center"/>
              <w:rPr>
                <w:rFonts w:hint="eastAsia"/>
                <w:color w:val="000000"/>
              </w:rPr>
            </w:pPr>
            <w:r>
              <w:rPr>
                <w:rFonts w:hint="eastAsia"/>
                <w:color w:val="000000"/>
              </w:rPr>
              <w:t>1.58</w:t>
            </w:r>
          </w:p>
        </w:tc>
        <w:tc>
          <w:tcPr>
            <w:tcW w:w="867" w:type="pct"/>
            <w:shd w:val="clear" w:color="auto" w:fill="FFFFFF"/>
            <w:noWrap w:val="0"/>
            <w:tcMar>
              <w:top w:w="28" w:type="dxa"/>
              <w:left w:w="28" w:type="dxa"/>
              <w:bottom w:w="28" w:type="dxa"/>
              <w:right w:w="28" w:type="dxa"/>
            </w:tcMar>
            <w:vAlign w:val="center"/>
          </w:tcPr>
          <w:p w14:paraId="6A6139A5">
            <w:pPr>
              <w:pStyle w:val="11"/>
              <w:bidi w:val="0"/>
              <w:jc w:val="center"/>
              <w:rPr>
                <w:rFonts w:hint="eastAsia"/>
                <w:color w:val="000000"/>
              </w:rPr>
            </w:pPr>
            <w:r>
              <w:rPr>
                <w:rFonts w:hint="eastAsia"/>
                <w:color w:val="000000"/>
              </w:rPr>
              <w:t>0.85</w:t>
            </w:r>
          </w:p>
        </w:tc>
        <w:tc>
          <w:tcPr>
            <w:tcW w:w="868" w:type="pct"/>
            <w:shd w:val="clear" w:color="auto" w:fill="FFFFFF"/>
            <w:noWrap w:val="0"/>
            <w:tcMar>
              <w:top w:w="28" w:type="dxa"/>
              <w:left w:w="28" w:type="dxa"/>
              <w:bottom w:w="28" w:type="dxa"/>
              <w:right w:w="28" w:type="dxa"/>
            </w:tcMar>
            <w:vAlign w:val="center"/>
          </w:tcPr>
          <w:p w14:paraId="148D433F">
            <w:pPr>
              <w:pStyle w:val="11"/>
              <w:bidi w:val="0"/>
              <w:jc w:val="center"/>
              <w:rPr>
                <w:rFonts w:hint="eastAsia"/>
                <w:color w:val="000000"/>
              </w:rPr>
            </w:pPr>
            <w:r>
              <w:rPr>
                <w:rFonts w:hint="eastAsia"/>
                <w:color w:val="000000"/>
              </w:rPr>
              <w:t>3135</w:t>
            </w:r>
          </w:p>
        </w:tc>
      </w:tr>
      <w:tr w14:paraId="7302C6C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685D256D">
            <w:pPr>
              <w:pStyle w:val="11"/>
              <w:bidi w:val="0"/>
              <w:jc w:val="center"/>
              <w:rPr>
                <w:rFonts w:hint="eastAsia" w:eastAsia="宋体"/>
                <w:color w:val="000000"/>
                <w:lang w:eastAsia="zh-CN"/>
              </w:rPr>
            </w:pPr>
            <w:r>
              <w:rPr>
                <w:rFonts w:hint="eastAsia"/>
                <w:color w:val="000000"/>
              </w:rPr>
              <w:t>坪田镇</w:t>
            </w:r>
          </w:p>
        </w:tc>
        <w:tc>
          <w:tcPr>
            <w:tcW w:w="867" w:type="pct"/>
            <w:shd w:val="clear" w:color="auto" w:fill="FFFFFF"/>
            <w:noWrap w:val="0"/>
            <w:tcMar>
              <w:top w:w="28" w:type="dxa"/>
              <w:left w:w="28" w:type="dxa"/>
              <w:bottom w:w="28" w:type="dxa"/>
              <w:right w:w="28" w:type="dxa"/>
            </w:tcMar>
            <w:vAlign w:val="center"/>
          </w:tcPr>
          <w:p w14:paraId="7E33F055">
            <w:pPr>
              <w:pStyle w:val="11"/>
              <w:bidi w:val="0"/>
              <w:jc w:val="center"/>
              <w:rPr>
                <w:rFonts w:hint="eastAsia" w:eastAsia="宋体"/>
                <w:color w:val="000000"/>
                <w:lang w:eastAsia="zh-CN"/>
              </w:rPr>
            </w:pPr>
            <w:r>
              <w:rPr>
                <w:rFonts w:hint="eastAsia"/>
                <w:color w:val="000000"/>
              </w:rPr>
              <w:t>14</w:t>
            </w:r>
          </w:p>
        </w:tc>
        <w:tc>
          <w:tcPr>
            <w:tcW w:w="868" w:type="pct"/>
            <w:shd w:val="clear" w:color="auto" w:fill="FFFFFF"/>
            <w:noWrap w:val="0"/>
            <w:tcMar>
              <w:top w:w="28" w:type="dxa"/>
              <w:left w:w="28" w:type="dxa"/>
              <w:bottom w:w="28" w:type="dxa"/>
              <w:right w:w="28" w:type="dxa"/>
            </w:tcMar>
            <w:vAlign w:val="center"/>
          </w:tcPr>
          <w:p w14:paraId="47916C9F">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1DFFC68E">
            <w:pPr>
              <w:pStyle w:val="11"/>
              <w:bidi w:val="0"/>
              <w:jc w:val="center"/>
              <w:rPr>
                <w:rFonts w:hint="eastAsia"/>
                <w:color w:val="000000"/>
              </w:rPr>
            </w:pPr>
            <w:r>
              <w:rPr>
                <w:rFonts w:hint="eastAsia"/>
                <w:color w:val="000000"/>
              </w:rPr>
              <w:t>2.75</w:t>
            </w:r>
          </w:p>
        </w:tc>
        <w:tc>
          <w:tcPr>
            <w:tcW w:w="867" w:type="pct"/>
            <w:shd w:val="clear" w:color="auto" w:fill="FFFFFF"/>
            <w:noWrap w:val="0"/>
            <w:tcMar>
              <w:top w:w="28" w:type="dxa"/>
              <w:left w:w="28" w:type="dxa"/>
              <w:bottom w:w="28" w:type="dxa"/>
              <w:right w:w="28" w:type="dxa"/>
            </w:tcMar>
            <w:vAlign w:val="center"/>
          </w:tcPr>
          <w:p w14:paraId="7D7438A5">
            <w:pPr>
              <w:pStyle w:val="11"/>
              <w:bidi w:val="0"/>
              <w:jc w:val="center"/>
              <w:rPr>
                <w:rFonts w:hint="eastAsia"/>
                <w:color w:val="000000"/>
              </w:rPr>
            </w:pPr>
            <w:r>
              <w:rPr>
                <w:rFonts w:hint="eastAsia"/>
                <w:color w:val="000000"/>
              </w:rPr>
              <w:t>1.63</w:t>
            </w:r>
          </w:p>
        </w:tc>
        <w:tc>
          <w:tcPr>
            <w:tcW w:w="868" w:type="pct"/>
            <w:shd w:val="clear" w:color="auto" w:fill="FFFFFF"/>
            <w:noWrap w:val="0"/>
            <w:tcMar>
              <w:top w:w="28" w:type="dxa"/>
              <w:left w:w="28" w:type="dxa"/>
              <w:bottom w:w="28" w:type="dxa"/>
              <w:right w:w="28" w:type="dxa"/>
            </w:tcMar>
            <w:vAlign w:val="center"/>
          </w:tcPr>
          <w:p w14:paraId="4D16E432">
            <w:pPr>
              <w:pStyle w:val="11"/>
              <w:bidi w:val="0"/>
              <w:jc w:val="center"/>
              <w:rPr>
                <w:rFonts w:hint="eastAsia"/>
                <w:color w:val="000000"/>
              </w:rPr>
            </w:pPr>
            <w:r>
              <w:rPr>
                <w:rFonts w:hint="eastAsia"/>
                <w:color w:val="000000"/>
              </w:rPr>
              <w:t>4513</w:t>
            </w:r>
          </w:p>
        </w:tc>
      </w:tr>
      <w:tr w14:paraId="4375AE5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251A1A69">
            <w:pPr>
              <w:pStyle w:val="11"/>
              <w:bidi w:val="0"/>
              <w:jc w:val="center"/>
              <w:rPr>
                <w:rFonts w:hint="eastAsia" w:eastAsia="宋体"/>
                <w:color w:val="000000"/>
                <w:lang w:eastAsia="zh-CN"/>
              </w:rPr>
            </w:pPr>
            <w:r>
              <w:rPr>
                <w:rFonts w:hint="eastAsia"/>
                <w:color w:val="000000"/>
              </w:rPr>
              <w:t>黄坑镇</w:t>
            </w:r>
          </w:p>
        </w:tc>
        <w:tc>
          <w:tcPr>
            <w:tcW w:w="867" w:type="pct"/>
            <w:shd w:val="clear" w:color="auto" w:fill="FFFFFF"/>
            <w:noWrap w:val="0"/>
            <w:tcMar>
              <w:top w:w="28" w:type="dxa"/>
              <w:left w:w="28" w:type="dxa"/>
              <w:bottom w:w="28" w:type="dxa"/>
              <w:right w:w="28" w:type="dxa"/>
            </w:tcMar>
            <w:vAlign w:val="center"/>
          </w:tcPr>
          <w:p w14:paraId="13C56CE9">
            <w:pPr>
              <w:pStyle w:val="11"/>
              <w:bidi w:val="0"/>
              <w:jc w:val="center"/>
              <w:rPr>
                <w:rFonts w:hint="eastAsia" w:eastAsia="宋体"/>
                <w:color w:val="000000"/>
                <w:lang w:eastAsia="zh-CN"/>
              </w:rPr>
            </w:pPr>
            <w:r>
              <w:rPr>
                <w:rFonts w:hint="eastAsia"/>
                <w:color w:val="000000"/>
              </w:rPr>
              <w:t>10</w:t>
            </w:r>
          </w:p>
        </w:tc>
        <w:tc>
          <w:tcPr>
            <w:tcW w:w="868" w:type="pct"/>
            <w:shd w:val="clear" w:color="auto" w:fill="FFFFFF"/>
            <w:noWrap w:val="0"/>
            <w:tcMar>
              <w:top w:w="28" w:type="dxa"/>
              <w:left w:w="28" w:type="dxa"/>
              <w:bottom w:w="28" w:type="dxa"/>
              <w:right w:w="28" w:type="dxa"/>
            </w:tcMar>
            <w:vAlign w:val="center"/>
          </w:tcPr>
          <w:p w14:paraId="46F4CA63">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100A6F59">
            <w:pPr>
              <w:pStyle w:val="11"/>
              <w:bidi w:val="0"/>
              <w:jc w:val="center"/>
              <w:rPr>
                <w:rFonts w:hint="eastAsia"/>
                <w:color w:val="000000"/>
              </w:rPr>
            </w:pPr>
            <w:r>
              <w:rPr>
                <w:rFonts w:hint="eastAsia"/>
                <w:color w:val="000000"/>
              </w:rPr>
              <w:t>2.58</w:t>
            </w:r>
          </w:p>
        </w:tc>
        <w:tc>
          <w:tcPr>
            <w:tcW w:w="867" w:type="pct"/>
            <w:shd w:val="clear" w:color="auto" w:fill="FFFFFF"/>
            <w:noWrap w:val="0"/>
            <w:tcMar>
              <w:top w:w="28" w:type="dxa"/>
              <w:left w:w="28" w:type="dxa"/>
              <w:bottom w:w="28" w:type="dxa"/>
              <w:right w:w="28" w:type="dxa"/>
            </w:tcMar>
            <w:vAlign w:val="center"/>
          </w:tcPr>
          <w:p w14:paraId="73D183E7">
            <w:pPr>
              <w:pStyle w:val="11"/>
              <w:bidi w:val="0"/>
              <w:jc w:val="center"/>
              <w:rPr>
                <w:rFonts w:hint="eastAsia"/>
                <w:color w:val="000000"/>
              </w:rPr>
            </w:pPr>
            <w:r>
              <w:rPr>
                <w:rFonts w:hint="eastAsia"/>
                <w:color w:val="000000"/>
              </w:rPr>
              <w:t>1.58</w:t>
            </w:r>
          </w:p>
        </w:tc>
        <w:tc>
          <w:tcPr>
            <w:tcW w:w="868" w:type="pct"/>
            <w:shd w:val="clear" w:color="auto" w:fill="FFFFFF"/>
            <w:noWrap w:val="0"/>
            <w:tcMar>
              <w:top w:w="28" w:type="dxa"/>
              <w:left w:w="28" w:type="dxa"/>
              <w:bottom w:w="28" w:type="dxa"/>
              <w:right w:w="28" w:type="dxa"/>
            </w:tcMar>
            <w:vAlign w:val="center"/>
          </w:tcPr>
          <w:p w14:paraId="700B4334">
            <w:pPr>
              <w:pStyle w:val="11"/>
              <w:bidi w:val="0"/>
              <w:jc w:val="center"/>
              <w:rPr>
                <w:rFonts w:hint="eastAsia"/>
                <w:color w:val="000000"/>
              </w:rPr>
            </w:pPr>
            <w:r>
              <w:rPr>
                <w:rFonts w:hint="eastAsia"/>
                <w:color w:val="000000"/>
              </w:rPr>
              <w:t>5240</w:t>
            </w:r>
          </w:p>
        </w:tc>
      </w:tr>
      <w:tr w14:paraId="335FB49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0A59261E">
            <w:pPr>
              <w:pStyle w:val="11"/>
              <w:bidi w:val="0"/>
              <w:jc w:val="center"/>
              <w:rPr>
                <w:rFonts w:hint="eastAsia" w:eastAsia="宋体"/>
                <w:color w:val="000000"/>
                <w:lang w:eastAsia="zh-CN"/>
              </w:rPr>
            </w:pPr>
            <w:r>
              <w:rPr>
                <w:rFonts w:hint="eastAsia"/>
                <w:color w:val="000000"/>
              </w:rPr>
              <w:t>邓坊镇</w:t>
            </w:r>
          </w:p>
        </w:tc>
        <w:tc>
          <w:tcPr>
            <w:tcW w:w="867" w:type="pct"/>
            <w:shd w:val="clear" w:color="auto" w:fill="FFFFFF"/>
            <w:noWrap w:val="0"/>
            <w:tcMar>
              <w:top w:w="28" w:type="dxa"/>
              <w:left w:w="28" w:type="dxa"/>
              <w:bottom w:w="28" w:type="dxa"/>
              <w:right w:w="28" w:type="dxa"/>
            </w:tcMar>
            <w:vAlign w:val="center"/>
          </w:tcPr>
          <w:p w14:paraId="04355850">
            <w:pPr>
              <w:pStyle w:val="11"/>
              <w:bidi w:val="0"/>
              <w:jc w:val="center"/>
              <w:rPr>
                <w:rFonts w:hint="eastAsia" w:eastAsia="宋体"/>
                <w:color w:val="000000"/>
                <w:lang w:eastAsia="zh-CN"/>
              </w:rPr>
            </w:pPr>
            <w:r>
              <w:rPr>
                <w:rFonts w:hint="eastAsia"/>
                <w:color w:val="000000"/>
              </w:rPr>
              <w:t>9</w:t>
            </w:r>
          </w:p>
        </w:tc>
        <w:tc>
          <w:tcPr>
            <w:tcW w:w="868" w:type="pct"/>
            <w:shd w:val="clear" w:color="auto" w:fill="FFFFFF"/>
            <w:noWrap w:val="0"/>
            <w:tcMar>
              <w:top w:w="28" w:type="dxa"/>
              <w:left w:w="28" w:type="dxa"/>
              <w:bottom w:w="28" w:type="dxa"/>
              <w:right w:w="28" w:type="dxa"/>
            </w:tcMar>
            <w:vAlign w:val="center"/>
          </w:tcPr>
          <w:p w14:paraId="6255DFCF">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33C20ECD">
            <w:pPr>
              <w:pStyle w:val="11"/>
              <w:bidi w:val="0"/>
              <w:jc w:val="center"/>
              <w:rPr>
                <w:rFonts w:hint="eastAsia"/>
                <w:color w:val="000000"/>
              </w:rPr>
            </w:pPr>
            <w:r>
              <w:rPr>
                <w:rFonts w:hint="eastAsia"/>
                <w:color w:val="000000"/>
              </w:rPr>
              <w:t>1.69</w:t>
            </w:r>
          </w:p>
        </w:tc>
        <w:tc>
          <w:tcPr>
            <w:tcW w:w="867" w:type="pct"/>
            <w:shd w:val="clear" w:color="auto" w:fill="FFFFFF"/>
            <w:noWrap w:val="0"/>
            <w:tcMar>
              <w:top w:w="28" w:type="dxa"/>
              <w:left w:w="28" w:type="dxa"/>
              <w:bottom w:w="28" w:type="dxa"/>
              <w:right w:w="28" w:type="dxa"/>
            </w:tcMar>
            <w:vAlign w:val="center"/>
          </w:tcPr>
          <w:p w14:paraId="2A9B061C">
            <w:pPr>
              <w:pStyle w:val="11"/>
              <w:bidi w:val="0"/>
              <w:jc w:val="center"/>
              <w:rPr>
                <w:rFonts w:hint="eastAsia"/>
                <w:color w:val="000000"/>
              </w:rPr>
            </w:pPr>
            <w:r>
              <w:rPr>
                <w:rFonts w:hint="eastAsia"/>
                <w:color w:val="000000"/>
              </w:rPr>
              <w:t>1.02</w:t>
            </w:r>
          </w:p>
        </w:tc>
        <w:tc>
          <w:tcPr>
            <w:tcW w:w="868" w:type="pct"/>
            <w:shd w:val="clear" w:color="auto" w:fill="FFFFFF"/>
            <w:noWrap w:val="0"/>
            <w:tcMar>
              <w:top w:w="28" w:type="dxa"/>
              <w:left w:w="28" w:type="dxa"/>
              <w:bottom w:w="28" w:type="dxa"/>
              <w:right w:w="28" w:type="dxa"/>
            </w:tcMar>
            <w:vAlign w:val="center"/>
          </w:tcPr>
          <w:p w14:paraId="4EFA8D6E">
            <w:pPr>
              <w:pStyle w:val="11"/>
              <w:bidi w:val="0"/>
              <w:jc w:val="center"/>
              <w:rPr>
                <w:rFonts w:hint="eastAsia"/>
                <w:color w:val="000000"/>
              </w:rPr>
            </w:pPr>
            <w:r>
              <w:rPr>
                <w:rFonts w:hint="eastAsia"/>
                <w:color w:val="000000"/>
              </w:rPr>
              <w:t>3454</w:t>
            </w:r>
          </w:p>
        </w:tc>
      </w:tr>
      <w:tr w14:paraId="189860A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106AB3C8">
            <w:pPr>
              <w:pStyle w:val="11"/>
              <w:bidi w:val="0"/>
              <w:jc w:val="center"/>
              <w:rPr>
                <w:rFonts w:hint="eastAsia" w:eastAsia="宋体"/>
                <w:color w:val="000000"/>
                <w:lang w:eastAsia="zh-CN"/>
              </w:rPr>
            </w:pPr>
            <w:r>
              <w:rPr>
                <w:rFonts w:hint="eastAsia"/>
                <w:color w:val="000000"/>
              </w:rPr>
              <w:t>油山镇</w:t>
            </w:r>
          </w:p>
        </w:tc>
        <w:tc>
          <w:tcPr>
            <w:tcW w:w="867" w:type="pct"/>
            <w:shd w:val="clear" w:color="auto" w:fill="FFFFFF"/>
            <w:noWrap w:val="0"/>
            <w:tcMar>
              <w:top w:w="28" w:type="dxa"/>
              <w:left w:w="28" w:type="dxa"/>
              <w:bottom w:w="28" w:type="dxa"/>
              <w:right w:w="28" w:type="dxa"/>
            </w:tcMar>
            <w:vAlign w:val="center"/>
          </w:tcPr>
          <w:p w14:paraId="1BBBC239">
            <w:pPr>
              <w:pStyle w:val="11"/>
              <w:bidi w:val="0"/>
              <w:jc w:val="center"/>
              <w:rPr>
                <w:rFonts w:hint="eastAsia" w:eastAsia="宋体"/>
                <w:color w:val="000000"/>
                <w:lang w:eastAsia="zh-CN"/>
              </w:rPr>
            </w:pPr>
            <w:r>
              <w:rPr>
                <w:rFonts w:hint="eastAsia"/>
                <w:color w:val="000000"/>
              </w:rPr>
              <w:t>17</w:t>
            </w:r>
          </w:p>
        </w:tc>
        <w:tc>
          <w:tcPr>
            <w:tcW w:w="868" w:type="pct"/>
            <w:shd w:val="clear" w:color="auto" w:fill="FFFFFF"/>
            <w:noWrap w:val="0"/>
            <w:tcMar>
              <w:top w:w="28" w:type="dxa"/>
              <w:left w:w="28" w:type="dxa"/>
              <w:bottom w:w="28" w:type="dxa"/>
              <w:right w:w="28" w:type="dxa"/>
            </w:tcMar>
            <w:vAlign w:val="center"/>
          </w:tcPr>
          <w:p w14:paraId="02B941FC">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7D08F32D">
            <w:pPr>
              <w:pStyle w:val="11"/>
              <w:bidi w:val="0"/>
              <w:jc w:val="center"/>
              <w:rPr>
                <w:rFonts w:hint="eastAsia"/>
                <w:color w:val="000000"/>
              </w:rPr>
            </w:pPr>
            <w:r>
              <w:rPr>
                <w:rFonts w:hint="eastAsia"/>
                <w:color w:val="000000"/>
              </w:rPr>
              <w:t>3.33</w:t>
            </w:r>
          </w:p>
        </w:tc>
        <w:tc>
          <w:tcPr>
            <w:tcW w:w="867" w:type="pct"/>
            <w:shd w:val="clear" w:color="auto" w:fill="FFFFFF"/>
            <w:noWrap w:val="0"/>
            <w:tcMar>
              <w:top w:w="28" w:type="dxa"/>
              <w:left w:w="28" w:type="dxa"/>
              <w:bottom w:w="28" w:type="dxa"/>
              <w:right w:w="28" w:type="dxa"/>
            </w:tcMar>
            <w:vAlign w:val="center"/>
          </w:tcPr>
          <w:p w14:paraId="74554FAC">
            <w:pPr>
              <w:pStyle w:val="11"/>
              <w:bidi w:val="0"/>
              <w:jc w:val="center"/>
              <w:rPr>
                <w:rFonts w:hint="eastAsia"/>
                <w:color w:val="000000"/>
              </w:rPr>
            </w:pPr>
            <w:r>
              <w:rPr>
                <w:rFonts w:hint="eastAsia"/>
                <w:color w:val="000000"/>
              </w:rPr>
              <w:t>1.65</w:t>
            </w:r>
          </w:p>
        </w:tc>
        <w:tc>
          <w:tcPr>
            <w:tcW w:w="868" w:type="pct"/>
            <w:shd w:val="clear" w:color="auto" w:fill="FFFFFF"/>
            <w:noWrap w:val="0"/>
            <w:tcMar>
              <w:top w:w="28" w:type="dxa"/>
              <w:left w:w="28" w:type="dxa"/>
              <w:bottom w:w="28" w:type="dxa"/>
              <w:right w:w="28" w:type="dxa"/>
            </w:tcMar>
            <w:vAlign w:val="center"/>
          </w:tcPr>
          <w:p w14:paraId="6314249A">
            <w:pPr>
              <w:pStyle w:val="11"/>
              <w:bidi w:val="0"/>
              <w:jc w:val="center"/>
              <w:rPr>
                <w:rFonts w:hint="eastAsia"/>
                <w:color w:val="000000"/>
              </w:rPr>
            </w:pPr>
            <w:r>
              <w:rPr>
                <w:rFonts w:hint="eastAsia"/>
                <w:color w:val="000000"/>
              </w:rPr>
              <w:t>5848</w:t>
            </w:r>
          </w:p>
        </w:tc>
      </w:tr>
      <w:tr w14:paraId="1962294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4C972CE5">
            <w:pPr>
              <w:pStyle w:val="11"/>
              <w:bidi w:val="0"/>
              <w:jc w:val="center"/>
              <w:rPr>
                <w:rFonts w:hint="eastAsia" w:eastAsia="宋体"/>
                <w:color w:val="000000"/>
                <w:lang w:eastAsia="zh-CN"/>
              </w:rPr>
            </w:pPr>
            <w:r>
              <w:rPr>
                <w:rFonts w:hint="eastAsia"/>
                <w:color w:val="000000"/>
              </w:rPr>
              <w:t>南亩镇</w:t>
            </w:r>
          </w:p>
        </w:tc>
        <w:tc>
          <w:tcPr>
            <w:tcW w:w="867" w:type="pct"/>
            <w:shd w:val="clear" w:color="auto" w:fill="FFFFFF"/>
            <w:noWrap w:val="0"/>
            <w:tcMar>
              <w:top w:w="28" w:type="dxa"/>
              <w:left w:w="28" w:type="dxa"/>
              <w:bottom w:w="28" w:type="dxa"/>
              <w:right w:w="28" w:type="dxa"/>
            </w:tcMar>
            <w:vAlign w:val="center"/>
          </w:tcPr>
          <w:p w14:paraId="49D7FFAD">
            <w:pPr>
              <w:pStyle w:val="11"/>
              <w:bidi w:val="0"/>
              <w:jc w:val="center"/>
              <w:rPr>
                <w:rFonts w:hint="eastAsia" w:eastAsia="宋体"/>
                <w:color w:val="000000"/>
                <w:lang w:eastAsia="zh-CN"/>
              </w:rPr>
            </w:pPr>
            <w:r>
              <w:rPr>
                <w:rFonts w:hint="eastAsia"/>
                <w:color w:val="000000"/>
              </w:rPr>
              <w:t>11</w:t>
            </w:r>
          </w:p>
        </w:tc>
        <w:tc>
          <w:tcPr>
            <w:tcW w:w="868" w:type="pct"/>
            <w:shd w:val="clear" w:color="auto" w:fill="FFFFFF"/>
            <w:noWrap w:val="0"/>
            <w:tcMar>
              <w:top w:w="28" w:type="dxa"/>
              <w:left w:w="28" w:type="dxa"/>
              <w:bottom w:w="28" w:type="dxa"/>
              <w:right w:w="28" w:type="dxa"/>
            </w:tcMar>
            <w:vAlign w:val="center"/>
          </w:tcPr>
          <w:p w14:paraId="3CA41EF5">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5F3AB4D7">
            <w:pPr>
              <w:pStyle w:val="11"/>
              <w:bidi w:val="0"/>
              <w:jc w:val="center"/>
              <w:rPr>
                <w:rFonts w:hint="eastAsia"/>
                <w:color w:val="000000"/>
              </w:rPr>
            </w:pPr>
            <w:r>
              <w:rPr>
                <w:rFonts w:hint="eastAsia"/>
                <w:color w:val="000000"/>
              </w:rPr>
              <w:t>1.76</w:t>
            </w:r>
          </w:p>
        </w:tc>
        <w:tc>
          <w:tcPr>
            <w:tcW w:w="867" w:type="pct"/>
            <w:shd w:val="clear" w:color="auto" w:fill="FFFFFF"/>
            <w:noWrap w:val="0"/>
            <w:tcMar>
              <w:top w:w="28" w:type="dxa"/>
              <w:left w:w="28" w:type="dxa"/>
              <w:bottom w:w="28" w:type="dxa"/>
              <w:right w:w="28" w:type="dxa"/>
            </w:tcMar>
            <w:vAlign w:val="center"/>
          </w:tcPr>
          <w:p w14:paraId="7AA7C853">
            <w:pPr>
              <w:pStyle w:val="11"/>
              <w:bidi w:val="0"/>
              <w:jc w:val="center"/>
              <w:rPr>
                <w:rFonts w:hint="eastAsia"/>
                <w:color w:val="000000"/>
              </w:rPr>
            </w:pPr>
            <w:r>
              <w:rPr>
                <w:rFonts w:hint="eastAsia"/>
                <w:color w:val="000000"/>
              </w:rPr>
              <w:t>1.02</w:t>
            </w:r>
          </w:p>
        </w:tc>
        <w:tc>
          <w:tcPr>
            <w:tcW w:w="868" w:type="pct"/>
            <w:shd w:val="clear" w:color="auto" w:fill="FFFFFF"/>
            <w:noWrap w:val="0"/>
            <w:tcMar>
              <w:top w:w="28" w:type="dxa"/>
              <w:left w:w="28" w:type="dxa"/>
              <w:bottom w:w="28" w:type="dxa"/>
              <w:right w:w="28" w:type="dxa"/>
            </w:tcMar>
            <w:vAlign w:val="center"/>
          </w:tcPr>
          <w:p w14:paraId="33F19986">
            <w:pPr>
              <w:pStyle w:val="11"/>
              <w:bidi w:val="0"/>
              <w:jc w:val="center"/>
              <w:rPr>
                <w:rFonts w:hint="eastAsia"/>
                <w:color w:val="000000"/>
              </w:rPr>
            </w:pPr>
            <w:r>
              <w:rPr>
                <w:rFonts w:hint="eastAsia"/>
                <w:color w:val="000000"/>
              </w:rPr>
              <w:t>3266</w:t>
            </w:r>
          </w:p>
        </w:tc>
      </w:tr>
      <w:tr w14:paraId="2B19C5A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348568BC">
            <w:pPr>
              <w:pStyle w:val="11"/>
              <w:bidi w:val="0"/>
              <w:jc w:val="center"/>
              <w:rPr>
                <w:rFonts w:hint="eastAsia" w:eastAsia="宋体"/>
                <w:color w:val="000000"/>
                <w:lang w:eastAsia="zh-CN"/>
              </w:rPr>
            </w:pPr>
            <w:r>
              <w:rPr>
                <w:rFonts w:hint="eastAsia"/>
                <w:color w:val="000000"/>
              </w:rPr>
              <w:t>水口镇</w:t>
            </w:r>
          </w:p>
        </w:tc>
        <w:tc>
          <w:tcPr>
            <w:tcW w:w="867" w:type="pct"/>
            <w:shd w:val="clear" w:color="auto" w:fill="FFFFFF"/>
            <w:noWrap w:val="0"/>
            <w:tcMar>
              <w:top w:w="28" w:type="dxa"/>
              <w:left w:w="28" w:type="dxa"/>
              <w:bottom w:w="28" w:type="dxa"/>
              <w:right w:w="28" w:type="dxa"/>
            </w:tcMar>
            <w:vAlign w:val="center"/>
          </w:tcPr>
          <w:p w14:paraId="1C4008BB">
            <w:pPr>
              <w:pStyle w:val="11"/>
              <w:bidi w:val="0"/>
              <w:jc w:val="center"/>
              <w:rPr>
                <w:rFonts w:hint="eastAsia" w:eastAsia="宋体"/>
                <w:color w:val="000000"/>
                <w:lang w:eastAsia="zh-CN"/>
              </w:rPr>
            </w:pPr>
            <w:r>
              <w:rPr>
                <w:rFonts w:hint="eastAsia"/>
                <w:color w:val="000000"/>
              </w:rPr>
              <w:t>13</w:t>
            </w:r>
          </w:p>
        </w:tc>
        <w:tc>
          <w:tcPr>
            <w:tcW w:w="868" w:type="pct"/>
            <w:shd w:val="clear" w:color="auto" w:fill="FFFFFF"/>
            <w:noWrap w:val="0"/>
            <w:tcMar>
              <w:top w:w="28" w:type="dxa"/>
              <w:left w:w="28" w:type="dxa"/>
              <w:bottom w:w="28" w:type="dxa"/>
              <w:right w:w="28" w:type="dxa"/>
            </w:tcMar>
            <w:vAlign w:val="center"/>
          </w:tcPr>
          <w:p w14:paraId="792A3977">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4433A8F9">
            <w:pPr>
              <w:pStyle w:val="11"/>
              <w:bidi w:val="0"/>
              <w:jc w:val="center"/>
              <w:rPr>
                <w:rFonts w:hint="eastAsia"/>
                <w:color w:val="000000"/>
              </w:rPr>
            </w:pPr>
            <w:r>
              <w:rPr>
                <w:rFonts w:hint="eastAsia"/>
                <w:color w:val="000000"/>
              </w:rPr>
              <w:t>2.51</w:t>
            </w:r>
          </w:p>
        </w:tc>
        <w:tc>
          <w:tcPr>
            <w:tcW w:w="867" w:type="pct"/>
            <w:shd w:val="clear" w:color="auto" w:fill="FFFFFF"/>
            <w:noWrap w:val="0"/>
            <w:tcMar>
              <w:top w:w="28" w:type="dxa"/>
              <w:left w:w="28" w:type="dxa"/>
              <w:bottom w:w="28" w:type="dxa"/>
              <w:right w:w="28" w:type="dxa"/>
            </w:tcMar>
            <w:vAlign w:val="center"/>
          </w:tcPr>
          <w:p w14:paraId="27930496">
            <w:pPr>
              <w:pStyle w:val="11"/>
              <w:bidi w:val="0"/>
              <w:jc w:val="center"/>
              <w:rPr>
                <w:rFonts w:hint="eastAsia"/>
                <w:color w:val="000000"/>
              </w:rPr>
            </w:pPr>
            <w:r>
              <w:rPr>
                <w:rFonts w:hint="eastAsia"/>
                <w:color w:val="000000"/>
              </w:rPr>
              <w:t>1.56</w:t>
            </w:r>
          </w:p>
        </w:tc>
        <w:tc>
          <w:tcPr>
            <w:tcW w:w="868" w:type="pct"/>
            <w:shd w:val="clear" w:color="auto" w:fill="FFFFFF"/>
            <w:noWrap w:val="0"/>
            <w:tcMar>
              <w:top w:w="28" w:type="dxa"/>
              <w:left w:w="28" w:type="dxa"/>
              <w:bottom w:w="28" w:type="dxa"/>
              <w:right w:w="28" w:type="dxa"/>
            </w:tcMar>
            <w:vAlign w:val="center"/>
          </w:tcPr>
          <w:p w14:paraId="506D82B5">
            <w:pPr>
              <w:pStyle w:val="11"/>
              <w:bidi w:val="0"/>
              <w:jc w:val="center"/>
              <w:rPr>
                <w:rFonts w:hint="eastAsia"/>
                <w:color w:val="000000"/>
              </w:rPr>
            </w:pPr>
            <w:r>
              <w:rPr>
                <w:rFonts w:hint="eastAsia"/>
                <w:color w:val="000000"/>
              </w:rPr>
              <w:t>4693</w:t>
            </w:r>
          </w:p>
        </w:tc>
      </w:tr>
      <w:tr w14:paraId="005C6C4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2A10A342">
            <w:pPr>
              <w:pStyle w:val="11"/>
              <w:bidi w:val="0"/>
              <w:jc w:val="center"/>
              <w:rPr>
                <w:rFonts w:hint="eastAsia" w:eastAsia="宋体"/>
                <w:color w:val="000000"/>
                <w:lang w:eastAsia="zh-CN"/>
              </w:rPr>
            </w:pPr>
            <w:r>
              <w:rPr>
                <w:rFonts w:hint="eastAsia"/>
                <w:color w:val="000000"/>
              </w:rPr>
              <w:t>江头镇</w:t>
            </w:r>
          </w:p>
        </w:tc>
        <w:tc>
          <w:tcPr>
            <w:tcW w:w="867" w:type="pct"/>
            <w:shd w:val="clear" w:color="auto" w:fill="FFFFFF"/>
            <w:noWrap w:val="0"/>
            <w:tcMar>
              <w:top w:w="28" w:type="dxa"/>
              <w:left w:w="28" w:type="dxa"/>
              <w:bottom w:w="28" w:type="dxa"/>
              <w:right w:w="28" w:type="dxa"/>
            </w:tcMar>
            <w:vAlign w:val="center"/>
          </w:tcPr>
          <w:p w14:paraId="7F890992">
            <w:pPr>
              <w:pStyle w:val="11"/>
              <w:bidi w:val="0"/>
              <w:jc w:val="center"/>
              <w:rPr>
                <w:rFonts w:hint="eastAsia" w:eastAsia="宋体"/>
                <w:color w:val="000000"/>
                <w:lang w:eastAsia="zh-CN"/>
              </w:rPr>
            </w:pPr>
            <w:r>
              <w:rPr>
                <w:rFonts w:hint="eastAsia"/>
                <w:color w:val="000000"/>
              </w:rPr>
              <w:t>9</w:t>
            </w:r>
          </w:p>
        </w:tc>
        <w:tc>
          <w:tcPr>
            <w:tcW w:w="868" w:type="pct"/>
            <w:shd w:val="clear" w:color="auto" w:fill="FFFFFF"/>
            <w:noWrap w:val="0"/>
            <w:tcMar>
              <w:top w:w="28" w:type="dxa"/>
              <w:left w:w="28" w:type="dxa"/>
              <w:bottom w:w="28" w:type="dxa"/>
              <w:right w:w="28" w:type="dxa"/>
            </w:tcMar>
            <w:vAlign w:val="center"/>
          </w:tcPr>
          <w:p w14:paraId="51236B45">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22ACAECB">
            <w:pPr>
              <w:pStyle w:val="11"/>
              <w:bidi w:val="0"/>
              <w:jc w:val="center"/>
              <w:rPr>
                <w:rFonts w:hint="eastAsia"/>
                <w:color w:val="000000"/>
              </w:rPr>
            </w:pPr>
            <w:r>
              <w:rPr>
                <w:rFonts w:hint="eastAsia"/>
                <w:color w:val="000000"/>
              </w:rPr>
              <w:t>1.26</w:t>
            </w:r>
          </w:p>
        </w:tc>
        <w:tc>
          <w:tcPr>
            <w:tcW w:w="867" w:type="pct"/>
            <w:shd w:val="clear" w:color="auto" w:fill="FFFFFF"/>
            <w:noWrap w:val="0"/>
            <w:tcMar>
              <w:top w:w="28" w:type="dxa"/>
              <w:left w:w="28" w:type="dxa"/>
              <w:bottom w:w="28" w:type="dxa"/>
              <w:right w:w="28" w:type="dxa"/>
            </w:tcMar>
            <w:vAlign w:val="center"/>
          </w:tcPr>
          <w:p w14:paraId="1FC046CC">
            <w:pPr>
              <w:pStyle w:val="11"/>
              <w:bidi w:val="0"/>
              <w:jc w:val="center"/>
              <w:rPr>
                <w:rFonts w:hint="eastAsia"/>
                <w:color w:val="000000"/>
              </w:rPr>
            </w:pPr>
            <w:r>
              <w:rPr>
                <w:rFonts w:hint="eastAsia"/>
                <w:color w:val="000000"/>
              </w:rPr>
              <w:t>0.71</w:t>
            </w:r>
          </w:p>
        </w:tc>
        <w:tc>
          <w:tcPr>
            <w:tcW w:w="868" w:type="pct"/>
            <w:shd w:val="clear" w:color="auto" w:fill="FFFFFF"/>
            <w:noWrap w:val="0"/>
            <w:tcMar>
              <w:top w:w="28" w:type="dxa"/>
              <w:left w:w="28" w:type="dxa"/>
              <w:bottom w:w="28" w:type="dxa"/>
              <w:right w:w="28" w:type="dxa"/>
            </w:tcMar>
            <w:vAlign w:val="center"/>
          </w:tcPr>
          <w:p w14:paraId="6C3FC6BD">
            <w:pPr>
              <w:pStyle w:val="11"/>
              <w:bidi w:val="0"/>
              <w:jc w:val="center"/>
              <w:rPr>
                <w:rFonts w:hint="eastAsia"/>
                <w:color w:val="000000"/>
              </w:rPr>
            </w:pPr>
            <w:r>
              <w:rPr>
                <w:rFonts w:hint="eastAsia"/>
                <w:color w:val="000000"/>
              </w:rPr>
              <w:t>2287</w:t>
            </w:r>
          </w:p>
        </w:tc>
      </w:tr>
      <w:tr w14:paraId="4272B7E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74A99E64">
            <w:pPr>
              <w:pStyle w:val="11"/>
              <w:bidi w:val="0"/>
              <w:jc w:val="center"/>
              <w:rPr>
                <w:rFonts w:hint="eastAsia" w:eastAsia="宋体"/>
                <w:color w:val="000000"/>
                <w:lang w:eastAsia="zh-CN"/>
              </w:rPr>
            </w:pPr>
            <w:r>
              <w:rPr>
                <w:rFonts w:hint="eastAsia"/>
                <w:color w:val="000000"/>
              </w:rPr>
              <w:t>湖口镇</w:t>
            </w:r>
          </w:p>
        </w:tc>
        <w:tc>
          <w:tcPr>
            <w:tcW w:w="867" w:type="pct"/>
            <w:shd w:val="clear" w:color="auto" w:fill="FFFFFF"/>
            <w:noWrap w:val="0"/>
            <w:tcMar>
              <w:top w:w="28" w:type="dxa"/>
              <w:left w:w="28" w:type="dxa"/>
              <w:bottom w:w="28" w:type="dxa"/>
              <w:right w:w="28" w:type="dxa"/>
            </w:tcMar>
            <w:vAlign w:val="center"/>
          </w:tcPr>
          <w:p w14:paraId="594375D3">
            <w:pPr>
              <w:pStyle w:val="11"/>
              <w:bidi w:val="0"/>
              <w:jc w:val="center"/>
              <w:rPr>
                <w:rFonts w:hint="eastAsia" w:eastAsia="宋体"/>
                <w:color w:val="000000"/>
                <w:lang w:eastAsia="zh-CN"/>
              </w:rPr>
            </w:pPr>
            <w:r>
              <w:rPr>
                <w:rFonts w:hint="eastAsia"/>
                <w:color w:val="000000"/>
              </w:rPr>
              <w:t>12</w:t>
            </w:r>
          </w:p>
        </w:tc>
        <w:tc>
          <w:tcPr>
            <w:tcW w:w="868" w:type="pct"/>
            <w:shd w:val="clear" w:color="auto" w:fill="FFFFFF"/>
            <w:noWrap w:val="0"/>
            <w:tcMar>
              <w:top w:w="28" w:type="dxa"/>
              <w:left w:w="28" w:type="dxa"/>
              <w:bottom w:w="28" w:type="dxa"/>
              <w:right w:w="28" w:type="dxa"/>
            </w:tcMar>
            <w:vAlign w:val="center"/>
          </w:tcPr>
          <w:p w14:paraId="45F391BE">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50C708C0">
            <w:pPr>
              <w:pStyle w:val="11"/>
              <w:bidi w:val="0"/>
              <w:jc w:val="center"/>
              <w:rPr>
                <w:rFonts w:hint="eastAsia"/>
                <w:color w:val="000000"/>
              </w:rPr>
            </w:pPr>
            <w:r>
              <w:rPr>
                <w:rFonts w:hint="eastAsia"/>
                <w:color w:val="000000"/>
              </w:rPr>
              <w:t>3.59</w:t>
            </w:r>
          </w:p>
        </w:tc>
        <w:tc>
          <w:tcPr>
            <w:tcW w:w="867" w:type="pct"/>
            <w:shd w:val="clear" w:color="auto" w:fill="FFFFFF"/>
            <w:noWrap w:val="0"/>
            <w:tcMar>
              <w:top w:w="28" w:type="dxa"/>
              <w:left w:w="28" w:type="dxa"/>
              <w:bottom w:w="28" w:type="dxa"/>
              <w:right w:w="28" w:type="dxa"/>
            </w:tcMar>
            <w:vAlign w:val="center"/>
          </w:tcPr>
          <w:p w14:paraId="61EAD612">
            <w:pPr>
              <w:pStyle w:val="11"/>
              <w:bidi w:val="0"/>
              <w:jc w:val="center"/>
              <w:rPr>
                <w:rFonts w:hint="eastAsia"/>
                <w:color w:val="000000"/>
              </w:rPr>
            </w:pPr>
            <w:r>
              <w:rPr>
                <w:rFonts w:hint="eastAsia"/>
                <w:color w:val="000000"/>
              </w:rPr>
              <w:t>1.82</w:t>
            </w:r>
          </w:p>
        </w:tc>
        <w:tc>
          <w:tcPr>
            <w:tcW w:w="868" w:type="pct"/>
            <w:shd w:val="clear" w:color="auto" w:fill="FFFFFF"/>
            <w:noWrap w:val="0"/>
            <w:tcMar>
              <w:top w:w="28" w:type="dxa"/>
              <w:left w:w="28" w:type="dxa"/>
              <w:bottom w:w="28" w:type="dxa"/>
              <w:right w:w="28" w:type="dxa"/>
            </w:tcMar>
            <w:vAlign w:val="center"/>
          </w:tcPr>
          <w:p w14:paraId="70D13C5E">
            <w:pPr>
              <w:pStyle w:val="11"/>
              <w:bidi w:val="0"/>
              <w:jc w:val="center"/>
              <w:rPr>
                <w:rFonts w:hint="eastAsia"/>
                <w:color w:val="000000"/>
              </w:rPr>
            </w:pPr>
            <w:r>
              <w:rPr>
                <w:rFonts w:hint="eastAsia"/>
                <w:color w:val="000000"/>
              </w:rPr>
              <w:t>6994</w:t>
            </w:r>
          </w:p>
        </w:tc>
      </w:tr>
      <w:tr w14:paraId="4F05A87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7304E9FB">
            <w:pPr>
              <w:pStyle w:val="11"/>
              <w:bidi w:val="0"/>
              <w:jc w:val="center"/>
              <w:rPr>
                <w:rFonts w:hint="eastAsia" w:eastAsia="宋体"/>
                <w:color w:val="000000"/>
                <w:lang w:eastAsia="zh-CN"/>
              </w:rPr>
            </w:pPr>
            <w:r>
              <w:rPr>
                <w:rFonts w:hint="eastAsia"/>
                <w:color w:val="000000"/>
              </w:rPr>
              <w:t>珠玑镇</w:t>
            </w:r>
          </w:p>
        </w:tc>
        <w:tc>
          <w:tcPr>
            <w:tcW w:w="867" w:type="pct"/>
            <w:shd w:val="clear" w:color="auto" w:fill="FFFFFF"/>
            <w:noWrap w:val="0"/>
            <w:tcMar>
              <w:top w:w="28" w:type="dxa"/>
              <w:left w:w="28" w:type="dxa"/>
              <w:bottom w:w="28" w:type="dxa"/>
              <w:right w:w="28" w:type="dxa"/>
            </w:tcMar>
            <w:vAlign w:val="center"/>
          </w:tcPr>
          <w:p w14:paraId="4C14FCC2">
            <w:pPr>
              <w:pStyle w:val="11"/>
              <w:bidi w:val="0"/>
              <w:jc w:val="center"/>
              <w:rPr>
                <w:rFonts w:hint="eastAsia" w:eastAsia="宋体"/>
                <w:color w:val="000000"/>
                <w:lang w:eastAsia="zh-CN"/>
              </w:rPr>
            </w:pPr>
            <w:r>
              <w:rPr>
                <w:rFonts w:hint="eastAsia"/>
                <w:color w:val="000000"/>
              </w:rPr>
              <w:t>22</w:t>
            </w:r>
          </w:p>
        </w:tc>
        <w:tc>
          <w:tcPr>
            <w:tcW w:w="868" w:type="pct"/>
            <w:shd w:val="clear" w:color="auto" w:fill="FFFFFF"/>
            <w:noWrap w:val="0"/>
            <w:tcMar>
              <w:top w:w="28" w:type="dxa"/>
              <w:left w:w="28" w:type="dxa"/>
              <w:bottom w:w="28" w:type="dxa"/>
              <w:right w:w="28" w:type="dxa"/>
            </w:tcMar>
            <w:vAlign w:val="center"/>
          </w:tcPr>
          <w:p w14:paraId="0FD9C291">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6B0CD588">
            <w:pPr>
              <w:pStyle w:val="11"/>
              <w:bidi w:val="0"/>
              <w:jc w:val="center"/>
              <w:rPr>
                <w:rFonts w:hint="eastAsia"/>
                <w:color w:val="000000"/>
              </w:rPr>
            </w:pPr>
            <w:r>
              <w:rPr>
                <w:rFonts w:hint="eastAsia"/>
                <w:color w:val="000000"/>
              </w:rPr>
              <w:t>4.61</w:t>
            </w:r>
          </w:p>
        </w:tc>
        <w:tc>
          <w:tcPr>
            <w:tcW w:w="867" w:type="pct"/>
            <w:shd w:val="clear" w:color="auto" w:fill="FFFFFF"/>
            <w:noWrap w:val="0"/>
            <w:tcMar>
              <w:top w:w="28" w:type="dxa"/>
              <w:left w:w="28" w:type="dxa"/>
              <w:bottom w:w="28" w:type="dxa"/>
              <w:right w:w="28" w:type="dxa"/>
            </w:tcMar>
            <w:vAlign w:val="center"/>
          </w:tcPr>
          <w:p w14:paraId="1010C955">
            <w:pPr>
              <w:pStyle w:val="11"/>
              <w:bidi w:val="0"/>
              <w:jc w:val="center"/>
              <w:rPr>
                <w:rFonts w:hint="eastAsia"/>
                <w:color w:val="000000"/>
              </w:rPr>
            </w:pPr>
            <w:r>
              <w:rPr>
                <w:rFonts w:hint="eastAsia"/>
                <w:color w:val="000000"/>
              </w:rPr>
              <w:t>2.34</w:t>
            </w:r>
          </w:p>
        </w:tc>
        <w:tc>
          <w:tcPr>
            <w:tcW w:w="868" w:type="pct"/>
            <w:shd w:val="clear" w:color="auto" w:fill="FFFFFF"/>
            <w:noWrap w:val="0"/>
            <w:tcMar>
              <w:top w:w="28" w:type="dxa"/>
              <w:left w:w="28" w:type="dxa"/>
              <w:bottom w:w="28" w:type="dxa"/>
              <w:right w:w="28" w:type="dxa"/>
            </w:tcMar>
            <w:vAlign w:val="center"/>
          </w:tcPr>
          <w:p w14:paraId="74786215">
            <w:pPr>
              <w:pStyle w:val="11"/>
              <w:bidi w:val="0"/>
              <w:jc w:val="center"/>
              <w:rPr>
                <w:rFonts w:hint="eastAsia"/>
                <w:color w:val="000000"/>
              </w:rPr>
            </w:pPr>
            <w:r>
              <w:rPr>
                <w:rFonts w:hint="eastAsia"/>
                <w:color w:val="000000"/>
              </w:rPr>
              <w:t>6865</w:t>
            </w:r>
          </w:p>
        </w:tc>
      </w:tr>
      <w:tr w14:paraId="70711E0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0849C581">
            <w:pPr>
              <w:pStyle w:val="11"/>
              <w:bidi w:val="0"/>
              <w:jc w:val="center"/>
              <w:rPr>
                <w:rFonts w:hint="eastAsia" w:eastAsia="宋体"/>
                <w:color w:val="000000"/>
                <w:lang w:eastAsia="zh-CN"/>
              </w:rPr>
            </w:pPr>
            <w:r>
              <w:rPr>
                <w:rFonts w:hint="eastAsia"/>
                <w:color w:val="000000"/>
              </w:rPr>
              <w:t>主田镇</w:t>
            </w:r>
          </w:p>
        </w:tc>
        <w:tc>
          <w:tcPr>
            <w:tcW w:w="867" w:type="pct"/>
            <w:shd w:val="clear" w:color="auto" w:fill="FFFFFF"/>
            <w:noWrap w:val="0"/>
            <w:tcMar>
              <w:top w:w="28" w:type="dxa"/>
              <w:left w:w="28" w:type="dxa"/>
              <w:bottom w:w="28" w:type="dxa"/>
              <w:right w:w="28" w:type="dxa"/>
            </w:tcMar>
            <w:vAlign w:val="center"/>
          </w:tcPr>
          <w:p w14:paraId="4605E10B">
            <w:pPr>
              <w:pStyle w:val="11"/>
              <w:bidi w:val="0"/>
              <w:jc w:val="center"/>
              <w:rPr>
                <w:rFonts w:hint="eastAsia" w:eastAsia="宋体"/>
                <w:color w:val="000000"/>
                <w:lang w:eastAsia="zh-CN"/>
              </w:rPr>
            </w:pPr>
            <w:r>
              <w:rPr>
                <w:rFonts w:hint="eastAsia"/>
                <w:color w:val="000000"/>
              </w:rPr>
              <w:t>8</w:t>
            </w:r>
          </w:p>
        </w:tc>
        <w:tc>
          <w:tcPr>
            <w:tcW w:w="868" w:type="pct"/>
            <w:shd w:val="clear" w:color="auto" w:fill="FFFFFF"/>
            <w:noWrap w:val="0"/>
            <w:tcMar>
              <w:top w:w="28" w:type="dxa"/>
              <w:left w:w="28" w:type="dxa"/>
              <w:bottom w:w="28" w:type="dxa"/>
              <w:right w:w="28" w:type="dxa"/>
            </w:tcMar>
            <w:vAlign w:val="center"/>
          </w:tcPr>
          <w:p w14:paraId="227CD936">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78618AED">
            <w:pPr>
              <w:pStyle w:val="11"/>
              <w:bidi w:val="0"/>
              <w:jc w:val="center"/>
              <w:rPr>
                <w:rFonts w:hint="eastAsia"/>
                <w:color w:val="000000"/>
              </w:rPr>
            </w:pPr>
            <w:r>
              <w:rPr>
                <w:rFonts w:hint="eastAsia"/>
                <w:color w:val="000000"/>
              </w:rPr>
              <w:t>1.48</w:t>
            </w:r>
          </w:p>
        </w:tc>
        <w:tc>
          <w:tcPr>
            <w:tcW w:w="867" w:type="pct"/>
            <w:shd w:val="clear" w:color="auto" w:fill="FFFFFF"/>
            <w:noWrap w:val="0"/>
            <w:tcMar>
              <w:top w:w="28" w:type="dxa"/>
              <w:left w:w="28" w:type="dxa"/>
              <w:bottom w:w="28" w:type="dxa"/>
              <w:right w:w="28" w:type="dxa"/>
            </w:tcMar>
            <w:vAlign w:val="center"/>
          </w:tcPr>
          <w:p w14:paraId="09B44560">
            <w:pPr>
              <w:pStyle w:val="11"/>
              <w:bidi w:val="0"/>
              <w:jc w:val="center"/>
              <w:rPr>
                <w:rFonts w:hint="eastAsia"/>
                <w:color w:val="000000"/>
              </w:rPr>
            </w:pPr>
            <w:r>
              <w:rPr>
                <w:rFonts w:hint="eastAsia"/>
                <w:color w:val="000000"/>
              </w:rPr>
              <w:t>0.95</w:t>
            </w:r>
          </w:p>
        </w:tc>
        <w:tc>
          <w:tcPr>
            <w:tcW w:w="868" w:type="pct"/>
            <w:shd w:val="clear" w:color="auto" w:fill="FFFFFF"/>
            <w:noWrap w:val="0"/>
            <w:tcMar>
              <w:top w:w="28" w:type="dxa"/>
              <w:left w:w="28" w:type="dxa"/>
              <w:bottom w:w="28" w:type="dxa"/>
              <w:right w:w="28" w:type="dxa"/>
            </w:tcMar>
            <w:vAlign w:val="center"/>
          </w:tcPr>
          <w:p w14:paraId="405610B0">
            <w:pPr>
              <w:pStyle w:val="11"/>
              <w:bidi w:val="0"/>
              <w:jc w:val="center"/>
              <w:rPr>
                <w:rFonts w:hint="eastAsia"/>
                <w:color w:val="000000"/>
              </w:rPr>
            </w:pPr>
            <w:r>
              <w:rPr>
                <w:rFonts w:hint="eastAsia"/>
                <w:color w:val="000000"/>
              </w:rPr>
              <w:t>3037</w:t>
            </w:r>
          </w:p>
        </w:tc>
      </w:tr>
      <w:tr w14:paraId="5A1774D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13A0C0FB">
            <w:pPr>
              <w:pStyle w:val="11"/>
              <w:bidi w:val="0"/>
              <w:jc w:val="center"/>
              <w:rPr>
                <w:rFonts w:hint="eastAsia" w:eastAsia="宋体"/>
                <w:color w:val="000000"/>
                <w:lang w:eastAsia="zh-CN"/>
              </w:rPr>
            </w:pPr>
            <w:r>
              <w:rPr>
                <w:rFonts w:hint="eastAsia"/>
                <w:color w:val="000000"/>
              </w:rPr>
              <w:t>古市镇</w:t>
            </w:r>
          </w:p>
        </w:tc>
        <w:tc>
          <w:tcPr>
            <w:tcW w:w="867" w:type="pct"/>
            <w:shd w:val="clear" w:color="auto" w:fill="FFFFFF"/>
            <w:noWrap w:val="0"/>
            <w:tcMar>
              <w:top w:w="28" w:type="dxa"/>
              <w:left w:w="28" w:type="dxa"/>
              <w:bottom w:w="28" w:type="dxa"/>
              <w:right w:w="28" w:type="dxa"/>
            </w:tcMar>
            <w:vAlign w:val="center"/>
          </w:tcPr>
          <w:p w14:paraId="4EF75BD3">
            <w:pPr>
              <w:pStyle w:val="11"/>
              <w:bidi w:val="0"/>
              <w:jc w:val="center"/>
              <w:rPr>
                <w:rFonts w:hint="eastAsia" w:eastAsia="宋体"/>
                <w:color w:val="000000"/>
                <w:lang w:eastAsia="zh-CN"/>
              </w:rPr>
            </w:pPr>
            <w:r>
              <w:rPr>
                <w:rFonts w:hint="eastAsia"/>
                <w:color w:val="000000"/>
              </w:rPr>
              <w:t>8</w:t>
            </w:r>
          </w:p>
        </w:tc>
        <w:tc>
          <w:tcPr>
            <w:tcW w:w="868" w:type="pct"/>
            <w:shd w:val="clear" w:color="auto" w:fill="FFFFFF"/>
            <w:noWrap w:val="0"/>
            <w:tcMar>
              <w:top w:w="28" w:type="dxa"/>
              <w:left w:w="28" w:type="dxa"/>
              <w:bottom w:w="28" w:type="dxa"/>
              <w:right w:w="28" w:type="dxa"/>
            </w:tcMar>
            <w:vAlign w:val="center"/>
          </w:tcPr>
          <w:p w14:paraId="1E6D5CAF">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31BC8AA4">
            <w:pPr>
              <w:pStyle w:val="11"/>
              <w:bidi w:val="0"/>
              <w:jc w:val="center"/>
              <w:rPr>
                <w:rFonts w:hint="eastAsia"/>
                <w:color w:val="000000"/>
              </w:rPr>
            </w:pPr>
            <w:r>
              <w:rPr>
                <w:rFonts w:hint="eastAsia"/>
                <w:color w:val="000000"/>
              </w:rPr>
              <w:t>2.15</w:t>
            </w:r>
          </w:p>
        </w:tc>
        <w:tc>
          <w:tcPr>
            <w:tcW w:w="867" w:type="pct"/>
            <w:shd w:val="clear" w:color="auto" w:fill="FFFFFF"/>
            <w:noWrap w:val="0"/>
            <w:tcMar>
              <w:top w:w="28" w:type="dxa"/>
              <w:left w:w="28" w:type="dxa"/>
              <w:bottom w:w="28" w:type="dxa"/>
              <w:right w:w="28" w:type="dxa"/>
            </w:tcMar>
            <w:vAlign w:val="center"/>
          </w:tcPr>
          <w:p w14:paraId="6CB59B8D">
            <w:pPr>
              <w:pStyle w:val="11"/>
              <w:bidi w:val="0"/>
              <w:jc w:val="center"/>
              <w:rPr>
                <w:rFonts w:hint="eastAsia"/>
                <w:color w:val="000000"/>
              </w:rPr>
            </w:pPr>
            <w:r>
              <w:rPr>
                <w:rFonts w:hint="eastAsia"/>
                <w:color w:val="000000"/>
              </w:rPr>
              <w:t>1.32</w:t>
            </w:r>
          </w:p>
        </w:tc>
        <w:tc>
          <w:tcPr>
            <w:tcW w:w="868" w:type="pct"/>
            <w:shd w:val="clear" w:color="auto" w:fill="FFFFFF"/>
            <w:noWrap w:val="0"/>
            <w:tcMar>
              <w:top w:w="28" w:type="dxa"/>
              <w:left w:w="28" w:type="dxa"/>
              <w:bottom w:w="28" w:type="dxa"/>
              <w:right w:w="28" w:type="dxa"/>
            </w:tcMar>
            <w:vAlign w:val="center"/>
          </w:tcPr>
          <w:p w14:paraId="2B62DFB0">
            <w:pPr>
              <w:pStyle w:val="11"/>
              <w:bidi w:val="0"/>
              <w:jc w:val="center"/>
              <w:rPr>
                <w:rFonts w:hint="eastAsia"/>
                <w:color w:val="000000"/>
              </w:rPr>
            </w:pPr>
            <w:r>
              <w:rPr>
                <w:rFonts w:hint="eastAsia"/>
                <w:color w:val="000000"/>
              </w:rPr>
              <w:t>4188</w:t>
            </w:r>
          </w:p>
        </w:tc>
      </w:tr>
      <w:tr w14:paraId="1BFCCDF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03B2A977">
            <w:pPr>
              <w:pStyle w:val="11"/>
              <w:bidi w:val="0"/>
              <w:jc w:val="center"/>
              <w:rPr>
                <w:rFonts w:hint="eastAsia" w:eastAsia="宋体"/>
                <w:color w:val="000000"/>
                <w:lang w:eastAsia="zh-CN"/>
              </w:rPr>
            </w:pPr>
            <w:r>
              <w:rPr>
                <w:rFonts w:hint="eastAsia"/>
                <w:color w:val="000000"/>
              </w:rPr>
              <w:t>全安镇</w:t>
            </w:r>
          </w:p>
        </w:tc>
        <w:tc>
          <w:tcPr>
            <w:tcW w:w="867" w:type="pct"/>
            <w:shd w:val="clear" w:color="auto" w:fill="FFFFFF"/>
            <w:noWrap w:val="0"/>
            <w:tcMar>
              <w:top w:w="28" w:type="dxa"/>
              <w:left w:w="28" w:type="dxa"/>
              <w:bottom w:w="28" w:type="dxa"/>
              <w:right w:w="28" w:type="dxa"/>
            </w:tcMar>
            <w:vAlign w:val="center"/>
          </w:tcPr>
          <w:p w14:paraId="107C41E6">
            <w:pPr>
              <w:pStyle w:val="11"/>
              <w:bidi w:val="0"/>
              <w:jc w:val="center"/>
              <w:rPr>
                <w:rFonts w:hint="eastAsia" w:eastAsia="宋体"/>
                <w:color w:val="000000"/>
                <w:lang w:eastAsia="zh-CN"/>
              </w:rPr>
            </w:pPr>
            <w:r>
              <w:rPr>
                <w:rFonts w:hint="eastAsia"/>
                <w:color w:val="000000"/>
              </w:rPr>
              <w:t>13</w:t>
            </w:r>
          </w:p>
        </w:tc>
        <w:tc>
          <w:tcPr>
            <w:tcW w:w="868" w:type="pct"/>
            <w:shd w:val="clear" w:color="auto" w:fill="FFFFFF"/>
            <w:noWrap w:val="0"/>
            <w:tcMar>
              <w:top w:w="28" w:type="dxa"/>
              <w:left w:w="28" w:type="dxa"/>
              <w:bottom w:w="28" w:type="dxa"/>
              <w:right w:w="28" w:type="dxa"/>
            </w:tcMar>
            <w:vAlign w:val="center"/>
          </w:tcPr>
          <w:p w14:paraId="4FD82A50">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707D8C93">
            <w:pPr>
              <w:pStyle w:val="11"/>
              <w:bidi w:val="0"/>
              <w:jc w:val="center"/>
              <w:rPr>
                <w:rFonts w:hint="eastAsia"/>
                <w:color w:val="000000"/>
              </w:rPr>
            </w:pPr>
            <w:r>
              <w:rPr>
                <w:rFonts w:hint="eastAsia"/>
                <w:color w:val="000000"/>
              </w:rPr>
              <w:t>2.93</w:t>
            </w:r>
          </w:p>
        </w:tc>
        <w:tc>
          <w:tcPr>
            <w:tcW w:w="867" w:type="pct"/>
            <w:shd w:val="clear" w:color="auto" w:fill="FFFFFF"/>
            <w:noWrap w:val="0"/>
            <w:tcMar>
              <w:top w:w="28" w:type="dxa"/>
              <w:left w:w="28" w:type="dxa"/>
              <w:bottom w:w="28" w:type="dxa"/>
              <w:right w:w="28" w:type="dxa"/>
            </w:tcMar>
            <w:vAlign w:val="center"/>
          </w:tcPr>
          <w:p w14:paraId="458C0A25">
            <w:pPr>
              <w:pStyle w:val="11"/>
              <w:bidi w:val="0"/>
              <w:jc w:val="center"/>
              <w:rPr>
                <w:rFonts w:hint="eastAsia"/>
                <w:color w:val="000000"/>
              </w:rPr>
            </w:pPr>
            <w:r>
              <w:rPr>
                <w:rFonts w:hint="eastAsia"/>
                <w:color w:val="000000"/>
              </w:rPr>
              <w:t>1.70</w:t>
            </w:r>
          </w:p>
        </w:tc>
        <w:tc>
          <w:tcPr>
            <w:tcW w:w="868" w:type="pct"/>
            <w:shd w:val="clear" w:color="auto" w:fill="FFFFFF"/>
            <w:noWrap w:val="0"/>
            <w:tcMar>
              <w:top w:w="28" w:type="dxa"/>
              <w:left w:w="28" w:type="dxa"/>
              <w:bottom w:w="28" w:type="dxa"/>
              <w:right w:w="28" w:type="dxa"/>
            </w:tcMar>
            <w:vAlign w:val="center"/>
          </w:tcPr>
          <w:p w14:paraId="51A8F83E">
            <w:pPr>
              <w:pStyle w:val="11"/>
              <w:bidi w:val="0"/>
              <w:jc w:val="center"/>
              <w:rPr>
                <w:rFonts w:hint="eastAsia"/>
                <w:color w:val="000000"/>
              </w:rPr>
            </w:pPr>
            <w:r>
              <w:rPr>
                <w:rFonts w:hint="eastAsia"/>
                <w:color w:val="000000"/>
              </w:rPr>
              <w:t>4886</w:t>
            </w:r>
          </w:p>
        </w:tc>
      </w:tr>
      <w:tr w14:paraId="3A5B143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4DFCE001">
            <w:pPr>
              <w:pStyle w:val="11"/>
              <w:bidi w:val="0"/>
              <w:jc w:val="center"/>
              <w:rPr>
                <w:rFonts w:hint="eastAsia" w:eastAsia="宋体"/>
                <w:color w:val="000000"/>
                <w:lang w:eastAsia="zh-CN"/>
              </w:rPr>
            </w:pPr>
            <w:r>
              <w:rPr>
                <w:rFonts w:hint="eastAsia"/>
                <w:color w:val="000000"/>
              </w:rPr>
              <w:t>百顺镇</w:t>
            </w:r>
          </w:p>
        </w:tc>
        <w:tc>
          <w:tcPr>
            <w:tcW w:w="867" w:type="pct"/>
            <w:shd w:val="clear" w:color="auto" w:fill="FFFFFF"/>
            <w:noWrap w:val="0"/>
            <w:tcMar>
              <w:top w:w="28" w:type="dxa"/>
              <w:left w:w="28" w:type="dxa"/>
              <w:bottom w:w="28" w:type="dxa"/>
              <w:right w:w="28" w:type="dxa"/>
            </w:tcMar>
            <w:vAlign w:val="center"/>
          </w:tcPr>
          <w:p w14:paraId="0D7EF9CF">
            <w:pPr>
              <w:pStyle w:val="11"/>
              <w:bidi w:val="0"/>
              <w:jc w:val="center"/>
              <w:rPr>
                <w:rFonts w:hint="eastAsia" w:eastAsia="宋体"/>
                <w:color w:val="000000"/>
                <w:lang w:eastAsia="zh-CN"/>
              </w:rPr>
            </w:pPr>
            <w:r>
              <w:rPr>
                <w:rFonts w:hint="eastAsia"/>
                <w:color w:val="000000"/>
              </w:rPr>
              <w:t>9</w:t>
            </w:r>
          </w:p>
        </w:tc>
        <w:tc>
          <w:tcPr>
            <w:tcW w:w="868" w:type="pct"/>
            <w:shd w:val="clear" w:color="auto" w:fill="FFFFFF"/>
            <w:noWrap w:val="0"/>
            <w:tcMar>
              <w:top w:w="28" w:type="dxa"/>
              <w:left w:w="28" w:type="dxa"/>
              <w:bottom w:w="28" w:type="dxa"/>
              <w:right w:w="28" w:type="dxa"/>
            </w:tcMar>
            <w:vAlign w:val="center"/>
          </w:tcPr>
          <w:p w14:paraId="2EC4F756">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20EDF42F">
            <w:pPr>
              <w:pStyle w:val="11"/>
              <w:bidi w:val="0"/>
              <w:jc w:val="center"/>
              <w:rPr>
                <w:rFonts w:hint="eastAsia"/>
                <w:color w:val="000000"/>
              </w:rPr>
            </w:pPr>
            <w:r>
              <w:rPr>
                <w:rFonts w:hint="eastAsia"/>
                <w:color w:val="000000"/>
              </w:rPr>
              <w:t>1.33</w:t>
            </w:r>
          </w:p>
        </w:tc>
        <w:tc>
          <w:tcPr>
            <w:tcW w:w="867" w:type="pct"/>
            <w:shd w:val="clear" w:color="auto" w:fill="FFFFFF"/>
            <w:noWrap w:val="0"/>
            <w:tcMar>
              <w:top w:w="28" w:type="dxa"/>
              <w:left w:w="28" w:type="dxa"/>
              <w:bottom w:w="28" w:type="dxa"/>
              <w:right w:w="28" w:type="dxa"/>
            </w:tcMar>
            <w:vAlign w:val="center"/>
          </w:tcPr>
          <w:p w14:paraId="019FA1D1">
            <w:pPr>
              <w:pStyle w:val="11"/>
              <w:bidi w:val="0"/>
              <w:jc w:val="center"/>
              <w:rPr>
                <w:rFonts w:hint="eastAsia"/>
                <w:color w:val="000000"/>
              </w:rPr>
            </w:pPr>
            <w:r>
              <w:rPr>
                <w:rFonts w:hint="eastAsia"/>
                <w:color w:val="000000"/>
              </w:rPr>
              <w:t>1.05</w:t>
            </w:r>
          </w:p>
        </w:tc>
        <w:tc>
          <w:tcPr>
            <w:tcW w:w="868" w:type="pct"/>
            <w:shd w:val="clear" w:color="auto" w:fill="FFFFFF"/>
            <w:noWrap w:val="0"/>
            <w:tcMar>
              <w:top w:w="28" w:type="dxa"/>
              <w:left w:w="28" w:type="dxa"/>
              <w:bottom w:w="28" w:type="dxa"/>
              <w:right w:w="28" w:type="dxa"/>
            </w:tcMar>
            <w:vAlign w:val="center"/>
          </w:tcPr>
          <w:p w14:paraId="78095D2C">
            <w:pPr>
              <w:pStyle w:val="11"/>
              <w:bidi w:val="0"/>
              <w:jc w:val="center"/>
              <w:rPr>
                <w:rFonts w:hint="eastAsia"/>
                <w:color w:val="000000"/>
              </w:rPr>
            </w:pPr>
            <w:r>
              <w:rPr>
                <w:rFonts w:hint="eastAsia"/>
                <w:color w:val="000000"/>
              </w:rPr>
              <w:t>2735</w:t>
            </w:r>
          </w:p>
        </w:tc>
      </w:tr>
      <w:tr w14:paraId="5FFD55B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17101EE2">
            <w:pPr>
              <w:pStyle w:val="11"/>
              <w:bidi w:val="0"/>
              <w:jc w:val="center"/>
              <w:rPr>
                <w:rFonts w:hint="eastAsia" w:eastAsia="宋体"/>
                <w:color w:val="000000"/>
                <w:lang w:eastAsia="zh-CN"/>
              </w:rPr>
            </w:pPr>
            <w:r>
              <w:rPr>
                <w:rFonts w:hint="eastAsia"/>
                <w:color w:val="000000"/>
              </w:rPr>
              <w:t>澜河镇</w:t>
            </w:r>
          </w:p>
        </w:tc>
        <w:tc>
          <w:tcPr>
            <w:tcW w:w="867" w:type="pct"/>
            <w:shd w:val="clear" w:color="auto" w:fill="FFFFFF"/>
            <w:noWrap w:val="0"/>
            <w:tcMar>
              <w:top w:w="28" w:type="dxa"/>
              <w:left w:w="28" w:type="dxa"/>
              <w:bottom w:w="28" w:type="dxa"/>
              <w:right w:w="28" w:type="dxa"/>
            </w:tcMar>
            <w:vAlign w:val="center"/>
          </w:tcPr>
          <w:p w14:paraId="2E8C8FF2">
            <w:pPr>
              <w:pStyle w:val="11"/>
              <w:bidi w:val="0"/>
              <w:jc w:val="center"/>
              <w:rPr>
                <w:rFonts w:hint="eastAsia" w:eastAsia="宋体"/>
                <w:color w:val="000000"/>
                <w:lang w:eastAsia="zh-CN"/>
              </w:rPr>
            </w:pPr>
            <w:r>
              <w:rPr>
                <w:rFonts w:hint="eastAsia"/>
                <w:color w:val="000000"/>
              </w:rPr>
              <w:t>6</w:t>
            </w:r>
          </w:p>
        </w:tc>
        <w:tc>
          <w:tcPr>
            <w:tcW w:w="868" w:type="pct"/>
            <w:shd w:val="clear" w:color="auto" w:fill="FFFFFF"/>
            <w:noWrap w:val="0"/>
            <w:tcMar>
              <w:top w:w="28" w:type="dxa"/>
              <w:left w:w="28" w:type="dxa"/>
              <w:bottom w:w="28" w:type="dxa"/>
              <w:right w:w="28" w:type="dxa"/>
            </w:tcMar>
            <w:vAlign w:val="center"/>
          </w:tcPr>
          <w:p w14:paraId="76516313">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0CBCC731">
            <w:pPr>
              <w:pStyle w:val="11"/>
              <w:bidi w:val="0"/>
              <w:jc w:val="center"/>
              <w:rPr>
                <w:rFonts w:hint="eastAsia"/>
                <w:color w:val="000000"/>
              </w:rPr>
            </w:pPr>
            <w:r>
              <w:rPr>
                <w:rFonts w:hint="eastAsia"/>
                <w:color w:val="000000"/>
              </w:rPr>
              <w:t>1.06</w:t>
            </w:r>
          </w:p>
        </w:tc>
        <w:tc>
          <w:tcPr>
            <w:tcW w:w="867" w:type="pct"/>
            <w:shd w:val="clear" w:color="auto" w:fill="FFFFFF"/>
            <w:noWrap w:val="0"/>
            <w:tcMar>
              <w:top w:w="28" w:type="dxa"/>
              <w:left w:w="28" w:type="dxa"/>
              <w:bottom w:w="28" w:type="dxa"/>
              <w:right w:w="28" w:type="dxa"/>
            </w:tcMar>
            <w:vAlign w:val="center"/>
          </w:tcPr>
          <w:p w14:paraId="64C880E6">
            <w:pPr>
              <w:pStyle w:val="11"/>
              <w:bidi w:val="0"/>
              <w:jc w:val="center"/>
              <w:rPr>
                <w:rFonts w:hint="eastAsia"/>
                <w:color w:val="000000"/>
              </w:rPr>
            </w:pPr>
            <w:r>
              <w:rPr>
                <w:rFonts w:hint="eastAsia"/>
                <w:color w:val="000000"/>
              </w:rPr>
              <w:t>0.63</w:t>
            </w:r>
          </w:p>
        </w:tc>
        <w:tc>
          <w:tcPr>
            <w:tcW w:w="868" w:type="pct"/>
            <w:shd w:val="clear" w:color="auto" w:fill="FFFFFF"/>
            <w:noWrap w:val="0"/>
            <w:tcMar>
              <w:top w:w="28" w:type="dxa"/>
              <w:left w:w="28" w:type="dxa"/>
              <w:bottom w:w="28" w:type="dxa"/>
              <w:right w:w="28" w:type="dxa"/>
            </w:tcMar>
            <w:vAlign w:val="center"/>
          </w:tcPr>
          <w:p w14:paraId="1C452A51">
            <w:pPr>
              <w:pStyle w:val="11"/>
              <w:bidi w:val="0"/>
              <w:jc w:val="center"/>
              <w:rPr>
                <w:rFonts w:hint="eastAsia"/>
                <w:color w:val="000000"/>
              </w:rPr>
            </w:pPr>
            <w:r>
              <w:rPr>
                <w:rFonts w:hint="eastAsia"/>
                <w:color w:val="000000"/>
              </w:rPr>
              <w:t>2201</w:t>
            </w:r>
          </w:p>
        </w:tc>
      </w:tr>
      <w:tr w14:paraId="37A15A8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102E641F">
            <w:pPr>
              <w:pStyle w:val="11"/>
              <w:bidi w:val="0"/>
              <w:jc w:val="center"/>
              <w:rPr>
                <w:rFonts w:hint="eastAsia" w:eastAsia="宋体"/>
                <w:color w:val="000000"/>
                <w:lang w:eastAsia="zh-CN"/>
              </w:rPr>
            </w:pPr>
            <w:r>
              <w:rPr>
                <w:rFonts w:hint="eastAsia"/>
                <w:color w:val="000000"/>
              </w:rPr>
              <w:t>帽子峰镇</w:t>
            </w:r>
          </w:p>
        </w:tc>
        <w:tc>
          <w:tcPr>
            <w:tcW w:w="867" w:type="pct"/>
            <w:shd w:val="clear" w:color="auto" w:fill="FFFFFF"/>
            <w:noWrap w:val="0"/>
            <w:tcMar>
              <w:top w:w="28" w:type="dxa"/>
              <w:left w:w="28" w:type="dxa"/>
              <w:bottom w:w="28" w:type="dxa"/>
              <w:right w:w="28" w:type="dxa"/>
            </w:tcMar>
            <w:vAlign w:val="center"/>
          </w:tcPr>
          <w:p w14:paraId="310EEFDD">
            <w:pPr>
              <w:pStyle w:val="11"/>
              <w:bidi w:val="0"/>
              <w:jc w:val="center"/>
              <w:rPr>
                <w:rFonts w:hint="eastAsia" w:eastAsia="宋体"/>
                <w:color w:val="000000"/>
                <w:lang w:eastAsia="zh-CN"/>
              </w:rPr>
            </w:pPr>
            <w:r>
              <w:rPr>
                <w:rFonts w:hint="eastAsia"/>
                <w:color w:val="000000"/>
              </w:rPr>
              <w:t>5</w:t>
            </w:r>
          </w:p>
        </w:tc>
        <w:tc>
          <w:tcPr>
            <w:tcW w:w="868" w:type="pct"/>
            <w:shd w:val="clear" w:color="auto" w:fill="FFFFFF"/>
            <w:noWrap w:val="0"/>
            <w:tcMar>
              <w:top w:w="28" w:type="dxa"/>
              <w:left w:w="28" w:type="dxa"/>
              <w:bottom w:w="28" w:type="dxa"/>
              <w:right w:w="28" w:type="dxa"/>
            </w:tcMar>
            <w:vAlign w:val="center"/>
          </w:tcPr>
          <w:p w14:paraId="545B4922">
            <w:pPr>
              <w:pStyle w:val="11"/>
              <w:bidi w:val="0"/>
              <w:jc w:val="center"/>
              <w:rPr>
                <w:rFonts w:hint="eastAsia" w:eastAsia="宋体"/>
                <w:color w:val="000000"/>
                <w:lang w:eastAsia="zh-CN"/>
              </w:rPr>
            </w:pPr>
            <w:r>
              <w:rPr>
                <w:rFonts w:hint="eastAsia"/>
                <w:color w:val="000000"/>
              </w:rPr>
              <w:t>1</w:t>
            </w:r>
          </w:p>
        </w:tc>
        <w:tc>
          <w:tcPr>
            <w:tcW w:w="868" w:type="pct"/>
            <w:shd w:val="clear" w:color="auto" w:fill="FFFFFF"/>
            <w:noWrap w:val="0"/>
            <w:tcMar>
              <w:top w:w="28" w:type="dxa"/>
              <w:left w:w="28" w:type="dxa"/>
              <w:bottom w:w="28" w:type="dxa"/>
              <w:right w:w="28" w:type="dxa"/>
            </w:tcMar>
            <w:vAlign w:val="center"/>
          </w:tcPr>
          <w:p w14:paraId="3F864A6C">
            <w:pPr>
              <w:pStyle w:val="11"/>
              <w:bidi w:val="0"/>
              <w:jc w:val="center"/>
              <w:rPr>
                <w:rFonts w:hint="eastAsia"/>
                <w:color w:val="000000"/>
              </w:rPr>
            </w:pPr>
            <w:r>
              <w:rPr>
                <w:rFonts w:hint="eastAsia"/>
                <w:color w:val="000000"/>
              </w:rPr>
              <w:t>0.97</w:t>
            </w:r>
          </w:p>
        </w:tc>
        <w:tc>
          <w:tcPr>
            <w:tcW w:w="867" w:type="pct"/>
            <w:shd w:val="clear" w:color="auto" w:fill="FFFFFF"/>
            <w:noWrap w:val="0"/>
            <w:tcMar>
              <w:top w:w="28" w:type="dxa"/>
              <w:left w:w="28" w:type="dxa"/>
              <w:bottom w:w="28" w:type="dxa"/>
              <w:right w:w="28" w:type="dxa"/>
            </w:tcMar>
            <w:vAlign w:val="center"/>
          </w:tcPr>
          <w:p w14:paraId="5DB7E40B">
            <w:pPr>
              <w:pStyle w:val="11"/>
              <w:bidi w:val="0"/>
              <w:jc w:val="center"/>
              <w:rPr>
                <w:rFonts w:hint="eastAsia"/>
                <w:color w:val="000000"/>
              </w:rPr>
            </w:pPr>
            <w:r>
              <w:rPr>
                <w:rFonts w:hint="eastAsia"/>
                <w:color w:val="000000"/>
              </w:rPr>
              <w:t>0.64</w:t>
            </w:r>
          </w:p>
        </w:tc>
        <w:tc>
          <w:tcPr>
            <w:tcW w:w="868" w:type="pct"/>
            <w:shd w:val="clear" w:color="auto" w:fill="FFFFFF"/>
            <w:noWrap w:val="0"/>
            <w:tcMar>
              <w:top w:w="28" w:type="dxa"/>
              <w:left w:w="28" w:type="dxa"/>
              <w:bottom w:w="28" w:type="dxa"/>
              <w:right w:w="28" w:type="dxa"/>
            </w:tcMar>
            <w:vAlign w:val="center"/>
          </w:tcPr>
          <w:p w14:paraId="02A37048">
            <w:pPr>
              <w:pStyle w:val="11"/>
              <w:bidi w:val="0"/>
              <w:jc w:val="center"/>
              <w:rPr>
                <w:rFonts w:hint="eastAsia"/>
                <w:color w:val="000000"/>
              </w:rPr>
            </w:pPr>
            <w:r>
              <w:rPr>
                <w:rFonts w:hint="eastAsia"/>
                <w:color w:val="000000"/>
              </w:rPr>
              <w:t>1821</w:t>
            </w:r>
          </w:p>
        </w:tc>
      </w:tr>
      <w:tr w14:paraId="1854AB1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657" w:type="pct"/>
            <w:shd w:val="clear" w:color="auto" w:fill="FFFFFF"/>
            <w:noWrap w:val="0"/>
            <w:tcMar>
              <w:top w:w="28" w:type="dxa"/>
              <w:left w:w="28" w:type="dxa"/>
              <w:bottom w:w="28" w:type="dxa"/>
              <w:right w:w="28" w:type="dxa"/>
            </w:tcMar>
            <w:vAlign w:val="center"/>
          </w:tcPr>
          <w:p w14:paraId="67B2DDAC">
            <w:pPr>
              <w:pStyle w:val="11"/>
              <w:bidi w:val="0"/>
              <w:jc w:val="center"/>
              <w:rPr>
                <w:rFonts w:hint="eastAsia" w:eastAsia="宋体"/>
                <w:color w:val="000000"/>
                <w:lang w:eastAsia="zh-CN"/>
              </w:rPr>
            </w:pPr>
            <w:r>
              <w:rPr>
                <w:rFonts w:hint="eastAsia"/>
                <w:color w:val="000000"/>
              </w:rPr>
              <w:t>雄州街道</w:t>
            </w:r>
          </w:p>
        </w:tc>
        <w:tc>
          <w:tcPr>
            <w:tcW w:w="867" w:type="pct"/>
            <w:shd w:val="clear" w:color="auto" w:fill="FFFFFF"/>
            <w:noWrap w:val="0"/>
            <w:tcMar>
              <w:top w:w="28" w:type="dxa"/>
              <w:left w:w="28" w:type="dxa"/>
              <w:bottom w:w="28" w:type="dxa"/>
              <w:right w:w="28" w:type="dxa"/>
            </w:tcMar>
            <w:vAlign w:val="center"/>
          </w:tcPr>
          <w:p w14:paraId="67985D2C">
            <w:pPr>
              <w:pStyle w:val="11"/>
              <w:bidi w:val="0"/>
              <w:jc w:val="center"/>
              <w:rPr>
                <w:rFonts w:hint="eastAsia" w:eastAsia="宋体"/>
                <w:color w:val="000000"/>
                <w:lang w:eastAsia="zh-CN"/>
              </w:rPr>
            </w:pPr>
            <w:r>
              <w:rPr>
                <w:rFonts w:hint="eastAsia"/>
                <w:color w:val="000000"/>
              </w:rPr>
              <w:t>13</w:t>
            </w:r>
          </w:p>
        </w:tc>
        <w:tc>
          <w:tcPr>
            <w:tcW w:w="868" w:type="pct"/>
            <w:shd w:val="clear" w:color="auto" w:fill="FFFFFF"/>
            <w:noWrap w:val="0"/>
            <w:tcMar>
              <w:top w:w="28" w:type="dxa"/>
              <w:left w:w="28" w:type="dxa"/>
              <w:bottom w:w="28" w:type="dxa"/>
              <w:right w:w="28" w:type="dxa"/>
            </w:tcMar>
            <w:vAlign w:val="center"/>
          </w:tcPr>
          <w:p w14:paraId="4361E38E">
            <w:pPr>
              <w:pStyle w:val="11"/>
              <w:bidi w:val="0"/>
              <w:jc w:val="center"/>
              <w:rPr>
                <w:rFonts w:hint="eastAsia" w:eastAsia="宋体"/>
                <w:color w:val="000000"/>
                <w:lang w:eastAsia="zh-CN"/>
              </w:rPr>
            </w:pPr>
            <w:r>
              <w:rPr>
                <w:rFonts w:hint="eastAsia"/>
                <w:color w:val="000000"/>
              </w:rPr>
              <w:t>7</w:t>
            </w:r>
          </w:p>
        </w:tc>
        <w:tc>
          <w:tcPr>
            <w:tcW w:w="868" w:type="pct"/>
            <w:shd w:val="clear" w:color="auto" w:fill="FFFFFF"/>
            <w:noWrap w:val="0"/>
            <w:tcMar>
              <w:top w:w="28" w:type="dxa"/>
              <w:left w:w="28" w:type="dxa"/>
              <w:bottom w:w="28" w:type="dxa"/>
              <w:right w:w="28" w:type="dxa"/>
            </w:tcMar>
            <w:vAlign w:val="center"/>
          </w:tcPr>
          <w:p w14:paraId="4519C22C">
            <w:pPr>
              <w:pStyle w:val="11"/>
              <w:bidi w:val="0"/>
              <w:jc w:val="center"/>
              <w:rPr>
                <w:rFonts w:hint="eastAsia"/>
                <w:color w:val="000000"/>
              </w:rPr>
            </w:pPr>
            <w:r>
              <w:rPr>
                <w:rFonts w:hint="eastAsia"/>
                <w:color w:val="000000"/>
              </w:rPr>
              <w:t>8.89</w:t>
            </w:r>
          </w:p>
        </w:tc>
        <w:tc>
          <w:tcPr>
            <w:tcW w:w="867" w:type="pct"/>
            <w:shd w:val="clear" w:color="auto" w:fill="FFFFFF"/>
            <w:noWrap w:val="0"/>
            <w:tcMar>
              <w:top w:w="28" w:type="dxa"/>
              <w:left w:w="28" w:type="dxa"/>
              <w:bottom w:w="28" w:type="dxa"/>
              <w:right w:w="28" w:type="dxa"/>
            </w:tcMar>
            <w:vAlign w:val="center"/>
          </w:tcPr>
          <w:p w14:paraId="00CCA745">
            <w:pPr>
              <w:pStyle w:val="11"/>
              <w:bidi w:val="0"/>
              <w:jc w:val="center"/>
              <w:rPr>
                <w:rFonts w:hint="eastAsia"/>
                <w:color w:val="000000"/>
              </w:rPr>
            </w:pPr>
            <w:r>
              <w:rPr>
                <w:rFonts w:hint="eastAsia"/>
                <w:color w:val="000000"/>
              </w:rPr>
              <w:t>10.45</w:t>
            </w:r>
          </w:p>
        </w:tc>
        <w:tc>
          <w:tcPr>
            <w:tcW w:w="868" w:type="pct"/>
            <w:shd w:val="clear" w:color="auto" w:fill="FFFFFF"/>
            <w:noWrap w:val="0"/>
            <w:tcMar>
              <w:top w:w="28" w:type="dxa"/>
              <w:left w:w="28" w:type="dxa"/>
              <w:bottom w:w="28" w:type="dxa"/>
              <w:right w:w="28" w:type="dxa"/>
            </w:tcMar>
            <w:vAlign w:val="center"/>
          </w:tcPr>
          <w:p w14:paraId="563D4B27">
            <w:pPr>
              <w:pStyle w:val="11"/>
              <w:bidi w:val="0"/>
              <w:jc w:val="center"/>
              <w:rPr>
                <w:rFonts w:hint="eastAsia"/>
                <w:color w:val="000000"/>
              </w:rPr>
            </w:pPr>
            <w:r>
              <w:rPr>
                <w:rFonts w:hint="eastAsia"/>
                <w:color w:val="000000"/>
              </w:rPr>
              <w:t>28327</w:t>
            </w:r>
          </w:p>
        </w:tc>
      </w:tr>
    </w:tbl>
    <w:p w14:paraId="37E64667">
      <w:pPr>
        <w:pStyle w:val="4"/>
        <w:bidi w:val="0"/>
        <w:rPr>
          <w:rFonts w:hint="eastAsia"/>
        </w:rPr>
      </w:pPr>
      <w:r>
        <w:rPr>
          <w:rFonts w:hint="eastAsia"/>
        </w:rPr>
        <w:t>表34</w:t>
      </w:r>
      <w:r>
        <w:rPr>
          <w:rFonts w:hint="eastAsia"/>
          <w:lang w:val="en-US" w:eastAsia="zh-CN"/>
        </w:rPr>
        <w:t xml:space="preserve">  </w:t>
      </w:r>
      <w:r>
        <w:rPr>
          <w:rFonts w:hint="eastAsia"/>
        </w:rPr>
        <w:t>全市分镇（街道）人口计划生育主要指标</w:t>
      </w:r>
    </w:p>
    <w:tbl>
      <w:tblPr>
        <w:tblStyle w:val="7"/>
        <w:tblW w:w="4995"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86"/>
        <w:gridCol w:w="1049"/>
        <w:gridCol w:w="1047"/>
        <w:gridCol w:w="1119"/>
        <w:gridCol w:w="1119"/>
        <w:gridCol w:w="1119"/>
        <w:gridCol w:w="1117"/>
        <w:gridCol w:w="1119"/>
        <w:gridCol w:w="1117"/>
      </w:tblGrid>
      <w:tr w14:paraId="33384C3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22" w:hRule="atLeast"/>
        </w:trPr>
        <w:tc>
          <w:tcPr>
            <w:tcW w:w="503" w:type="pct"/>
            <w:vMerge w:val="restart"/>
            <w:shd w:val="clear" w:color="auto" w:fill="FFFFFF"/>
            <w:noWrap w:val="0"/>
            <w:tcMar>
              <w:top w:w="28" w:type="dxa"/>
              <w:left w:w="28" w:type="dxa"/>
              <w:bottom w:w="28" w:type="dxa"/>
              <w:right w:w="28" w:type="dxa"/>
            </w:tcMar>
            <w:vAlign w:val="center"/>
          </w:tcPr>
          <w:p w14:paraId="3A7A64C3">
            <w:pPr>
              <w:pStyle w:val="11"/>
              <w:bidi w:val="0"/>
              <w:ind w:firstLine="0" w:firstLineChars="0"/>
              <w:jc w:val="center"/>
              <w:rPr>
                <w:rFonts w:hint="eastAsia"/>
                <w:b/>
                <w:bCs/>
                <w:color w:val="000000"/>
              </w:rPr>
            </w:pPr>
          </w:p>
        </w:tc>
        <w:tc>
          <w:tcPr>
            <w:tcW w:w="535" w:type="pct"/>
            <w:vMerge w:val="restart"/>
            <w:shd w:val="clear" w:color="auto" w:fill="FFFFFF"/>
            <w:noWrap w:val="0"/>
            <w:tcMar>
              <w:top w:w="28" w:type="dxa"/>
              <w:left w:w="28" w:type="dxa"/>
              <w:bottom w:w="28" w:type="dxa"/>
              <w:right w:w="28" w:type="dxa"/>
            </w:tcMar>
            <w:vAlign w:val="center"/>
          </w:tcPr>
          <w:p w14:paraId="694AF3BD">
            <w:pPr>
              <w:pStyle w:val="11"/>
              <w:bidi w:val="0"/>
              <w:jc w:val="center"/>
              <w:rPr>
                <w:rFonts w:hint="eastAsia" w:eastAsia="宋体"/>
                <w:b/>
                <w:bCs/>
                <w:color w:val="000000"/>
                <w:lang w:eastAsia="zh-CN"/>
              </w:rPr>
            </w:pPr>
            <w:r>
              <w:rPr>
                <w:rFonts w:hint="eastAsia"/>
                <w:b/>
                <w:bCs/>
                <w:color w:val="000000"/>
              </w:rPr>
              <w:t>总人口数（人）</w:t>
            </w:r>
          </w:p>
        </w:tc>
        <w:tc>
          <w:tcPr>
            <w:tcW w:w="534" w:type="pct"/>
            <w:vMerge w:val="restart"/>
            <w:tcBorders>
              <w:right w:val="nil"/>
            </w:tcBorders>
            <w:shd w:val="clear" w:color="auto" w:fill="FFFFFF"/>
            <w:noWrap w:val="0"/>
            <w:tcMar>
              <w:top w:w="28" w:type="dxa"/>
              <w:left w:w="28" w:type="dxa"/>
              <w:bottom w:w="28" w:type="dxa"/>
              <w:right w:w="28" w:type="dxa"/>
            </w:tcMar>
            <w:vAlign w:val="center"/>
          </w:tcPr>
          <w:p w14:paraId="4041036D">
            <w:pPr>
              <w:pStyle w:val="11"/>
              <w:bidi w:val="0"/>
              <w:jc w:val="center"/>
              <w:rPr>
                <w:rFonts w:hint="eastAsia" w:eastAsia="宋体"/>
                <w:b/>
                <w:bCs/>
                <w:color w:val="000000"/>
                <w:lang w:eastAsia="zh-CN"/>
              </w:rPr>
            </w:pPr>
            <w:r>
              <w:rPr>
                <w:rFonts w:hint="eastAsia"/>
                <w:b/>
                <w:bCs/>
                <w:color w:val="000000"/>
              </w:rPr>
              <w:t>出生人数（人）</w:t>
            </w:r>
          </w:p>
        </w:tc>
        <w:tc>
          <w:tcPr>
            <w:tcW w:w="571" w:type="pct"/>
            <w:tcBorders>
              <w:left w:val="nil"/>
              <w:right w:val="nil"/>
            </w:tcBorders>
            <w:shd w:val="clear" w:color="auto" w:fill="FFFFFF"/>
            <w:noWrap w:val="0"/>
            <w:tcMar>
              <w:top w:w="28" w:type="dxa"/>
              <w:left w:w="28" w:type="dxa"/>
              <w:bottom w:w="28" w:type="dxa"/>
              <w:right w:w="28" w:type="dxa"/>
            </w:tcMar>
            <w:vAlign w:val="center"/>
          </w:tcPr>
          <w:p w14:paraId="5F7838DB">
            <w:pPr>
              <w:pStyle w:val="11"/>
              <w:bidi w:val="0"/>
              <w:ind w:firstLine="0" w:firstLineChars="0"/>
              <w:jc w:val="center"/>
              <w:rPr>
                <w:rFonts w:hint="eastAsia"/>
                <w:b/>
                <w:bCs/>
                <w:color w:val="000000"/>
              </w:rPr>
            </w:pPr>
          </w:p>
        </w:tc>
        <w:tc>
          <w:tcPr>
            <w:tcW w:w="571" w:type="pct"/>
            <w:tcBorders>
              <w:left w:val="nil"/>
            </w:tcBorders>
            <w:shd w:val="clear" w:color="auto" w:fill="FFFFFF"/>
            <w:noWrap w:val="0"/>
            <w:tcMar>
              <w:top w:w="28" w:type="dxa"/>
              <w:left w:w="28" w:type="dxa"/>
              <w:bottom w:w="28" w:type="dxa"/>
              <w:right w:w="28" w:type="dxa"/>
            </w:tcMar>
            <w:vAlign w:val="center"/>
          </w:tcPr>
          <w:p w14:paraId="0BD6C27D">
            <w:pPr>
              <w:pStyle w:val="11"/>
              <w:bidi w:val="0"/>
              <w:ind w:firstLine="0" w:firstLineChars="0"/>
              <w:jc w:val="center"/>
              <w:rPr>
                <w:rFonts w:hint="eastAsia"/>
                <w:b/>
                <w:bCs/>
                <w:color w:val="000000"/>
              </w:rPr>
            </w:pPr>
          </w:p>
        </w:tc>
        <w:tc>
          <w:tcPr>
            <w:tcW w:w="571" w:type="pct"/>
            <w:vMerge w:val="restart"/>
            <w:shd w:val="clear" w:color="auto" w:fill="FFFFFF"/>
            <w:noWrap w:val="0"/>
            <w:tcMar>
              <w:top w:w="28" w:type="dxa"/>
              <w:left w:w="28" w:type="dxa"/>
              <w:bottom w:w="28" w:type="dxa"/>
              <w:right w:w="28" w:type="dxa"/>
            </w:tcMar>
            <w:vAlign w:val="center"/>
          </w:tcPr>
          <w:p w14:paraId="311348C9">
            <w:pPr>
              <w:pStyle w:val="11"/>
              <w:bidi w:val="0"/>
              <w:jc w:val="center"/>
              <w:rPr>
                <w:rFonts w:hint="eastAsia" w:eastAsia="宋体"/>
                <w:b/>
                <w:bCs/>
                <w:color w:val="000000"/>
                <w:lang w:eastAsia="zh-CN"/>
              </w:rPr>
            </w:pPr>
            <w:r>
              <w:rPr>
                <w:rFonts w:hint="eastAsia"/>
                <w:b/>
                <w:bCs/>
                <w:color w:val="000000"/>
              </w:rPr>
              <w:t>出生率（‰）</w:t>
            </w:r>
          </w:p>
        </w:tc>
        <w:tc>
          <w:tcPr>
            <w:tcW w:w="570" w:type="pct"/>
            <w:vMerge w:val="restart"/>
            <w:shd w:val="clear" w:color="auto" w:fill="FFFFFF"/>
            <w:noWrap w:val="0"/>
            <w:tcMar>
              <w:top w:w="28" w:type="dxa"/>
              <w:left w:w="28" w:type="dxa"/>
              <w:bottom w:w="28" w:type="dxa"/>
              <w:right w:w="28" w:type="dxa"/>
            </w:tcMar>
            <w:vAlign w:val="center"/>
          </w:tcPr>
          <w:p w14:paraId="6B1C1EF4">
            <w:pPr>
              <w:pStyle w:val="11"/>
              <w:bidi w:val="0"/>
              <w:jc w:val="center"/>
              <w:rPr>
                <w:rFonts w:hint="eastAsia" w:eastAsia="宋体"/>
                <w:b/>
                <w:bCs/>
                <w:color w:val="000000"/>
                <w:lang w:eastAsia="zh-CN"/>
              </w:rPr>
            </w:pPr>
            <w:r>
              <w:rPr>
                <w:rFonts w:hint="eastAsia"/>
                <w:b/>
                <w:bCs/>
                <w:color w:val="000000"/>
              </w:rPr>
              <w:t>死亡人数（人）</w:t>
            </w:r>
          </w:p>
        </w:tc>
        <w:tc>
          <w:tcPr>
            <w:tcW w:w="571" w:type="pct"/>
            <w:vMerge w:val="restart"/>
            <w:shd w:val="clear" w:color="auto" w:fill="FFFFFF"/>
            <w:noWrap w:val="0"/>
            <w:tcMar>
              <w:top w:w="28" w:type="dxa"/>
              <w:left w:w="28" w:type="dxa"/>
              <w:bottom w:w="28" w:type="dxa"/>
              <w:right w:w="28" w:type="dxa"/>
            </w:tcMar>
            <w:vAlign w:val="center"/>
          </w:tcPr>
          <w:p w14:paraId="25B3AEC3">
            <w:pPr>
              <w:pStyle w:val="11"/>
              <w:bidi w:val="0"/>
              <w:jc w:val="center"/>
              <w:rPr>
                <w:rFonts w:hint="eastAsia" w:eastAsia="宋体"/>
                <w:b/>
                <w:bCs/>
                <w:color w:val="000000"/>
                <w:lang w:eastAsia="zh-CN"/>
              </w:rPr>
            </w:pPr>
            <w:r>
              <w:rPr>
                <w:rFonts w:hint="eastAsia"/>
                <w:b/>
                <w:bCs/>
                <w:color w:val="000000"/>
              </w:rPr>
              <w:t>死亡率（‰）</w:t>
            </w:r>
          </w:p>
        </w:tc>
        <w:tc>
          <w:tcPr>
            <w:tcW w:w="570" w:type="pct"/>
            <w:vMerge w:val="restart"/>
            <w:shd w:val="clear" w:color="auto" w:fill="FFFFFF"/>
            <w:noWrap w:val="0"/>
            <w:tcMar>
              <w:top w:w="28" w:type="dxa"/>
              <w:left w:w="28" w:type="dxa"/>
              <w:bottom w:w="28" w:type="dxa"/>
              <w:right w:w="28" w:type="dxa"/>
            </w:tcMar>
            <w:vAlign w:val="center"/>
          </w:tcPr>
          <w:p w14:paraId="3961D44C">
            <w:pPr>
              <w:pStyle w:val="11"/>
              <w:bidi w:val="0"/>
              <w:jc w:val="center"/>
              <w:rPr>
                <w:rFonts w:hint="eastAsia" w:eastAsia="宋体"/>
                <w:b/>
                <w:bCs/>
                <w:color w:val="000000"/>
                <w:lang w:eastAsia="zh-CN"/>
              </w:rPr>
            </w:pPr>
            <w:r>
              <w:rPr>
                <w:rFonts w:hint="eastAsia"/>
                <w:b/>
                <w:bCs/>
                <w:color w:val="000000"/>
              </w:rPr>
              <w:t>自然增长率（‰）</w:t>
            </w:r>
          </w:p>
        </w:tc>
      </w:tr>
      <w:tr w14:paraId="50A6613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22" w:hRule="atLeast"/>
        </w:trPr>
        <w:tc>
          <w:tcPr>
            <w:tcW w:w="503" w:type="pct"/>
            <w:vMerge w:val="continue"/>
            <w:shd w:val="clear" w:color="auto" w:fill="FFFFFF"/>
            <w:noWrap w:val="0"/>
            <w:tcMar>
              <w:top w:w="28" w:type="dxa"/>
              <w:left w:w="28" w:type="dxa"/>
              <w:bottom w:w="28" w:type="dxa"/>
              <w:right w:w="28" w:type="dxa"/>
            </w:tcMar>
            <w:vAlign w:val="center"/>
          </w:tcPr>
          <w:p w14:paraId="497BBE1D">
            <w:pPr>
              <w:pStyle w:val="11"/>
              <w:bidi w:val="0"/>
              <w:ind w:firstLine="0" w:firstLineChars="0"/>
              <w:jc w:val="center"/>
              <w:rPr>
                <w:color w:val="000000"/>
              </w:rPr>
            </w:pPr>
          </w:p>
        </w:tc>
        <w:tc>
          <w:tcPr>
            <w:tcW w:w="535" w:type="pct"/>
            <w:vMerge w:val="continue"/>
            <w:shd w:val="clear" w:color="auto" w:fill="FFFFFF"/>
            <w:noWrap w:val="0"/>
            <w:tcMar>
              <w:top w:w="28" w:type="dxa"/>
              <w:left w:w="28" w:type="dxa"/>
              <w:bottom w:w="28" w:type="dxa"/>
              <w:right w:w="28" w:type="dxa"/>
            </w:tcMar>
            <w:vAlign w:val="center"/>
          </w:tcPr>
          <w:p w14:paraId="68AFD8C2">
            <w:pPr>
              <w:pStyle w:val="11"/>
              <w:bidi w:val="0"/>
              <w:ind w:firstLine="0" w:firstLineChars="0"/>
              <w:jc w:val="center"/>
              <w:rPr>
                <w:color w:val="000000"/>
              </w:rPr>
            </w:pPr>
          </w:p>
        </w:tc>
        <w:tc>
          <w:tcPr>
            <w:tcW w:w="534" w:type="pct"/>
            <w:vMerge w:val="continue"/>
            <w:shd w:val="clear" w:color="auto" w:fill="FFFFFF"/>
            <w:noWrap w:val="0"/>
            <w:tcMar>
              <w:top w:w="28" w:type="dxa"/>
              <w:left w:w="28" w:type="dxa"/>
              <w:bottom w:w="28" w:type="dxa"/>
              <w:right w:w="28" w:type="dxa"/>
            </w:tcMar>
            <w:vAlign w:val="center"/>
          </w:tcPr>
          <w:p w14:paraId="432BD39A">
            <w:pPr>
              <w:pStyle w:val="11"/>
              <w:bidi w:val="0"/>
              <w:ind w:firstLine="0" w:firstLineChars="0"/>
              <w:jc w:val="center"/>
              <w:rPr>
                <w:color w:val="000000"/>
              </w:rPr>
            </w:pPr>
          </w:p>
        </w:tc>
        <w:tc>
          <w:tcPr>
            <w:tcW w:w="571" w:type="pct"/>
            <w:shd w:val="clear" w:color="auto" w:fill="FFFFFF"/>
            <w:noWrap w:val="0"/>
            <w:tcMar>
              <w:top w:w="28" w:type="dxa"/>
              <w:left w:w="28" w:type="dxa"/>
              <w:bottom w:w="28" w:type="dxa"/>
              <w:right w:w="28" w:type="dxa"/>
            </w:tcMar>
            <w:vAlign w:val="center"/>
          </w:tcPr>
          <w:p w14:paraId="19D506D4">
            <w:pPr>
              <w:pStyle w:val="11"/>
              <w:bidi w:val="0"/>
              <w:ind w:firstLine="0" w:firstLineChars="0"/>
              <w:jc w:val="center"/>
              <w:rPr>
                <w:rFonts w:hint="eastAsia" w:eastAsia="宋体"/>
                <w:b/>
                <w:bCs/>
                <w:color w:val="000000"/>
                <w:lang w:val="en-US" w:eastAsia="zh-CN"/>
              </w:rPr>
            </w:pPr>
            <w:r>
              <w:rPr>
                <w:rFonts w:hint="eastAsia"/>
                <w:b/>
                <w:bCs/>
                <w:color w:val="000000"/>
                <w:lang w:val="en-US" w:eastAsia="zh-CN"/>
              </w:rPr>
              <w:t>男</w:t>
            </w:r>
          </w:p>
        </w:tc>
        <w:tc>
          <w:tcPr>
            <w:tcW w:w="571" w:type="pct"/>
            <w:shd w:val="clear" w:color="auto" w:fill="FFFFFF"/>
            <w:noWrap w:val="0"/>
            <w:tcMar>
              <w:top w:w="28" w:type="dxa"/>
              <w:left w:w="28" w:type="dxa"/>
              <w:bottom w:w="28" w:type="dxa"/>
              <w:right w:w="28" w:type="dxa"/>
            </w:tcMar>
            <w:vAlign w:val="center"/>
          </w:tcPr>
          <w:p w14:paraId="11D4307A">
            <w:pPr>
              <w:pStyle w:val="11"/>
              <w:bidi w:val="0"/>
              <w:ind w:firstLine="0" w:firstLineChars="0"/>
              <w:jc w:val="center"/>
              <w:rPr>
                <w:rFonts w:hint="eastAsia" w:eastAsia="宋体"/>
                <w:b/>
                <w:bCs/>
                <w:color w:val="000000"/>
                <w:lang w:val="en-US" w:eastAsia="zh-CN"/>
              </w:rPr>
            </w:pPr>
            <w:r>
              <w:rPr>
                <w:rFonts w:hint="eastAsia"/>
                <w:b/>
                <w:bCs/>
                <w:color w:val="000000"/>
                <w:lang w:val="en-US" w:eastAsia="zh-CN"/>
              </w:rPr>
              <w:t>女</w:t>
            </w:r>
          </w:p>
        </w:tc>
        <w:tc>
          <w:tcPr>
            <w:tcW w:w="571" w:type="pct"/>
            <w:vMerge w:val="continue"/>
            <w:shd w:val="clear" w:color="auto" w:fill="FFFFFF"/>
            <w:noWrap w:val="0"/>
            <w:tcMar>
              <w:top w:w="28" w:type="dxa"/>
              <w:left w:w="28" w:type="dxa"/>
              <w:bottom w:w="28" w:type="dxa"/>
              <w:right w:w="28" w:type="dxa"/>
            </w:tcMar>
            <w:vAlign w:val="center"/>
          </w:tcPr>
          <w:p w14:paraId="3402F15C">
            <w:pPr>
              <w:pStyle w:val="11"/>
              <w:bidi w:val="0"/>
              <w:ind w:firstLine="0" w:firstLineChars="0"/>
              <w:jc w:val="center"/>
              <w:rPr>
                <w:color w:val="000000"/>
              </w:rPr>
            </w:pPr>
          </w:p>
        </w:tc>
        <w:tc>
          <w:tcPr>
            <w:tcW w:w="570" w:type="pct"/>
            <w:vMerge w:val="continue"/>
            <w:shd w:val="clear" w:color="auto" w:fill="FFFFFF"/>
            <w:noWrap w:val="0"/>
            <w:tcMar>
              <w:top w:w="28" w:type="dxa"/>
              <w:left w:w="28" w:type="dxa"/>
              <w:bottom w:w="28" w:type="dxa"/>
              <w:right w:w="28" w:type="dxa"/>
            </w:tcMar>
            <w:vAlign w:val="center"/>
          </w:tcPr>
          <w:p w14:paraId="1E3A9DF7">
            <w:pPr>
              <w:pStyle w:val="11"/>
              <w:bidi w:val="0"/>
              <w:ind w:firstLine="0" w:firstLineChars="0"/>
              <w:jc w:val="center"/>
              <w:rPr>
                <w:color w:val="000000"/>
              </w:rPr>
            </w:pPr>
          </w:p>
        </w:tc>
        <w:tc>
          <w:tcPr>
            <w:tcW w:w="571" w:type="pct"/>
            <w:vMerge w:val="continue"/>
            <w:shd w:val="clear" w:color="auto" w:fill="FFFFFF"/>
            <w:noWrap w:val="0"/>
            <w:tcMar>
              <w:top w:w="28" w:type="dxa"/>
              <w:left w:w="28" w:type="dxa"/>
              <w:bottom w:w="28" w:type="dxa"/>
              <w:right w:w="28" w:type="dxa"/>
            </w:tcMar>
            <w:vAlign w:val="center"/>
          </w:tcPr>
          <w:p w14:paraId="380FFE61">
            <w:pPr>
              <w:pStyle w:val="11"/>
              <w:bidi w:val="0"/>
              <w:ind w:firstLine="0" w:firstLineChars="0"/>
              <w:jc w:val="center"/>
              <w:rPr>
                <w:color w:val="000000"/>
              </w:rPr>
            </w:pPr>
          </w:p>
        </w:tc>
        <w:tc>
          <w:tcPr>
            <w:tcW w:w="570" w:type="pct"/>
            <w:vMerge w:val="continue"/>
            <w:shd w:val="clear" w:color="auto" w:fill="FFFFFF"/>
            <w:noWrap w:val="0"/>
            <w:tcMar>
              <w:top w:w="28" w:type="dxa"/>
              <w:left w:w="28" w:type="dxa"/>
              <w:bottom w:w="28" w:type="dxa"/>
              <w:right w:w="28" w:type="dxa"/>
            </w:tcMar>
            <w:vAlign w:val="center"/>
          </w:tcPr>
          <w:p w14:paraId="53B2FD65">
            <w:pPr>
              <w:pStyle w:val="11"/>
              <w:bidi w:val="0"/>
              <w:ind w:firstLine="0" w:firstLineChars="0"/>
              <w:jc w:val="center"/>
              <w:rPr>
                <w:color w:val="000000"/>
              </w:rPr>
            </w:pPr>
          </w:p>
        </w:tc>
      </w:tr>
      <w:tr w14:paraId="00556D6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113DB7AF">
            <w:pPr>
              <w:pStyle w:val="11"/>
              <w:bidi w:val="0"/>
              <w:jc w:val="center"/>
              <w:rPr>
                <w:rFonts w:hint="eastAsia" w:eastAsia="宋体"/>
                <w:color w:val="000000"/>
                <w:lang w:eastAsia="zh-CN"/>
              </w:rPr>
            </w:pPr>
            <w:r>
              <w:rPr>
                <w:rFonts w:hint="eastAsia"/>
                <w:color w:val="000000"/>
              </w:rPr>
              <w:t>全市</w:t>
            </w:r>
          </w:p>
        </w:tc>
        <w:tc>
          <w:tcPr>
            <w:tcW w:w="535" w:type="pct"/>
            <w:shd w:val="clear" w:color="auto" w:fill="FFFFFF"/>
            <w:noWrap w:val="0"/>
            <w:tcMar>
              <w:top w:w="28" w:type="dxa"/>
              <w:left w:w="28" w:type="dxa"/>
              <w:bottom w:w="28" w:type="dxa"/>
              <w:right w:w="28" w:type="dxa"/>
            </w:tcMar>
            <w:vAlign w:val="center"/>
          </w:tcPr>
          <w:p w14:paraId="7F7BE70C">
            <w:pPr>
              <w:pStyle w:val="11"/>
              <w:bidi w:val="0"/>
              <w:jc w:val="center"/>
              <w:rPr>
                <w:rFonts w:hint="eastAsia"/>
                <w:color w:val="000000"/>
              </w:rPr>
            </w:pPr>
            <w:r>
              <w:rPr>
                <w:rFonts w:hint="eastAsia"/>
                <w:color w:val="000000"/>
              </w:rPr>
              <w:t>507074</w:t>
            </w:r>
          </w:p>
        </w:tc>
        <w:tc>
          <w:tcPr>
            <w:tcW w:w="534" w:type="pct"/>
            <w:shd w:val="clear" w:color="auto" w:fill="FFFFFF"/>
            <w:noWrap w:val="0"/>
            <w:tcMar>
              <w:top w:w="28" w:type="dxa"/>
              <w:left w:w="28" w:type="dxa"/>
              <w:bottom w:w="28" w:type="dxa"/>
              <w:right w:w="28" w:type="dxa"/>
            </w:tcMar>
            <w:vAlign w:val="center"/>
          </w:tcPr>
          <w:p w14:paraId="533C97D6">
            <w:pPr>
              <w:pStyle w:val="11"/>
              <w:bidi w:val="0"/>
              <w:jc w:val="center"/>
              <w:rPr>
                <w:rFonts w:hint="eastAsia"/>
                <w:color w:val="000000"/>
              </w:rPr>
            </w:pPr>
            <w:r>
              <w:rPr>
                <w:rFonts w:hint="eastAsia"/>
                <w:color w:val="000000"/>
              </w:rPr>
              <w:t>6736</w:t>
            </w:r>
          </w:p>
        </w:tc>
        <w:tc>
          <w:tcPr>
            <w:tcW w:w="571" w:type="pct"/>
            <w:shd w:val="clear" w:color="auto" w:fill="FFFFFF"/>
            <w:noWrap w:val="0"/>
            <w:tcMar>
              <w:top w:w="28" w:type="dxa"/>
              <w:left w:w="28" w:type="dxa"/>
              <w:bottom w:w="28" w:type="dxa"/>
              <w:right w:w="28" w:type="dxa"/>
            </w:tcMar>
            <w:vAlign w:val="center"/>
          </w:tcPr>
          <w:p w14:paraId="1B2D6E38">
            <w:pPr>
              <w:pStyle w:val="11"/>
              <w:bidi w:val="0"/>
              <w:jc w:val="center"/>
              <w:rPr>
                <w:rFonts w:hint="eastAsia"/>
                <w:color w:val="000000"/>
              </w:rPr>
            </w:pPr>
            <w:r>
              <w:rPr>
                <w:rFonts w:hint="eastAsia"/>
                <w:color w:val="000000"/>
              </w:rPr>
              <w:t>3633</w:t>
            </w:r>
          </w:p>
        </w:tc>
        <w:tc>
          <w:tcPr>
            <w:tcW w:w="571" w:type="pct"/>
            <w:shd w:val="clear" w:color="auto" w:fill="FFFFFF"/>
            <w:noWrap w:val="0"/>
            <w:tcMar>
              <w:top w:w="28" w:type="dxa"/>
              <w:left w:w="28" w:type="dxa"/>
              <w:bottom w:w="28" w:type="dxa"/>
              <w:right w:w="28" w:type="dxa"/>
            </w:tcMar>
            <w:vAlign w:val="center"/>
          </w:tcPr>
          <w:p w14:paraId="370B85D2">
            <w:pPr>
              <w:pStyle w:val="11"/>
              <w:bidi w:val="0"/>
              <w:jc w:val="center"/>
              <w:rPr>
                <w:rFonts w:hint="eastAsia"/>
                <w:color w:val="000000"/>
              </w:rPr>
            </w:pPr>
            <w:r>
              <w:rPr>
                <w:rFonts w:hint="eastAsia"/>
                <w:color w:val="000000"/>
              </w:rPr>
              <w:t>3103</w:t>
            </w:r>
          </w:p>
        </w:tc>
        <w:tc>
          <w:tcPr>
            <w:tcW w:w="571" w:type="pct"/>
            <w:shd w:val="clear" w:color="auto" w:fill="FFFFFF"/>
            <w:noWrap w:val="0"/>
            <w:tcMar>
              <w:top w:w="28" w:type="dxa"/>
              <w:left w:w="28" w:type="dxa"/>
              <w:bottom w:w="28" w:type="dxa"/>
              <w:right w:w="28" w:type="dxa"/>
            </w:tcMar>
            <w:vAlign w:val="center"/>
          </w:tcPr>
          <w:p w14:paraId="4A2CB698">
            <w:pPr>
              <w:pStyle w:val="11"/>
              <w:bidi w:val="0"/>
              <w:jc w:val="center"/>
              <w:rPr>
                <w:rFonts w:hint="eastAsia"/>
                <w:color w:val="000000"/>
              </w:rPr>
            </w:pPr>
            <w:r>
              <w:rPr>
                <w:rFonts w:hint="eastAsia"/>
                <w:color w:val="000000"/>
              </w:rPr>
              <w:t>13.29</w:t>
            </w:r>
          </w:p>
        </w:tc>
        <w:tc>
          <w:tcPr>
            <w:tcW w:w="570" w:type="pct"/>
            <w:shd w:val="clear" w:color="auto" w:fill="FFFFFF"/>
            <w:noWrap w:val="0"/>
            <w:tcMar>
              <w:top w:w="28" w:type="dxa"/>
              <w:left w:w="28" w:type="dxa"/>
              <w:bottom w:w="28" w:type="dxa"/>
              <w:right w:w="28" w:type="dxa"/>
            </w:tcMar>
            <w:vAlign w:val="center"/>
          </w:tcPr>
          <w:p w14:paraId="251EB895">
            <w:pPr>
              <w:pStyle w:val="11"/>
              <w:bidi w:val="0"/>
              <w:jc w:val="center"/>
              <w:rPr>
                <w:rFonts w:hint="eastAsia"/>
                <w:color w:val="000000"/>
              </w:rPr>
            </w:pPr>
            <w:r>
              <w:rPr>
                <w:rFonts w:hint="eastAsia"/>
                <w:color w:val="000000"/>
              </w:rPr>
              <w:t>3004</w:t>
            </w:r>
          </w:p>
        </w:tc>
        <w:tc>
          <w:tcPr>
            <w:tcW w:w="571" w:type="pct"/>
            <w:shd w:val="clear" w:color="auto" w:fill="FFFFFF"/>
            <w:noWrap w:val="0"/>
            <w:tcMar>
              <w:top w:w="28" w:type="dxa"/>
              <w:left w:w="28" w:type="dxa"/>
              <w:bottom w:w="28" w:type="dxa"/>
              <w:right w:w="28" w:type="dxa"/>
            </w:tcMar>
            <w:vAlign w:val="center"/>
          </w:tcPr>
          <w:p w14:paraId="61C50572">
            <w:pPr>
              <w:pStyle w:val="11"/>
              <w:bidi w:val="0"/>
              <w:jc w:val="center"/>
              <w:rPr>
                <w:rFonts w:hint="eastAsia"/>
                <w:color w:val="000000"/>
              </w:rPr>
            </w:pPr>
            <w:r>
              <w:rPr>
                <w:rFonts w:hint="eastAsia"/>
                <w:color w:val="000000"/>
              </w:rPr>
              <w:t>5.93</w:t>
            </w:r>
          </w:p>
        </w:tc>
        <w:tc>
          <w:tcPr>
            <w:tcW w:w="570" w:type="pct"/>
            <w:shd w:val="clear" w:color="auto" w:fill="FFFFFF"/>
            <w:noWrap w:val="0"/>
            <w:tcMar>
              <w:top w:w="28" w:type="dxa"/>
              <w:left w:w="28" w:type="dxa"/>
              <w:bottom w:w="28" w:type="dxa"/>
              <w:right w:w="28" w:type="dxa"/>
            </w:tcMar>
            <w:vAlign w:val="center"/>
          </w:tcPr>
          <w:p w14:paraId="264095E1">
            <w:pPr>
              <w:pStyle w:val="11"/>
              <w:bidi w:val="0"/>
              <w:jc w:val="center"/>
              <w:rPr>
                <w:rFonts w:hint="eastAsia"/>
                <w:color w:val="000000"/>
              </w:rPr>
            </w:pPr>
            <w:r>
              <w:rPr>
                <w:rFonts w:hint="eastAsia"/>
                <w:color w:val="000000"/>
              </w:rPr>
              <w:t>7.37</w:t>
            </w:r>
          </w:p>
        </w:tc>
      </w:tr>
      <w:tr w14:paraId="54F7015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4A40CE36">
            <w:pPr>
              <w:pStyle w:val="11"/>
              <w:bidi w:val="0"/>
              <w:jc w:val="center"/>
              <w:rPr>
                <w:rFonts w:hint="eastAsia" w:eastAsia="宋体"/>
                <w:color w:val="000000"/>
                <w:lang w:eastAsia="zh-CN"/>
              </w:rPr>
            </w:pPr>
            <w:r>
              <w:rPr>
                <w:rFonts w:hint="eastAsia"/>
                <w:color w:val="000000"/>
              </w:rPr>
              <w:t>乌迳镇</w:t>
            </w:r>
          </w:p>
        </w:tc>
        <w:tc>
          <w:tcPr>
            <w:tcW w:w="535" w:type="pct"/>
            <w:shd w:val="clear" w:color="auto" w:fill="FFFFFF"/>
            <w:noWrap w:val="0"/>
            <w:tcMar>
              <w:top w:w="28" w:type="dxa"/>
              <w:left w:w="28" w:type="dxa"/>
              <w:bottom w:w="28" w:type="dxa"/>
              <w:right w:w="28" w:type="dxa"/>
            </w:tcMar>
            <w:vAlign w:val="center"/>
          </w:tcPr>
          <w:p w14:paraId="02C50299">
            <w:pPr>
              <w:pStyle w:val="11"/>
              <w:bidi w:val="0"/>
              <w:jc w:val="center"/>
              <w:rPr>
                <w:rFonts w:hint="eastAsia"/>
                <w:color w:val="000000"/>
              </w:rPr>
            </w:pPr>
            <w:r>
              <w:rPr>
                <w:rFonts w:hint="eastAsia"/>
                <w:color w:val="000000"/>
              </w:rPr>
              <w:t>48394</w:t>
            </w:r>
          </w:p>
        </w:tc>
        <w:tc>
          <w:tcPr>
            <w:tcW w:w="534" w:type="pct"/>
            <w:shd w:val="clear" w:color="auto" w:fill="FFFFFF"/>
            <w:noWrap w:val="0"/>
            <w:tcMar>
              <w:top w:w="28" w:type="dxa"/>
              <w:left w:w="28" w:type="dxa"/>
              <w:bottom w:w="28" w:type="dxa"/>
              <w:right w:w="28" w:type="dxa"/>
            </w:tcMar>
            <w:vAlign w:val="center"/>
          </w:tcPr>
          <w:p w14:paraId="28118A10">
            <w:pPr>
              <w:pStyle w:val="11"/>
              <w:bidi w:val="0"/>
              <w:jc w:val="center"/>
              <w:rPr>
                <w:rFonts w:hint="eastAsia"/>
                <w:color w:val="000000"/>
              </w:rPr>
            </w:pPr>
            <w:r>
              <w:rPr>
                <w:rFonts w:hint="eastAsia"/>
                <w:color w:val="000000"/>
              </w:rPr>
              <w:t>641</w:t>
            </w:r>
          </w:p>
        </w:tc>
        <w:tc>
          <w:tcPr>
            <w:tcW w:w="571" w:type="pct"/>
            <w:shd w:val="clear" w:color="auto" w:fill="FFFFFF"/>
            <w:noWrap w:val="0"/>
            <w:tcMar>
              <w:top w:w="28" w:type="dxa"/>
              <w:left w:w="28" w:type="dxa"/>
              <w:bottom w:w="28" w:type="dxa"/>
              <w:right w:w="28" w:type="dxa"/>
            </w:tcMar>
            <w:vAlign w:val="center"/>
          </w:tcPr>
          <w:p w14:paraId="432D4F23">
            <w:pPr>
              <w:pStyle w:val="11"/>
              <w:bidi w:val="0"/>
              <w:jc w:val="center"/>
              <w:rPr>
                <w:rFonts w:hint="eastAsia"/>
                <w:color w:val="000000"/>
              </w:rPr>
            </w:pPr>
            <w:r>
              <w:rPr>
                <w:rFonts w:hint="eastAsia"/>
                <w:color w:val="000000"/>
              </w:rPr>
              <w:t>340</w:t>
            </w:r>
          </w:p>
        </w:tc>
        <w:tc>
          <w:tcPr>
            <w:tcW w:w="571" w:type="pct"/>
            <w:shd w:val="clear" w:color="auto" w:fill="FFFFFF"/>
            <w:noWrap w:val="0"/>
            <w:tcMar>
              <w:top w:w="28" w:type="dxa"/>
              <w:left w:w="28" w:type="dxa"/>
              <w:bottom w:w="28" w:type="dxa"/>
              <w:right w:w="28" w:type="dxa"/>
            </w:tcMar>
            <w:vAlign w:val="center"/>
          </w:tcPr>
          <w:p w14:paraId="67764DB8">
            <w:pPr>
              <w:pStyle w:val="11"/>
              <w:bidi w:val="0"/>
              <w:jc w:val="center"/>
              <w:rPr>
                <w:rFonts w:hint="eastAsia"/>
                <w:color w:val="000000"/>
              </w:rPr>
            </w:pPr>
            <w:r>
              <w:rPr>
                <w:rFonts w:hint="eastAsia"/>
                <w:color w:val="000000"/>
              </w:rPr>
              <w:t>301</w:t>
            </w:r>
          </w:p>
        </w:tc>
        <w:tc>
          <w:tcPr>
            <w:tcW w:w="571" w:type="pct"/>
            <w:shd w:val="clear" w:color="auto" w:fill="FFFFFF"/>
            <w:noWrap w:val="0"/>
            <w:tcMar>
              <w:top w:w="28" w:type="dxa"/>
              <w:left w:w="28" w:type="dxa"/>
              <w:bottom w:w="28" w:type="dxa"/>
              <w:right w:w="28" w:type="dxa"/>
            </w:tcMar>
            <w:vAlign w:val="center"/>
          </w:tcPr>
          <w:p w14:paraId="17F861D2">
            <w:pPr>
              <w:pStyle w:val="11"/>
              <w:bidi w:val="0"/>
              <w:jc w:val="center"/>
              <w:rPr>
                <w:rFonts w:hint="eastAsia"/>
                <w:color w:val="000000"/>
              </w:rPr>
            </w:pPr>
            <w:r>
              <w:rPr>
                <w:rFonts w:hint="eastAsia"/>
                <w:color w:val="000000"/>
              </w:rPr>
              <w:t>13.26</w:t>
            </w:r>
          </w:p>
        </w:tc>
        <w:tc>
          <w:tcPr>
            <w:tcW w:w="570" w:type="pct"/>
            <w:shd w:val="clear" w:color="auto" w:fill="FFFFFF"/>
            <w:noWrap w:val="0"/>
            <w:tcMar>
              <w:top w:w="28" w:type="dxa"/>
              <w:left w:w="28" w:type="dxa"/>
              <w:bottom w:w="28" w:type="dxa"/>
              <w:right w:w="28" w:type="dxa"/>
            </w:tcMar>
            <w:vAlign w:val="center"/>
          </w:tcPr>
          <w:p w14:paraId="6DA545B0">
            <w:pPr>
              <w:pStyle w:val="11"/>
              <w:bidi w:val="0"/>
              <w:jc w:val="center"/>
              <w:rPr>
                <w:rFonts w:hint="eastAsia"/>
                <w:color w:val="000000"/>
              </w:rPr>
            </w:pPr>
            <w:r>
              <w:rPr>
                <w:rFonts w:hint="eastAsia"/>
                <w:color w:val="000000"/>
              </w:rPr>
              <w:t>252</w:t>
            </w:r>
          </w:p>
        </w:tc>
        <w:tc>
          <w:tcPr>
            <w:tcW w:w="571" w:type="pct"/>
            <w:shd w:val="clear" w:color="auto" w:fill="FFFFFF"/>
            <w:noWrap w:val="0"/>
            <w:tcMar>
              <w:top w:w="28" w:type="dxa"/>
              <w:left w:w="28" w:type="dxa"/>
              <w:bottom w:w="28" w:type="dxa"/>
              <w:right w:w="28" w:type="dxa"/>
            </w:tcMar>
            <w:vAlign w:val="center"/>
          </w:tcPr>
          <w:p w14:paraId="69B31FF2">
            <w:pPr>
              <w:pStyle w:val="11"/>
              <w:bidi w:val="0"/>
              <w:jc w:val="center"/>
              <w:rPr>
                <w:rFonts w:hint="eastAsia"/>
                <w:color w:val="000000"/>
              </w:rPr>
            </w:pPr>
            <w:r>
              <w:rPr>
                <w:rFonts w:hint="eastAsia"/>
                <w:color w:val="000000"/>
              </w:rPr>
              <w:t>5.21</w:t>
            </w:r>
          </w:p>
        </w:tc>
        <w:tc>
          <w:tcPr>
            <w:tcW w:w="570" w:type="pct"/>
            <w:shd w:val="clear" w:color="auto" w:fill="FFFFFF"/>
            <w:noWrap w:val="0"/>
            <w:tcMar>
              <w:top w:w="28" w:type="dxa"/>
              <w:left w:w="28" w:type="dxa"/>
              <w:bottom w:w="28" w:type="dxa"/>
              <w:right w:w="28" w:type="dxa"/>
            </w:tcMar>
            <w:vAlign w:val="center"/>
          </w:tcPr>
          <w:p w14:paraId="65BE23A3">
            <w:pPr>
              <w:pStyle w:val="11"/>
              <w:bidi w:val="0"/>
              <w:jc w:val="center"/>
              <w:rPr>
                <w:rFonts w:hint="eastAsia"/>
                <w:color w:val="000000"/>
              </w:rPr>
            </w:pPr>
            <w:r>
              <w:rPr>
                <w:rFonts w:hint="eastAsia"/>
                <w:color w:val="000000"/>
              </w:rPr>
              <w:t>8.05</w:t>
            </w:r>
          </w:p>
        </w:tc>
      </w:tr>
      <w:tr w14:paraId="60B3F43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6A5AAD17">
            <w:pPr>
              <w:pStyle w:val="11"/>
              <w:bidi w:val="0"/>
              <w:jc w:val="center"/>
              <w:rPr>
                <w:rFonts w:hint="eastAsia" w:eastAsia="宋体"/>
                <w:color w:val="000000"/>
                <w:lang w:eastAsia="zh-CN"/>
              </w:rPr>
            </w:pPr>
            <w:r>
              <w:rPr>
                <w:rFonts w:hint="eastAsia"/>
                <w:color w:val="000000"/>
              </w:rPr>
              <w:t>界址镇</w:t>
            </w:r>
          </w:p>
        </w:tc>
        <w:tc>
          <w:tcPr>
            <w:tcW w:w="535" w:type="pct"/>
            <w:shd w:val="clear" w:color="auto" w:fill="FFFFFF"/>
            <w:noWrap w:val="0"/>
            <w:tcMar>
              <w:top w:w="28" w:type="dxa"/>
              <w:left w:w="28" w:type="dxa"/>
              <w:bottom w:w="28" w:type="dxa"/>
              <w:right w:w="28" w:type="dxa"/>
            </w:tcMar>
            <w:vAlign w:val="center"/>
          </w:tcPr>
          <w:p w14:paraId="6AD5DA5B">
            <w:pPr>
              <w:pStyle w:val="11"/>
              <w:bidi w:val="0"/>
              <w:jc w:val="center"/>
              <w:rPr>
                <w:rFonts w:hint="eastAsia"/>
                <w:color w:val="000000"/>
              </w:rPr>
            </w:pPr>
            <w:r>
              <w:rPr>
                <w:rFonts w:hint="eastAsia"/>
                <w:color w:val="000000"/>
              </w:rPr>
              <w:t>15970</w:t>
            </w:r>
          </w:p>
        </w:tc>
        <w:tc>
          <w:tcPr>
            <w:tcW w:w="534" w:type="pct"/>
            <w:shd w:val="clear" w:color="auto" w:fill="FFFFFF"/>
            <w:noWrap w:val="0"/>
            <w:tcMar>
              <w:top w:w="28" w:type="dxa"/>
              <w:left w:w="28" w:type="dxa"/>
              <w:bottom w:w="28" w:type="dxa"/>
              <w:right w:w="28" w:type="dxa"/>
            </w:tcMar>
            <w:vAlign w:val="center"/>
          </w:tcPr>
          <w:p w14:paraId="743891A3">
            <w:pPr>
              <w:pStyle w:val="11"/>
              <w:bidi w:val="0"/>
              <w:jc w:val="center"/>
              <w:rPr>
                <w:rFonts w:hint="eastAsia"/>
                <w:color w:val="000000"/>
              </w:rPr>
            </w:pPr>
            <w:r>
              <w:rPr>
                <w:rFonts w:hint="eastAsia"/>
                <w:color w:val="000000"/>
              </w:rPr>
              <w:t>209</w:t>
            </w:r>
          </w:p>
        </w:tc>
        <w:tc>
          <w:tcPr>
            <w:tcW w:w="571" w:type="pct"/>
            <w:shd w:val="clear" w:color="auto" w:fill="FFFFFF"/>
            <w:noWrap w:val="0"/>
            <w:tcMar>
              <w:top w:w="28" w:type="dxa"/>
              <w:left w:w="28" w:type="dxa"/>
              <w:bottom w:w="28" w:type="dxa"/>
              <w:right w:w="28" w:type="dxa"/>
            </w:tcMar>
            <w:vAlign w:val="center"/>
          </w:tcPr>
          <w:p w14:paraId="0B7F5509">
            <w:pPr>
              <w:pStyle w:val="11"/>
              <w:bidi w:val="0"/>
              <w:jc w:val="center"/>
              <w:rPr>
                <w:rFonts w:hint="eastAsia"/>
                <w:color w:val="000000"/>
              </w:rPr>
            </w:pPr>
            <w:r>
              <w:rPr>
                <w:rFonts w:hint="eastAsia"/>
                <w:color w:val="000000"/>
              </w:rPr>
              <w:t>111</w:t>
            </w:r>
          </w:p>
        </w:tc>
        <w:tc>
          <w:tcPr>
            <w:tcW w:w="571" w:type="pct"/>
            <w:shd w:val="clear" w:color="auto" w:fill="FFFFFF"/>
            <w:noWrap w:val="0"/>
            <w:tcMar>
              <w:top w:w="28" w:type="dxa"/>
              <w:left w:w="28" w:type="dxa"/>
              <w:bottom w:w="28" w:type="dxa"/>
              <w:right w:w="28" w:type="dxa"/>
            </w:tcMar>
            <w:vAlign w:val="center"/>
          </w:tcPr>
          <w:p w14:paraId="40178855">
            <w:pPr>
              <w:pStyle w:val="11"/>
              <w:bidi w:val="0"/>
              <w:jc w:val="center"/>
              <w:rPr>
                <w:rFonts w:hint="eastAsia"/>
                <w:color w:val="000000"/>
              </w:rPr>
            </w:pPr>
            <w:r>
              <w:rPr>
                <w:rFonts w:hint="eastAsia"/>
                <w:color w:val="000000"/>
              </w:rPr>
              <w:t>98</w:t>
            </w:r>
          </w:p>
        </w:tc>
        <w:tc>
          <w:tcPr>
            <w:tcW w:w="571" w:type="pct"/>
            <w:shd w:val="clear" w:color="auto" w:fill="FFFFFF"/>
            <w:noWrap w:val="0"/>
            <w:tcMar>
              <w:top w:w="28" w:type="dxa"/>
              <w:left w:w="28" w:type="dxa"/>
              <w:bottom w:w="28" w:type="dxa"/>
              <w:right w:w="28" w:type="dxa"/>
            </w:tcMar>
            <w:vAlign w:val="center"/>
          </w:tcPr>
          <w:p w14:paraId="5FF727D1">
            <w:pPr>
              <w:pStyle w:val="11"/>
              <w:bidi w:val="0"/>
              <w:jc w:val="center"/>
              <w:rPr>
                <w:rFonts w:hint="eastAsia"/>
                <w:color w:val="000000"/>
              </w:rPr>
            </w:pPr>
            <w:r>
              <w:rPr>
                <w:rFonts w:hint="eastAsia"/>
                <w:color w:val="000000"/>
              </w:rPr>
              <w:t>13.12</w:t>
            </w:r>
          </w:p>
        </w:tc>
        <w:tc>
          <w:tcPr>
            <w:tcW w:w="570" w:type="pct"/>
            <w:shd w:val="clear" w:color="auto" w:fill="FFFFFF"/>
            <w:noWrap w:val="0"/>
            <w:tcMar>
              <w:top w:w="28" w:type="dxa"/>
              <w:left w:w="28" w:type="dxa"/>
              <w:bottom w:w="28" w:type="dxa"/>
              <w:right w:w="28" w:type="dxa"/>
            </w:tcMar>
            <w:vAlign w:val="center"/>
          </w:tcPr>
          <w:p w14:paraId="76A193B6">
            <w:pPr>
              <w:pStyle w:val="11"/>
              <w:bidi w:val="0"/>
              <w:jc w:val="center"/>
              <w:rPr>
                <w:rFonts w:hint="eastAsia"/>
                <w:color w:val="000000"/>
              </w:rPr>
            </w:pPr>
            <w:r>
              <w:rPr>
                <w:rFonts w:hint="eastAsia"/>
                <w:color w:val="000000"/>
              </w:rPr>
              <w:t>93</w:t>
            </w:r>
          </w:p>
        </w:tc>
        <w:tc>
          <w:tcPr>
            <w:tcW w:w="571" w:type="pct"/>
            <w:shd w:val="clear" w:color="auto" w:fill="FFFFFF"/>
            <w:noWrap w:val="0"/>
            <w:tcMar>
              <w:top w:w="28" w:type="dxa"/>
              <w:left w:w="28" w:type="dxa"/>
              <w:bottom w:w="28" w:type="dxa"/>
              <w:right w:w="28" w:type="dxa"/>
            </w:tcMar>
            <w:vAlign w:val="center"/>
          </w:tcPr>
          <w:p w14:paraId="4DF7171C">
            <w:pPr>
              <w:pStyle w:val="11"/>
              <w:bidi w:val="0"/>
              <w:jc w:val="center"/>
              <w:rPr>
                <w:rFonts w:hint="eastAsia"/>
                <w:color w:val="000000"/>
              </w:rPr>
            </w:pPr>
            <w:r>
              <w:rPr>
                <w:rFonts w:hint="eastAsia"/>
                <w:color w:val="000000"/>
              </w:rPr>
              <w:t>5.84</w:t>
            </w:r>
          </w:p>
        </w:tc>
        <w:tc>
          <w:tcPr>
            <w:tcW w:w="570" w:type="pct"/>
            <w:shd w:val="clear" w:color="auto" w:fill="FFFFFF"/>
            <w:noWrap w:val="0"/>
            <w:tcMar>
              <w:top w:w="28" w:type="dxa"/>
              <w:left w:w="28" w:type="dxa"/>
              <w:bottom w:w="28" w:type="dxa"/>
              <w:right w:w="28" w:type="dxa"/>
            </w:tcMar>
            <w:vAlign w:val="center"/>
          </w:tcPr>
          <w:p w14:paraId="4A54FB5E">
            <w:pPr>
              <w:pStyle w:val="11"/>
              <w:bidi w:val="0"/>
              <w:jc w:val="center"/>
              <w:rPr>
                <w:rFonts w:hint="eastAsia"/>
                <w:color w:val="000000"/>
              </w:rPr>
            </w:pPr>
            <w:r>
              <w:rPr>
                <w:rFonts w:hint="eastAsia"/>
                <w:color w:val="000000"/>
              </w:rPr>
              <w:t>7.28</w:t>
            </w:r>
          </w:p>
        </w:tc>
      </w:tr>
      <w:tr w14:paraId="4FE6610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6CB98686">
            <w:pPr>
              <w:pStyle w:val="11"/>
              <w:bidi w:val="0"/>
              <w:jc w:val="center"/>
              <w:rPr>
                <w:rFonts w:hint="eastAsia" w:eastAsia="宋体"/>
                <w:color w:val="000000"/>
                <w:lang w:eastAsia="zh-CN"/>
              </w:rPr>
            </w:pPr>
            <w:r>
              <w:rPr>
                <w:rFonts w:hint="eastAsia"/>
                <w:color w:val="000000"/>
              </w:rPr>
              <w:t>坪田镇</w:t>
            </w:r>
          </w:p>
        </w:tc>
        <w:tc>
          <w:tcPr>
            <w:tcW w:w="535" w:type="pct"/>
            <w:shd w:val="clear" w:color="auto" w:fill="FFFFFF"/>
            <w:noWrap w:val="0"/>
            <w:tcMar>
              <w:top w:w="28" w:type="dxa"/>
              <w:left w:w="28" w:type="dxa"/>
              <w:bottom w:w="28" w:type="dxa"/>
              <w:right w:w="28" w:type="dxa"/>
            </w:tcMar>
            <w:vAlign w:val="center"/>
          </w:tcPr>
          <w:p w14:paraId="7C3C1D5F">
            <w:pPr>
              <w:pStyle w:val="11"/>
              <w:bidi w:val="0"/>
              <w:jc w:val="center"/>
              <w:rPr>
                <w:rFonts w:hint="eastAsia"/>
                <w:color w:val="000000"/>
              </w:rPr>
            </w:pPr>
            <w:r>
              <w:rPr>
                <w:rFonts w:hint="eastAsia"/>
                <w:color w:val="000000"/>
              </w:rPr>
              <w:t>27785</w:t>
            </w:r>
          </w:p>
        </w:tc>
        <w:tc>
          <w:tcPr>
            <w:tcW w:w="534" w:type="pct"/>
            <w:shd w:val="clear" w:color="auto" w:fill="FFFFFF"/>
            <w:noWrap w:val="0"/>
            <w:tcMar>
              <w:top w:w="28" w:type="dxa"/>
              <w:left w:w="28" w:type="dxa"/>
              <w:bottom w:w="28" w:type="dxa"/>
              <w:right w:w="28" w:type="dxa"/>
            </w:tcMar>
            <w:vAlign w:val="center"/>
          </w:tcPr>
          <w:p w14:paraId="2722ACBB">
            <w:pPr>
              <w:pStyle w:val="11"/>
              <w:bidi w:val="0"/>
              <w:jc w:val="center"/>
              <w:rPr>
                <w:rFonts w:hint="eastAsia"/>
                <w:color w:val="000000"/>
              </w:rPr>
            </w:pPr>
            <w:r>
              <w:rPr>
                <w:rFonts w:hint="eastAsia"/>
                <w:color w:val="000000"/>
              </w:rPr>
              <w:t>404</w:t>
            </w:r>
          </w:p>
        </w:tc>
        <w:tc>
          <w:tcPr>
            <w:tcW w:w="571" w:type="pct"/>
            <w:shd w:val="clear" w:color="auto" w:fill="FFFFFF"/>
            <w:noWrap w:val="0"/>
            <w:tcMar>
              <w:top w:w="28" w:type="dxa"/>
              <w:left w:w="28" w:type="dxa"/>
              <w:bottom w:w="28" w:type="dxa"/>
              <w:right w:w="28" w:type="dxa"/>
            </w:tcMar>
            <w:vAlign w:val="center"/>
          </w:tcPr>
          <w:p w14:paraId="1BA9F0E8">
            <w:pPr>
              <w:pStyle w:val="11"/>
              <w:bidi w:val="0"/>
              <w:jc w:val="center"/>
              <w:rPr>
                <w:rFonts w:hint="eastAsia"/>
                <w:color w:val="000000"/>
              </w:rPr>
            </w:pPr>
            <w:r>
              <w:rPr>
                <w:rFonts w:hint="eastAsia"/>
                <w:color w:val="000000"/>
              </w:rPr>
              <w:t>232</w:t>
            </w:r>
          </w:p>
        </w:tc>
        <w:tc>
          <w:tcPr>
            <w:tcW w:w="571" w:type="pct"/>
            <w:shd w:val="clear" w:color="auto" w:fill="FFFFFF"/>
            <w:noWrap w:val="0"/>
            <w:tcMar>
              <w:top w:w="28" w:type="dxa"/>
              <w:left w:w="28" w:type="dxa"/>
              <w:bottom w:w="28" w:type="dxa"/>
              <w:right w:w="28" w:type="dxa"/>
            </w:tcMar>
            <w:vAlign w:val="center"/>
          </w:tcPr>
          <w:p w14:paraId="7A9815FF">
            <w:pPr>
              <w:pStyle w:val="11"/>
              <w:bidi w:val="0"/>
              <w:jc w:val="center"/>
              <w:rPr>
                <w:rFonts w:hint="eastAsia"/>
                <w:color w:val="000000"/>
              </w:rPr>
            </w:pPr>
            <w:r>
              <w:rPr>
                <w:rFonts w:hint="eastAsia"/>
                <w:color w:val="000000"/>
              </w:rPr>
              <w:t>172</w:t>
            </w:r>
          </w:p>
        </w:tc>
        <w:tc>
          <w:tcPr>
            <w:tcW w:w="571" w:type="pct"/>
            <w:shd w:val="clear" w:color="auto" w:fill="FFFFFF"/>
            <w:noWrap w:val="0"/>
            <w:tcMar>
              <w:top w:w="28" w:type="dxa"/>
              <w:left w:w="28" w:type="dxa"/>
              <w:bottom w:w="28" w:type="dxa"/>
              <w:right w:w="28" w:type="dxa"/>
            </w:tcMar>
            <w:vAlign w:val="center"/>
          </w:tcPr>
          <w:p w14:paraId="425CEA2D">
            <w:pPr>
              <w:pStyle w:val="11"/>
              <w:bidi w:val="0"/>
              <w:jc w:val="center"/>
              <w:rPr>
                <w:rFonts w:hint="eastAsia"/>
                <w:color w:val="000000"/>
              </w:rPr>
            </w:pPr>
            <w:r>
              <w:rPr>
                <w:rFonts w:hint="eastAsia"/>
                <w:color w:val="000000"/>
              </w:rPr>
              <w:t>14.75</w:t>
            </w:r>
          </w:p>
        </w:tc>
        <w:tc>
          <w:tcPr>
            <w:tcW w:w="570" w:type="pct"/>
            <w:shd w:val="clear" w:color="auto" w:fill="FFFFFF"/>
            <w:noWrap w:val="0"/>
            <w:tcMar>
              <w:top w:w="28" w:type="dxa"/>
              <w:left w:w="28" w:type="dxa"/>
              <w:bottom w:w="28" w:type="dxa"/>
              <w:right w:w="28" w:type="dxa"/>
            </w:tcMar>
            <w:vAlign w:val="center"/>
          </w:tcPr>
          <w:p w14:paraId="4A2DB02B">
            <w:pPr>
              <w:pStyle w:val="11"/>
              <w:bidi w:val="0"/>
              <w:jc w:val="center"/>
              <w:rPr>
                <w:rFonts w:hint="eastAsia"/>
                <w:color w:val="000000"/>
              </w:rPr>
            </w:pPr>
            <w:r>
              <w:rPr>
                <w:rFonts w:hint="eastAsia"/>
                <w:color w:val="000000"/>
              </w:rPr>
              <w:t>168</w:t>
            </w:r>
          </w:p>
        </w:tc>
        <w:tc>
          <w:tcPr>
            <w:tcW w:w="571" w:type="pct"/>
            <w:shd w:val="clear" w:color="auto" w:fill="FFFFFF"/>
            <w:noWrap w:val="0"/>
            <w:tcMar>
              <w:top w:w="28" w:type="dxa"/>
              <w:left w:w="28" w:type="dxa"/>
              <w:bottom w:w="28" w:type="dxa"/>
              <w:right w:w="28" w:type="dxa"/>
            </w:tcMar>
            <w:vAlign w:val="center"/>
          </w:tcPr>
          <w:p w14:paraId="6F5F914E">
            <w:pPr>
              <w:pStyle w:val="11"/>
              <w:bidi w:val="0"/>
              <w:jc w:val="center"/>
              <w:rPr>
                <w:rFonts w:hint="eastAsia"/>
                <w:color w:val="000000"/>
              </w:rPr>
            </w:pPr>
            <w:r>
              <w:rPr>
                <w:rFonts w:hint="eastAsia"/>
                <w:color w:val="000000"/>
              </w:rPr>
              <w:t>6.13</w:t>
            </w:r>
          </w:p>
        </w:tc>
        <w:tc>
          <w:tcPr>
            <w:tcW w:w="570" w:type="pct"/>
            <w:shd w:val="clear" w:color="auto" w:fill="FFFFFF"/>
            <w:noWrap w:val="0"/>
            <w:tcMar>
              <w:top w:w="28" w:type="dxa"/>
              <w:left w:w="28" w:type="dxa"/>
              <w:bottom w:w="28" w:type="dxa"/>
              <w:right w:w="28" w:type="dxa"/>
            </w:tcMar>
            <w:vAlign w:val="center"/>
          </w:tcPr>
          <w:p w14:paraId="6C3B2566">
            <w:pPr>
              <w:pStyle w:val="11"/>
              <w:bidi w:val="0"/>
              <w:jc w:val="center"/>
              <w:rPr>
                <w:rFonts w:hint="eastAsia"/>
                <w:color w:val="000000"/>
              </w:rPr>
            </w:pPr>
            <w:r>
              <w:rPr>
                <w:rFonts w:hint="eastAsia"/>
                <w:color w:val="000000"/>
              </w:rPr>
              <w:t>8.62</w:t>
            </w:r>
          </w:p>
        </w:tc>
      </w:tr>
      <w:tr w14:paraId="5135F00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4640557C">
            <w:pPr>
              <w:pStyle w:val="11"/>
              <w:bidi w:val="0"/>
              <w:jc w:val="center"/>
              <w:rPr>
                <w:rFonts w:hint="eastAsia" w:eastAsia="宋体"/>
                <w:color w:val="000000"/>
                <w:lang w:eastAsia="zh-CN"/>
              </w:rPr>
            </w:pPr>
            <w:r>
              <w:rPr>
                <w:rFonts w:hint="eastAsia"/>
                <w:color w:val="000000"/>
              </w:rPr>
              <w:t>黄坑镇</w:t>
            </w:r>
          </w:p>
        </w:tc>
        <w:tc>
          <w:tcPr>
            <w:tcW w:w="535" w:type="pct"/>
            <w:shd w:val="clear" w:color="auto" w:fill="FFFFFF"/>
            <w:noWrap w:val="0"/>
            <w:tcMar>
              <w:top w:w="28" w:type="dxa"/>
              <w:left w:w="28" w:type="dxa"/>
              <w:bottom w:w="28" w:type="dxa"/>
              <w:right w:w="28" w:type="dxa"/>
            </w:tcMar>
            <w:vAlign w:val="center"/>
          </w:tcPr>
          <w:p w14:paraId="30BAEA5E">
            <w:pPr>
              <w:pStyle w:val="11"/>
              <w:bidi w:val="0"/>
              <w:jc w:val="center"/>
              <w:rPr>
                <w:rFonts w:hint="eastAsia"/>
                <w:color w:val="000000"/>
              </w:rPr>
            </w:pPr>
            <w:r>
              <w:rPr>
                <w:rFonts w:hint="eastAsia"/>
                <w:color w:val="000000"/>
              </w:rPr>
              <w:t>26142</w:t>
            </w:r>
          </w:p>
        </w:tc>
        <w:tc>
          <w:tcPr>
            <w:tcW w:w="534" w:type="pct"/>
            <w:shd w:val="clear" w:color="auto" w:fill="FFFFFF"/>
            <w:noWrap w:val="0"/>
            <w:tcMar>
              <w:top w:w="28" w:type="dxa"/>
              <w:left w:w="28" w:type="dxa"/>
              <w:bottom w:w="28" w:type="dxa"/>
              <w:right w:w="28" w:type="dxa"/>
            </w:tcMar>
            <w:vAlign w:val="center"/>
          </w:tcPr>
          <w:p w14:paraId="2B66C2D9">
            <w:pPr>
              <w:pStyle w:val="11"/>
              <w:bidi w:val="0"/>
              <w:jc w:val="center"/>
              <w:rPr>
                <w:rFonts w:hint="eastAsia"/>
                <w:color w:val="000000"/>
              </w:rPr>
            </w:pPr>
            <w:r>
              <w:rPr>
                <w:rFonts w:hint="eastAsia"/>
                <w:color w:val="000000"/>
              </w:rPr>
              <w:t>336</w:t>
            </w:r>
          </w:p>
        </w:tc>
        <w:tc>
          <w:tcPr>
            <w:tcW w:w="571" w:type="pct"/>
            <w:shd w:val="clear" w:color="auto" w:fill="FFFFFF"/>
            <w:noWrap w:val="0"/>
            <w:tcMar>
              <w:top w:w="28" w:type="dxa"/>
              <w:left w:w="28" w:type="dxa"/>
              <w:bottom w:w="28" w:type="dxa"/>
              <w:right w:w="28" w:type="dxa"/>
            </w:tcMar>
            <w:vAlign w:val="center"/>
          </w:tcPr>
          <w:p w14:paraId="65B966D5">
            <w:pPr>
              <w:pStyle w:val="11"/>
              <w:bidi w:val="0"/>
              <w:jc w:val="center"/>
              <w:rPr>
                <w:rFonts w:hint="eastAsia"/>
                <w:color w:val="000000"/>
              </w:rPr>
            </w:pPr>
            <w:r>
              <w:rPr>
                <w:rFonts w:hint="eastAsia"/>
                <w:color w:val="000000"/>
              </w:rPr>
              <w:t>172</w:t>
            </w:r>
          </w:p>
        </w:tc>
        <w:tc>
          <w:tcPr>
            <w:tcW w:w="571" w:type="pct"/>
            <w:shd w:val="clear" w:color="auto" w:fill="FFFFFF"/>
            <w:noWrap w:val="0"/>
            <w:tcMar>
              <w:top w:w="28" w:type="dxa"/>
              <w:left w:w="28" w:type="dxa"/>
              <w:bottom w:w="28" w:type="dxa"/>
              <w:right w:w="28" w:type="dxa"/>
            </w:tcMar>
            <w:vAlign w:val="center"/>
          </w:tcPr>
          <w:p w14:paraId="6CFF9E5E">
            <w:pPr>
              <w:pStyle w:val="11"/>
              <w:bidi w:val="0"/>
              <w:jc w:val="center"/>
              <w:rPr>
                <w:rFonts w:hint="eastAsia"/>
                <w:color w:val="000000"/>
              </w:rPr>
            </w:pPr>
            <w:r>
              <w:rPr>
                <w:rFonts w:hint="eastAsia"/>
                <w:color w:val="000000"/>
              </w:rPr>
              <w:t>164</w:t>
            </w:r>
          </w:p>
        </w:tc>
        <w:tc>
          <w:tcPr>
            <w:tcW w:w="571" w:type="pct"/>
            <w:shd w:val="clear" w:color="auto" w:fill="FFFFFF"/>
            <w:noWrap w:val="0"/>
            <w:tcMar>
              <w:top w:w="28" w:type="dxa"/>
              <w:left w:w="28" w:type="dxa"/>
              <w:bottom w:w="28" w:type="dxa"/>
              <w:right w:w="28" w:type="dxa"/>
            </w:tcMar>
            <w:vAlign w:val="center"/>
          </w:tcPr>
          <w:p w14:paraId="2D09BAF8">
            <w:pPr>
              <w:pStyle w:val="11"/>
              <w:bidi w:val="0"/>
              <w:jc w:val="center"/>
              <w:rPr>
                <w:rFonts w:hint="eastAsia"/>
                <w:color w:val="000000"/>
              </w:rPr>
            </w:pPr>
            <w:r>
              <w:rPr>
                <w:rFonts w:hint="eastAsia"/>
                <w:color w:val="000000"/>
              </w:rPr>
              <w:t>12.85</w:t>
            </w:r>
          </w:p>
        </w:tc>
        <w:tc>
          <w:tcPr>
            <w:tcW w:w="570" w:type="pct"/>
            <w:shd w:val="clear" w:color="auto" w:fill="FFFFFF"/>
            <w:noWrap w:val="0"/>
            <w:tcMar>
              <w:top w:w="28" w:type="dxa"/>
              <w:left w:w="28" w:type="dxa"/>
              <w:bottom w:w="28" w:type="dxa"/>
              <w:right w:w="28" w:type="dxa"/>
            </w:tcMar>
            <w:vAlign w:val="center"/>
          </w:tcPr>
          <w:p w14:paraId="1A1D7DCB">
            <w:pPr>
              <w:pStyle w:val="11"/>
              <w:bidi w:val="0"/>
              <w:jc w:val="center"/>
              <w:rPr>
                <w:rFonts w:hint="eastAsia"/>
                <w:color w:val="000000"/>
              </w:rPr>
            </w:pPr>
            <w:r>
              <w:rPr>
                <w:rFonts w:hint="eastAsia"/>
                <w:color w:val="000000"/>
              </w:rPr>
              <w:t>145</w:t>
            </w:r>
          </w:p>
        </w:tc>
        <w:tc>
          <w:tcPr>
            <w:tcW w:w="571" w:type="pct"/>
            <w:shd w:val="clear" w:color="auto" w:fill="FFFFFF"/>
            <w:noWrap w:val="0"/>
            <w:tcMar>
              <w:top w:w="28" w:type="dxa"/>
              <w:left w:w="28" w:type="dxa"/>
              <w:bottom w:w="28" w:type="dxa"/>
              <w:right w:w="28" w:type="dxa"/>
            </w:tcMar>
            <w:vAlign w:val="center"/>
          </w:tcPr>
          <w:p w14:paraId="743B34B4">
            <w:pPr>
              <w:pStyle w:val="11"/>
              <w:bidi w:val="0"/>
              <w:jc w:val="center"/>
              <w:rPr>
                <w:rFonts w:hint="eastAsia"/>
                <w:color w:val="000000"/>
              </w:rPr>
            </w:pPr>
            <w:r>
              <w:rPr>
                <w:rFonts w:hint="eastAsia"/>
                <w:color w:val="000000"/>
              </w:rPr>
              <w:t>5.54</w:t>
            </w:r>
          </w:p>
        </w:tc>
        <w:tc>
          <w:tcPr>
            <w:tcW w:w="570" w:type="pct"/>
            <w:shd w:val="clear" w:color="auto" w:fill="FFFFFF"/>
            <w:noWrap w:val="0"/>
            <w:tcMar>
              <w:top w:w="28" w:type="dxa"/>
              <w:left w:w="28" w:type="dxa"/>
              <w:bottom w:w="28" w:type="dxa"/>
              <w:right w:w="28" w:type="dxa"/>
            </w:tcMar>
            <w:vAlign w:val="center"/>
          </w:tcPr>
          <w:p w14:paraId="043BECB8">
            <w:pPr>
              <w:pStyle w:val="11"/>
              <w:bidi w:val="0"/>
              <w:jc w:val="center"/>
              <w:rPr>
                <w:rFonts w:hint="eastAsia"/>
                <w:color w:val="000000"/>
              </w:rPr>
            </w:pPr>
            <w:r>
              <w:rPr>
                <w:rFonts w:hint="eastAsia"/>
                <w:color w:val="000000"/>
              </w:rPr>
              <w:t>7.30</w:t>
            </w:r>
          </w:p>
        </w:tc>
      </w:tr>
      <w:tr w14:paraId="4B422E7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58A11E20">
            <w:pPr>
              <w:pStyle w:val="11"/>
              <w:bidi w:val="0"/>
              <w:jc w:val="center"/>
              <w:rPr>
                <w:rFonts w:hint="eastAsia" w:eastAsia="宋体"/>
                <w:color w:val="000000"/>
                <w:lang w:eastAsia="zh-CN"/>
              </w:rPr>
            </w:pPr>
            <w:r>
              <w:rPr>
                <w:rFonts w:hint="eastAsia"/>
                <w:color w:val="000000"/>
              </w:rPr>
              <w:t>邓坊镇</w:t>
            </w:r>
          </w:p>
        </w:tc>
        <w:tc>
          <w:tcPr>
            <w:tcW w:w="535" w:type="pct"/>
            <w:shd w:val="clear" w:color="auto" w:fill="FFFFFF"/>
            <w:noWrap w:val="0"/>
            <w:tcMar>
              <w:top w:w="28" w:type="dxa"/>
              <w:left w:w="28" w:type="dxa"/>
              <w:bottom w:w="28" w:type="dxa"/>
              <w:right w:w="28" w:type="dxa"/>
            </w:tcMar>
            <w:vAlign w:val="center"/>
          </w:tcPr>
          <w:p w14:paraId="6F536F39">
            <w:pPr>
              <w:pStyle w:val="11"/>
              <w:bidi w:val="0"/>
              <w:jc w:val="center"/>
              <w:rPr>
                <w:rFonts w:hint="eastAsia"/>
                <w:color w:val="000000"/>
              </w:rPr>
            </w:pPr>
            <w:r>
              <w:rPr>
                <w:rFonts w:hint="eastAsia"/>
                <w:color w:val="000000"/>
              </w:rPr>
              <w:t>16816</w:t>
            </w:r>
          </w:p>
        </w:tc>
        <w:tc>
          <w:tcPr>
            <w:tcW w:w="534" w:type="pct"/>
            <w:shd w:val="clear" w:color="auto" w:fill="FFFFFF"/>
            <w:noWrap w:val="0"/>
            <w:tcMar>
              <w:top w:w="28" w:type="dxa"/>
              <w:left w:w="28" w:type="dxa"/>
              <w:bottom w:w="28" w:type="dxa"/>
              <w:right w:w="28" w:type="dxa"/>
            </w:tcMar>
            <w:vAlign w:val="center"/>
          </w:tcPr>
          <w:p w14:paraId="55C62638">
            <w:pPr>
              <w:pStyle w:val="11"/>
              <w:bidi w:val="0"/>
              <w:jc w:val="center"/>
              <w:rPr>
                <w:rFonts w:hint="eastAsia"/>
                <w:color w:val="000000"/>
              </w:rPr>
            </w:pPr>
            <w:r>
              <w:rPr>
                <w:rFonts w:hint="eastAsia"/>
                <w:color w:val="000000"/>
              </w:rPr>
              <w:t>214</w:t>
            </w:r>
          </w:p>
        </w:tc>
        <w:tc>
          <w:tcPr>
            <w:tcW w:w="571" w:type="pct"/>
            <w:shd w:val="clear" w:color="auto" w:fill="FFFFFF"/>
            <w:noWrap w:val="0"/>
            <w:tcMar>
              <w:top w:w="28" w:type="dxa"/>
              <w:left w:w="28" w:type="dxa"/>
              <w:bottom w:w="28" w:type="dxa"/>
              <w:right w:w="28" w:type="dxa"/>
            </w:tcMar>
            <w:vAlign w:val="center"/>
          </w:tcPr>
          <w:p w14:paraId="3A90CD97">
            <w:pPr>
              <w:pStyle w:val="11"/>
              <w:bidi w:val="0"/>
              <w:jc w:val="center"/>
              <w:rPr>
                <w:rFonts w:hint="eastAsia"/>
                <w:color w:val="000000"/>
              </w:rPr>
            </w:pPr>
            <w:r>
              <w:rPr>
                <w:rFonts w:hint="eastAsia"/>
                <w:color w:val="000000"/>
              </w:rPr>
              <w:t>118</w:t>
            </w:r>
          </w:p>
        </w:tc>
        <w:tc>
          <w:tcPr>
            <w:tcW w:w="571" w:type="pct"/>
            <w:shd w:val="clear" w:color="auto" w:fill="FFFFFF"/>
            <w:noWrap w:val="0"/>
            <w:tcMar>
              <w:top w:w="28" w:type="dxa"/>
              <w:left w:w="28" w:type="dxa"/>
              <w:bottom w:w="28" w:type="dxa"/>
              <w:right w:w="28" w:type="dxa"/>
            </w:tcMar>
            <w:vAlign w:val="center"/>
          </w:tcPr>
          <w:p w14:paraId="5B5938BC">
            <w:pPr>
              <w:pStyle w:val="11"/>
              <w:bidi w:val="0"/>
              <w:jc w:val="center"/>
              <w:rPr>
                <w:rFonts w:hint="eastAsia"/>
                <w:color w:val="000000"/>
              </w:rPr>
            </w:pPr>
            <w:r>
              <w:rPr>
                <w:rFonts w:hint="eastAsia"/>
                <w:color w:val="000000"/>
              </w:rPr>
              <w:t>96</w:t>
            </w:r>
          </w:p>
        </w:tc>
        <w:tc>
          <w:tcPr>
            <w:tcW w:w="571" w:type="pct"/>
            <w:shd w:val="clear" w:color="auto" w:fill="FFFFFF"/>
            <w:noWrap w:val="0"/>
            <w:tcMar>
              <w:top w:w="28" w:type="dxa"/>
              <w:left w:w="28" w:type="dxa"/>
              <w:bottom w:w="28" w:type="dxa"/>
              <w:right w:w="28" w:type="dxa"/>
            </w:tcMar>
            <w:vAlign w:val="center"/>
          </w:tcPr>
          <w:p w14:paraId="1BD25883">
            <w:pPr>
              <w:pStyle w:val="11"/>
              <w:bidi w:val="0"/>
              <w:jc w:val="center"/>
              <w:rPr>
                <w:rFonts w:hint="eastAsia"/>
                <w:color w:val="000000"/>
              </w:rPr>
            </w:pPr>
            <w:r>
              <w:rPr>
                <w:rFonts w:hint="eastAsia"/>
                <w:color w:val="000000"/>
              </w:rPr>
              <w:t>12.70</w:t>
            </w:r>
          </w:p>
        </w:tc>
        <w:tc>
          <w:tcPr>
            <w:tcW w:w="570" w:type="pct"/>
            <w:shd w:val="clear" w:color="auto" w:fill="FFFFFF"/>
            <w:noWrap w:val="0"/>
            <w:tcMar>
              <w:top w:w="28" w:type="dxa"/>
              <w:left w:w="28" w:type="dxa"/>
              <w:bottom w:w="28" w:type="dxa"/>
              <w:right w:w="28" w:type="dxa"/>
            </w:tcMar>
            <w:vAlign w:val="center"/>
          </w:tcPr>
          <w:p w14:paraId="23D12506">
            <w:pPr>
              <w:pStyle w:val="11"/>
              <w:bidi w:val="0"/>
              <w:jc w:val="center"/>
              <w:rPr>
                <w:rFonts w:hint="eastAsia"/>
                <w:color w:val="000000"/>
              </w:rPr>
            </w:pPr>
            <w:r>
              <w:rPr>
                <w:rFonts w:hint="eastAsia"/>
                <w:color w:val="000000"/>
              </w:rPr>
              <w:t>119</w:t>
            </w:r>
          </w:p>
        </w:tc>
        <w:tc>
          <w:tcPr>
            <w:tcW w:w="571" w:type="pct"/>
            <w:shd w:val="clear" w:color="auto" w:fill="FFFFFF"/>
            <w:noWrap w:val="0"/>
            <w:tcMar>
              <w:top w:w="28" w:type="dxa"/>
              <w:left w:w="28" w:type="dxa"/>
              <w:bottom w:w="28" w:type="dxa"/>
              <w:right w:w="28" w:type="dxa"/>
            </w:tcMar>
            <w:vAlign w:val="center"/>
          </w:tcPr>
          <w:p w14:paraId="7A00F62D">
            <w:pPr>
              <w:pStyle w:val="11"/>
              <w:bidi w:val="0"/>
              <w:jc w:val="center"/>
              <w:rPr>
                <w:rFonts w:hint="eastAsia"/>
                <w:color w:val="000000"/>
              </w:rPr>
            </w:pPr>
            <w:r>
              <w:rPr>
                <w:rFonts w:hint="eastAsia"/>
                <w:color w:val="000000"/>
              </w:rPr>
              <w:t>7.06</w:t>
            </w:r>
          </w:p>
        </w:tc>
        <w:tc>
          <w:tcPr>
            <w:tcW w:w="570" w:type="pct"/>
            <w:shd w:val="clear" w:color="auto" w:fill="FFFFFF"/>
            <w:noWrap w:val="0"/>
            <w:tcMar>
              <w:top w:w="28" w:type="dxa"/>
              <w:left w:w="28" w:type="dxa"/>
              <w:bottom w:w="28" w:type="dxa"/>
              <w:right w:w="28" w:type="dxa"/>
            </w:tcMar>
            <w:vAlign w:val="center"/>
          </w:tcPr>
          <w:p w14:paraId="56C97B75">
            <w:pPr>
              <w:pStyle w:val="11"/>
              <w:bidi w:val="0"/>
              <w:jc w:val="center"/>
              <w:rPr>
                <w:rFonts w:hint="eastAsia"/>
                <w:color w:val="000000"/>
              </w:rPr>
            </w:pPr>
            <w:r>
              <w:rPr>
                <w:rFonts w:hint="eastAsia"/>
                <w:color w:val="000000"/>
              </w:rPr>
              <w:t>5.64</w:t>
            </w:r>
          </w:p>
        </w:tc>
      </w:tr>
      <w:tr w14:paraId="0EA4700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1D3024F1">
            <w:pPr>
              <w:pStyle w:val="11"/>
              <w:bidi w:val="0"/>
              <w:jc w:val="center"/>
              <w:rPr>
                <w:rFonts w:hint="eastAsia" w:eastAsia="宋体"/>
                <w:color w:val="000000"/>
                <w:lang w:eastAsia="zh-CN"/>
              </w:rPr>
            </w:pPr>
            <w:r>
              <w:rPr>
                <w:rFonts w:hint="eastAsia"/>
                <w:color w:val="000000"/>
              </w:rPr>
              <w:t>油山镇</w:t>
            </w:r>
          </w:p>
        </w:tc>
        <w:tc>
          <w:tcPr>
            <w:tcW w:w="535" w:type="pct"/>
            <w:shd w:val="clear" w:color="auto" w:fill="FFFFFF"/>
            <w:noWrap w:val="0"/>
            <w:tcMar>
              <w:top w:w="28" w:type="dxa"/>
              <w:left w:w="28" w:type="dxa"/>
              <w:bottom w:w="28" w:type="dxa"/>
              <w:right w:w="28" w:type="dxa"/>
            </w:tcMar>
            <w:vAlign w:val="center"/>
          </w:tcPr>
          <w:p w14:paraId="50F1F347">
            <w:pPr>
              <w:pStyle w:val="11"/>
              <w:bidi w:val="0"/>
              <w:jc w:val="center"/>
              <w:rPr>
                <w:rFonts w:hint="eastAsia"/>
                <w:color w:val="000000"/>
              </w:rPr>
            </w:pPr>
            <w:r>
              <w:rPr>
                <w:rFonts w:hint="eastAsia"/>
                <w:color w:val="000000"/>
              </w:rPr>
              <w:t>35346</w:t>
            </w:r>
          </w:p>
        </w:tc>
        <w:tc>
          <w:tcPr>
            <w:tcW w:w="534" w:type="pct"/>
            <w:shd w:val="clear" w:color="auto" w:fill="FFFFFF"/>
            <w:noWrap w:val="0"/>
            <w:tcMar>
              <w:top w:w="28" w:type="dxa"/>
              <w:left w:w="28" w:type="dxa"/>
              <w:bottom w:w="28" w:type="dxa"/>
              <w:right w:w="28" w:type="dxa"/>
            </w:tcMar>
            <w:vAlign w:val="center"/>
          </w:tcPr>
          <w:p w14:paraId="235CBF70">
            <w:pPr>
              <w:pStyle w:val="11"/>
              <w:bidi w:val="0"/>
              <w:jc w:val="center"/>
              <w:rPr>
                <w:rFonts w:hint="eastAsia"/>
                <w:color w:val="000000"/>
              </w:rPr>
            </w:pPr>
            <w:r>
              <w:rPr>
                <w:rFonts w:hint="eastAsia"/>
                <w:color w:val="000000"/>
              </w:rPr>
              <w:t>462</w:t>
            </w:r>
          </w:p>
        </w:tc>
        <w:tc>
          <w:tcPr>
            <w:tcW w:w="571" w:type="pct"/>
            <w:shd w:val="clear" w:color="auto" w:fill="FFFFFF"/>
            <w:noWrap w:val="0"/>
            <w:tcMar>
              <w:top w:w="28" w:type="dxa"/>
              <w:left w:w="28" w:type="dxa"/>
              <w:bottom w:w="28" w:type="dxa"/>
              <w:right w:w="28" w:type="dxa"/>
            </w:tcMar>
            <w:vAlign w:val="center"/>
          </w:tcPr>
          <w:p w14:paraId="3248AF65">
            <w:pPr>
              <w:pStyle w:val="11"/>
              <w:bidi w:val="0"/>
              <w:jc w:val="center"/>
              <w:rPr>
                <w:rFonts w:hint="eastAsia"/>
                <w:color w:val="000000"/>
              </w:rPr>
            </w:pPr>
            <w:r>
              <w:rPr>
                <w:rFonts w:hint="eastAsia"/>
                <w:color w:val="000000"/>
              </w:rPr>
              <w:t>268</w:t>
            </w:r>
          </w:p>
        </w:tc>
        <w:tc>
          <w:tcPr>
            <w:tcW w:w="571" w:type="pct"/>
            <w:shd w:val="clear" w:color="auto" w:fill="FFFFFF"/>
            <w:noWrap w:val="0"/>
            <w:tcMar>
              <w:top w:w="28" w:type="dxa"/>
              <w:left w:w="28" w:type="dxa"/>
              <w:bottom w:w="28" w:type="dxa"/>
              <w:right w:w="28" w:type="dxa"/>
            </w:tcMar>
            <w:vAlign w:val="center"/>
          </w:tcPr>
          <w:p w14:paraId="0A1F2CE8">
            <w:pPr>
              <w:pStyle w:val="11"/>
              <w:bidi w:val="0"/>
              <w:jc w:val="center"/>
              <w:rPr>
                <w:rFonts w:hint="eastAsia"/>
                <w:color w:val="000000"/>
              </w:rPr>
            </w:pPr>
            <w:r>
              <w:rPr>
                <w:rFonts w:hint="eastAsia"/>
                <w:color w:val="000000"/>
              </w:rPr>
              <w:t>194</w:t>
            </w:r>
          </w:p>
        </w:tc>
        <w:tc>
          <w:tcPr>
            <w:tcW w:w="571" w:type="pct"/>
            <w:shd w:val="clear" w:color="auto" w:fill="FFFFFF"/>
            <w:noWrap w:val="0"/>
            <w:tcMar>
              <w:top w:w="28" w:type="dxa"/>
              <w:left w:w="28" w:type="dxa"/>
              <w:bottom w:w="28" w:type="dxa"/>
              <w:right w:w="28" w:type="dxa"/>
            </w:tcMar>
            <w:vAlign w:val="center"/>
          </w:tcPr>
          <w:p w14:paraId="596190B5">
            <w:pPr>
              <w:pStyle w:val="11"/>
              <w:bidi w:val="0"/>
              <w:jc w:val="center"/>
              <w:rPr>
                <w:rFonts w:hint="eastAsia"/>
                <w:color w:val="000000"/>
              </w:rPr>
            </w:pPr>
            <w:r>
              <w:rPr>
                <w:rFonts w:hint="eastAsia"/>
                <w:color w:val="000000"/>
              </w:rPr>
              <w:t>13.08</w:t>
            </w:r>
          </w:p>
        </w:tc>
        <w:tc>
          <w:tcPr>
            <w:tcW w:w="570" w:type="pct"/>
            <w:shd w:val="clear" w:color="auto" w:fill="FFFFFF"/>
            <w:noWrap w:val="0"/>
            <w:tcMar>
              <w:top w:w="28" w:type="dxa"/>
              <w:left w:w="28" w:type="dxa"/>
              <w:bottom w:w="28" w:type="dxa"/>
              <w:right w:w="28" w:type="dxa"/>
            </w:tcMar>
            <w:vAlign w:val="center"/>
          </w:tcPr>
          <w:p w14:paraId="2A6C5696">
            <w:pPr>
              <w:pStyle w:val="11"/>
              <w:bidi w:val="0"/>
              <w:jc w:val="center"/>
              <w:rPr>
                <w:rFonts w:hint="eastAsia"/>
                <w:color w:val="000000"/>
              </w:rPr>
            </w:pPr>
            <w:r>
              <w:rPr>
                <w:rFonts w:hint="eastAsia"/>
                <w:color w:val="000000"/>
              </w:rPr>
              <w:t>157</w:t>
            </w:r>
          </w:p>
        </w:tc>
        <w:tc>
          <w:tcPr>
            <w:tcW w:w="571" w:type="pct"/>
            <w:shd w:val="clear" w:color="auto" w:fill="FFFFFF"/>
            <w:noWrap w:val="0"/>
            <w:tcMar>
              <w:top w:w="28" w:type="dxa"/>
              <w:left w:w="28" w:type="dxa"/>
              <w:bottom w:w="28" w:type="dxa"/>
              <w:right w:w="28" w:type="dxa"/>
            </w:tcMar>
            <w:vAlign w:val="center"/>
          </w:tcPr>
          <w:p w14:paraId="15BD04DA">
            <w:pPr>
              <w:pStyle w:val="11"/>
              <w:bidi w:val="0"/>
              <w:jc w:val="center"/>
              <w:rPr>
                <w:rFonts w:hint="eastAsia"/>
                <w:color w:val="000000"/>
              </w:rPr>
            </w:pPr>
            <w:r>
              <w:rPr>
                <w:rFonts w:hint="eastAsia"/>
                <w:color w:val="000000"/>
              </w:rPr>
              <w:t>4.44</w:t>
            </w:r>
          </w:p>
        </w:tc>
        <w:tc>
          <w:tcPr>
            <w:tcW w:w="570" w:type="pct"/>
            <w:shd w:val="clear" w:color="auto" w:fill="FFFFFF"/>
            <w:noWrap w:val="0"/>
            <w:tcMar>
              <w:top w:w="28" w:type="dxa"/>
              <w:left w:w="28" w:type="dxa"/>
              <w:bottom w:w="28" w:type="dxa"/>
              <w:right w:w="28" w:type="dxa"/>
            </w:tcMar>
            <w:vAlign w:val="center"/>
          </w:tcPr>
          <w:p w14:paraId="6DCDE339">
            <w:pPr>
              <w:pStyle w:val="11"/>
              <w:bidi w:val="0"/>
              <w:jc w:val="center"/>
              <w:rPr>
                <w:rFonts w:hint="eastAsia"/>
                <w:color w:val="000000"/>
              </w:rPr>
            </w:pPr>
            <w:r>
              <w:rPr>
                <w:rFonts w:hint="eastAsia"/>
                <w:color w:val="000000"/>
              </w:rPr>
              <w:t>8.63</w:t>
            </w:r>
          </w:p>
        </w:tc>
      </w:tr>
      <w:tr w14:paraId="6B016F2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50AFA70C">
            <w:pPr>
              <w:pStyle w:val="11"/>
              <w:bidi w:val="0"/>
              <w:jc w:val="center"/>
              <w:rPr>
                <w:rFonts w:hint="eastAsia" w:eastAsia="宋体"/>
                <w:color w:val="000000"/>
                <w:lang w:eastAsia="zh-CN"/>
              </w:rPr>
            </w:pPr>
            <w:r>
              <w:rPr>
                <w:rFonts w:hint="eastAsia"/>
                <w:color w:val="000000"/>
              </w:rPr>
              <w:t>南亩镇</w:t>
            </w:r>
          </w:p>
        </w:tc>
        <w:tc>
          <w:tcPr>
            <w:tcW w:w="535" w:type="pct"/>
            <w:shd w:val="clear" w:color="auto" w:fill="FFFFFF"/>
            <w:noWrap w:val="0"/>
            <w:tcMar>
              <w:top w:w="28" w:type="dxa"/>
              <w:left w:w="28" w:type="dxa"/>
              <w:bottom w:w="28" w:type="dxa"/>
              <w:right w:w="28" w:type="dxa"/>
            </w:tcMar>
            <w:vAlign w:val="center"/>
          </w:tcPr>
          <w:p w14:paraId="542A6B70">
            <w:pPr>
              <w:pStyle w:val="11"/>
              <w:bidi w:val="0"/>
              <w:jc w:val="center"/>
              <w:rPr>
                <w:rFonts w:hint="eastAsia"/>
                <w:color w:val="000000"/>
              </w:rPr>
            </w:pPr>
            <w:r>
              <w:rPr>
                <w:rFonts w:hint="eastAsia"/>
                <w:color w:val="000000"/>
              </w:rPr>
              <w:t>17464</w:t>
            </w:r>
          </w:p>
        </w:tc>
        <w:tc>
          <w:tcPr>
            <w:tcW w:w="534" w:type="pct"/>
            <w:shd w:val="clear" w:color="auto" w:fill="FFFFFF"/>
            <w:noWrap w:val="0"/>
            <w:tcMar>
              <w:top w:w="28" w:type="dxa"/>
              <w:left w:w="28" w:type="dxa"/>
              <w:bottom w:w="28" w:type="dxa"/>
              <w:right w:w="28" w:type="dxa"/>
            </w:tcMar>
            <w:vAlign w:val="center"/>
          </w:tcPr>
          <w:p w14:paraId="60532995">
            <w:pPr>
              <w:pStyle w:val="11"/>
              <w:bidi w:val="0"/>
              <w:jc w:val="center"/>
              <w:rPr>
                <w:rFonts w:hint="eastAsia"/>
                <w:color w:val="000000"/>
              </w:rPr>
            </w:pPr>
            <w:r>
              <w:rPr>
                <w:rFonts w:hint="eastAsia"/>
                <w:color w:val="000000"/>
              </w:rPr>
              <w:t>220</w:t>
            </w:r>
          </w:p>
        </w:tc>
        <w:tc>
          <w:tcPr>
            <w:tcW w:w="571" w:type="pct"/>
            <w:shd w:val="clear" w:color="auto" w:fill="FFFFFF"/>
            <w:noWrap w:val="0"/>
            <w:tcMar>
              <w:top w:w="28" w:type="dxa"/>
              <w:left w:w="28" w:type="dxa"/>
              <w:bottom w:w="28" w:type="dxa"/>
              <w:right w:w="28" w:type="dxa"/>
            </w:tcMar>
            <w:vAlign w:val="center"/>
          </w:tcPr>
          <w:p w14:paraId="6F4F319E">
            <w:pPr>
              <w:pStyle w:val="11"/>
              <w:bidi w:val="0"/>
              <w:jc w:val="center"/>
              <w:rPr>
                <w:rFonts w:hint="eastAsia"/>
                <w:color w:val="000000"/>
              </w:rPr>
            </w:pPr>
            <w:r>
              <w:rPr>
                <w:rFonts w:hint="eastAsia"/>
                <w:color w:val="000000"/>
              </w:rPr>
              <w:t>122</w:t>
            </w:r>
          </w:p>
        </w:tc>
        <w:tc>
          <w:tcPr>
            <w:tcW w:w="571" w:type="pct"/>
            <w:shd w:val="clear" w:color="auto" w:fill="FFFFFF"/>
            <w:noWrap w:val="0"/>
            <w:tcMar>
              <w:top w:w="28" w:type="dxa"/>
              <w:left w:w="28" w:type="dxa"/>
              <w:bottom w:w="28" w:type="dxa"/>
              <w:right w:w="28" w:type="dxa"/>
            </w:tcMar>
            <w:vAlign w:val="center"/>
          </w:tcPr>
          <w:p w14:paraId="12E477D4">
            <w:pPr>
              <w:pStyle w:val="11"/>
              <w:bidi w:val="0"/>
              <w:jc w:val="center"/>
              <w:rPr>
                <w:rFonts w:hint="eastAsia"/>
                <w:color w:val="000000"/>
              </w:rPr>
            </w:pPr>
            <w:r>
              <w:rPr>
                <w:rFonts w:hint="eastAsia"/>
                <w:color w:val="000000"/>
              </w:rPr>
              <w:t>98</w:t>
            </w:r>
          </w:p>
        </w:tc>
        <w:tc>
          <w:tcPr>
            <w:tcW w:w="571" w:type="pct"/>
            <w:shd w:val="clear" w:color="auto" w:fill="FFFFFF"/>
            <w:noWrap w:val="0"/>
            <w:tcMar>
              <w:top w:w="28" w:type="dxa"/>
              <w:left w:w="28" w:type="dxa"/>
              <w:bottom w:w="28" w:type="dxa"/>
              <w:right w:w="28" w:type="dxa"/>
            </w:tcMar>
            <w:vAlign w:val="center"/>
          </w:tcPr>
          <w:p w14:paraId="15623ECF">
            <w:pPr>
              <w:pStyle w:val="11"/>
              <w:bidi w:val="0"/>
              <w:jc w:val="center"/>
              <w:rPr>
                <w:rFonts w:hint="eastAsia"/>
                <w:color w:val="000000"/>
              </w:rPr>
            </w:pPr>
            <w:r>
              <w:rPr>
                <w:rFonts w:hint="eastAsia"/>
                <w:color w:val="000000"/>
              </w:rPr>
              <w:t>12.61</w:t>
            </w:r>
          </w:p>
        </w:tc>
        <w:tc>
          <w:tcPr>
            <w:tcW w:w="570" w:type="pct"/>
            <w:shd w:val="clear" w:color="auto" w:fill="FFFFFF"/>
            <w:noWrap w:val="0"/>
            <w:tcMar>
              <w:top w:w="28" w:type="dxa"/>
              <w:left w:w="28" w:type="dxa"/>
              <w:bottom w:w="28" w:type="dxa"/>
              <w:right w:w="28" w:type="dxa"/>
            </w:tcMar>
            <w:vAlign w:val="center"/>
          </w:tcPr>
          <w:p w14:paraId="28F1601F">
            <w:pPr>
              <w:pStyle w:val="11"/>
              <w:bidi w:val="0"/>
              <w:jc w:val="center"/>
              <w:rPr>
                <w:rFonts w:hint="eastAsia"/>
                <w:color w:val="000000"/>
              </w:rPr>
            </w:pPr>
            <w:r>
              <w:rPr>
                <w:rFonts w:hint="eastAsia"/>
                <w:color w:val="000000"/>
              </w:rPr>
              <w:t>89</w:t>
            </w:r>
          </w:p>
        </w:tc>
        <w:tc>
          <w:tcPr>
            <w:tcW w:w="571" w:type="pct"/>
            <w:shd w:val="clear" w:color="auto" w:fill="FFFFFF"/>
            <w:noWrap w:val="0"/>
            <w:tcMar>
              <w:top w:w="28" w:type="dxa"/>
              <w:left w:w="28" w:type="dxa"/>
              <w:bottom w:w="28" w:type="dxa"/>
              <w:right w:w="28" w:type="dxa"/>
            </w:tcMar>
            <w:vAlign w:val="center"/>
          </w:tcPr>
          <w:p w14:paraId="24A1977B">
            <w:pPr>
              <w:pStyle w:val="11"/>
              <w:bidi w:val="0"/>
              <w:jc w:val="center"/>
              <w:rPr>
                <w:rFonts w:hint="eastAsia"/>
                <w:color w:val="000000"/>
              </w:rPr>
            </w:pPr>
            <w:r>
              <w:rPr>
                <w:rFonts w:hint="eastAsia"/>
                <w:color w:val="000000"/>
              </w:rPr>
              <w:t>5.10</w:t>
            </w:r>
          </w:p>
        </w:tc>
        <w:tc>
          <w:tcPr>
            <w:tcW w:w="570" w:type="pct"/>
            <w:shd w:val="clear" w:color="auto" w:fill="FFFFFF"/>
            <w:noWrap w:val="0"/>
            <w:tcMar>
              <w:top w:w="28" w:type="dxa"/>
              <w:left w:w="28" w:type="dxa"/>
              <w:bottom w:w="28" w:type="dxa"/>
              <w:right w:w="28" w:type="dxa"/>
            </w:tcMar>
            <w:vAlign w:val="center"/>
          </w:tcPr>
          <w:p w14:paraId="716398BA">
            <w:pPr>
              <w:pStyle w:val="11"/>
              <w:bidi w:val="0"/>
              <w:jc w:val="center"/>
              <w:rPr>
                <w:rFonts w:hint="eastAsia"/>
                <w:color w:val="000000"/>
              </w:rPr>
            </w:pPr>
            <w:r>
              <w:rPr>
                <w:rFonts w:hint="eastAsia"/>
                <w:color w:val="000000"/>
              </w:rPr>
              <w:t>7.51</w:t>
            </w:r>
          </w:p>
        </w:tc>
      </w:tr>
      <w:tr w14:paraId="3671C83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707109AE">
            <w:pPr>
              <w:pStyle w:val="11"/>
              <w:bidi w:val="0"/>
              <w:jc w:val="center"/>
              <w:rPr>
                <w:rFonts w:hint="eastAsia" w:eastAsia="宋体"/>
                <w:color w:val="000000"/>
                <w:lang w:eastAsia="zh-CN"/>
              </w:rPr>
            </w:pPr>
            <w:r>
              <w:rPr>
                <w:rFonts w:hint="eastAsia"/>
                <w:color w:val="000000"/>
              </w:rPr>
              <w:t>水口镇</w:t>
            </w:r>
          </w:p>
        </w:tc>
        <w:tc>
          <w:tcPr>
            <w:tcW w:w="535" w:type="pct"/>
            <w:shd w:val="clear" w:color="auto" w:fill="FFFFFF"/>
            <w:noWrap w:val="0"/>
            <w:tcMar>
              <w:top w:w="28" w:type="dxa"/>
              <w:left w:w="28" w:type="dxa"/>
              <w:bottom w:w="28" w:type="dxa"/>
              <w:right w:w="28" w:type="dxa"/>
            </w:tcMar>
            <w:vAlign w:val="center"/>
          </w:tcPr>
          <w:p w14:paraId="4F1A372F">
            <w:pPr>
              <w:pStyle w:val="11"/>
              <w:bidi w:val="0"/>
              <w:jc w:val="center"/>
              <w:rPr>
                <w:rFonts w:hint="eastAsia"/>
                <w:color w:val="000000"/>
              </w:rPr>
            </w:pPr>
            <w:r>
              <w:rPr>
                <w:rFonts w:hint="eastAsia"/>
                <w:color w:val="000000"/>
              </w:rPr>
              <w:t>25450</w:t>
            </w:r>
          </w:p>
        </w:tc>
        <w:tc>
          <w:tcPr>
            <w:tcW w:w="534" w:type="pct"/>
            <w:shd w:val="clear" w:color="auto" w:fill="FFFFFF"/>
            <w:noWrap w:val="0"/>
            <w:tcMar>
              <w:top w:w="28" w:type="dxa"/>
              <w:left w:w="28" w:type="dxa"/>
              <w:bottom w:w="28" w:type="dxa"/>
              <w:right w:w="28" w:type="dxa"/>
            </w:tcMar>
            <w:vAlign w:val="center"/>
          </w:tcPr>
          <w:p w14:paraId="4D165C1B">
            <w:pPr>
              <w:pStyle w:val="11"/>
              <w:bidi w:val="0"/>
              <w:jc w:val="center"/>
              <w:rPr>
                <w:rFonts w:hint="eastAsia"/>
                <w:color w:val="000000"/>
              </w:rPr>
            </w:pPr>
            <w:r>
              <w:rPr>
                <w:rFonts w:hint="eastAsia"/>
                <w:color w:val="000000"/>
              </w:rPr>
              <w:t>352</w:t>
            </w:r>
          </w:p>
        </w:tc>
        <w:tc>
          <w:tcPr>
            <w:tcW w:w="571" w:type="pct"/>
            <w:shd w:val="clear" w:color="auto" w:fill="FFFFFF"/>
            <w:noWrap w:val="0"/>
            <w:tcMar>
              <w:top w:w="28" w:type="dxa"/>
              <w:left w:w="28" w:type="dxa"/>
              <w:bottom w:w="28" w:type="dxa"/>
              <w:right w:w="28" w:type="dxa"/>
            </w:tcMar>
            <w:vAlign w:val="center"/>
          </w:tcPr>
          <w:p w14:paraId="232FB8F9">
            <w:pPr>
              <w:pStyle w:val="11"/>
              <w:bidi w:val="0"/>
              <w:jc w:val="center"/>
              <w:rPr>
                <w:rFonts w:hint="eastAsia"/>
                <w:color w:val="000000"/>
              </w:rPr>
            </w:pPr>
            <w:r>
              <w:rPr>
                <w:rFonts w:hint="eastAsia"/>
                <w:color w:val="000000"/>
              </w:rPr>
              <w:t>198</w:t>
            </w:r>
          </w:p>
        </w:tc>
        <w:tc>
          <w:tcPr>
            <w:tcW w:w="571" w:type="pct"/>
            <w:shd w:val="clear" w:color="auto" w:fill="FFFFFF"/>
            <w:noWrap w:val="0"/>
            <w:tcMar>
              <w:top w:w="28" w:type="dxa"/>
              <w:left w:w="28" w:type="dxa"/>
              <w:bottom w:w="28" w:type="dxa"/>
              <w:right w:w="28" w:type="dxa"/>
            </w:tcMar>
            <w:vAlign w:val="center"/>
          </w:tcPr>
          <w:p w14:paraId="20B1BD3B">
            <w:pPr>
              <w:pStyle w:val="11"/>
              <w:bidi w:val="0"/>
              <w:jc w:val="center"/>
              <w:rPr>
                <w:rFonts w:hint="eastAsia"/>
                <w:color w:val="000000"/>
              </w:rPr>
            </w:pPr>
            <w:r>
              <w:rPr>
                <w:rFonts w:hint="eastAsia"/>
                <w:color w:val="000000"/>
              </w:rPr>
              <w:t>154</w:t>
            </w:r>
          </w:p>
        </w:tc>
        <w:tc>
          <w:tcPr>
            <w:tcW w:w="571" w:type="pct"/>
            <w:shd w:val="clear" w:color="auto" w:fill="FFFFFF"/>
            <w:noWrap w:val="0"/>
            <w:tcMar>
              <w:top w:w="28" w:type="dxa"/>
              <w:left w:w="28" w:type="dxa"/>
              <w:bottom w:w="28" w:type="dxa"/>
              <w:right w:w="28" w:type="dxa"/>
            </w:tcMar>
            <w:vAlign w:val="center"/>
          </w:tcPr>
          <w:p w14:paraId="3510D5F5">
            <w:pPr>
              <w:pStyle w:val="11"/>
              <w:bidi w:val="0"/>
              <w:jc w:val="center"/>
              <w:rPr>
                <w:rFonts w:hint="eastAsia"/>
                <w:color w:val="000000"/>
              </w:rPr>
            </w:pPr>
            <w:r>
              <w:rPr>
                <w:rFonts w:hint="eastAsia"/>
                <w:color w:val="000000"/>
              </w:rPr>
              <w:t>13.85</w:t>
            </w:r>
          </w:p>
        </w:tc>
        <w:tc>
          <w:tcPr>
            <w:tcW w:w="570" w:type="pct"/>
            <w:shd w:val="clear" w:color="auto" w:fill="FFFFFF"/>
            <w:noWrap w:val="0"/>
            <w:tcMar>
              <w:top w:w="28" w:type="dxa"/>
              <w:left w:w="28" w:type="dxa"/>
              <w:bottom w:w="28" w:type="dxa"/>
              <w:right w:w="28" w:type="dxa"/>
            </w:tcMar>
            <w:vAlign w:val="center"/>
          </w:tcPr>
          <w:p w14:paraId="73571BE3">
            <w:pPr>
              <w:pStyle w:val="11"/>
              <w:bidi w:val="0"/>
              <w:jc w:val="center"/>
              <w:rPr>
                <w:rFonts w:hint="eastAsia"/>
                <w:color w:val="000000"/>
              </w:rPr>
            </w:pPr>
            <w:r>
              <w:rPr>
                <w:rFonts w:hint="eastAsia"/>
                <w:color w:val="000000"/>
              </w:rPr>
              <w:t>139</w:t>
            </w:r>
          </w:p>
        </w:tc>
        <w:tc>
          <w:tcPr>
            <w:tcW w:w="571" w:type="pct"/>
            <w:shd w:val="clear" w:color="auto" w:fill="FFFFFF"/>
            <w:noWrap w:val="0"/>
            <w:tcMar>
              <w:top w:w="28" w:type="dxa"/>
              <w:left w:w="28" w:type="dxa"/>
              <w:bottom w:w="28" w:type="dxa"/>
              <w:right w:w="28" w:type="dxa"/>
            </w:tcMar>
            <w:vAlign w:val="center"/>
          </w:tcPr>
          <w:p w14:paraId="3CE479CA">
            <w:pPr>
              <w:pStyle w:val="11"/>
              <w:bidi w:val="0"/>
              <w:jc w:val="center"/>
              <w:rPr>
                <w:rFonts w:hint="eastAsia"/>
                <w:color w:val="000000"/>
              </w:rPr>
            </w:pPr>
            <w:r>
              <w:rPr>
                <w:rFonts w:hint="eastAsia"/>
                <w:color w:val="000000"/>
              </w:rPr>
              <w:t>5.47</w:t>
            </w:r>
          </w:p>
        </w:tc>
        <w:tc>
          <w:tcPr>
            <w:tcW w:w="570" w:type="pct"/>
            <w:shd w:val="clear" w:color="auto" w:fill="FFFFFF"/>
            <w:noWrap w:val="0"/>
            <w:tcMar>
              <w:top w:w="28" w:type="dxa"/>
              <w:left w:w="28" w:type="dxa"/>
              <w:bottom w:w="28" w:type="dxa"/>
              <w:right w:w="28" w:type="dxa"/>
            </w:tcMar>
            <w:vAlign w:val="center"/>
          </w:tcPr>
          <w:p w14:paraId="00243C89">
            <w:pPr>
              <w:pStyle w:val="11"/>
              <w:bidi w:val="0"/>
              <w:jc w:val="center"/>
              <w:rPr>
                <w:rFonts w:hint="eastAsia"/>
                <w:color w:val="000000"/>
              </w:rPr>
            </w:pPr>
            <w:r>
              <w:rPr>
                <w:rFonts w:hint="eastAsia"/>
                <w:color w:val="000000"/>
              </w:rPr>
              <w:t>8.38</w:t>
            </w:r>
          </w:p>
        </w:tc>
      </w:tr>
      <w:tr w14:paraId="0E8DF38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00440896">
            <w:pPr>
              <w:pStyle w:val="11"/>
              <w:bidi w:val="0"/>
              <w:jc w:val="center"/>
              <w:rPr>
                <w:rFonts w:hint="eastAsia" w:eastAsia="宋体"/>
                <w:color w:val="000000"/>
                <w:lang w:eastAsia="zh-CN"/>
              </w:rPr>
            </w:pPr>
            <w:r>
              <w:rPr>
                <w:rFonts w:hint="eastAsia"/>
                <w:color w:val="000000"/>
              </w:rPr>
              <w:t>江头镇</w:t>
            </w:r>
          </w:p>
        </w:tc>
        <w:tc>
          <w:tcPr>
            <w:tcW w:w="535" w:type="pct"/>
            <w:shd w:val="clear" w:color="auto" w:fill="FFFFFF"/>
            <w:noWrap w:val="0"/>
            <w:tcMar>
              <w:top w:w="28" w:type="dxa"/>
              <w:left w:w="28" w:type="dxa"/>
              <w:bottom w:w="28" w:type="dxa"/>
              <w:right w:w="28" w:type="dxa"/>
            </w:tcMar>
            <w:vAlign w:val="center"/>
          </w:tcPr>
          <w:p w14:paraId="27FA2B1E">
            <w:pPr>
              <w:pStyle w:val="11"/>
              <w:bidi w:val="0"/>
              <w:jc w:val="center"/>
              <w:rPr>
                <w:rFonts w:hint="eastAsia"/>
                <w:color w:val="000000"/>
              </w:rPr>
            </w:pPr>
            <w:r>
              <w:rPr>
                <w:rFonts w:hint="eastAsia"/>
                <w:color w:val="000000"/>
              </w:rPr>
              <w:t>12666</w:t>
            </w:r>
          </w:p>
        </w:tc>
        <w:tc>
          <w:tcPr>
            <w:tcW w:w="534" w:type="pct"/>
            <w:shd w:val="clear" w:color="auto" w:fill="FFFFFF"/>
            <w:noWrap w:val="0"/>
            <w:tcMar>
              <w:top w:w="28" w:type="dxa"/>
              <w:left w:w="28" w:type="dxa"/>
              <w:bottom w:w="28" w:type="dxa"/>
              <w:right w:w="28" w:type="dxa"/>
            </w:tcMar>
            <w:vAlign w:val="center"/>
          </w:tcPr>
          <w:p w14:paraId="5030720B">
            <w:pPr>
              <w:pStyle w:val="11"/>
              <w:bidi w:val="0"/>
              <w:jc w:val="center"/>
              <w:rPr>
                <w:rFonts w:hint="eastAsia"/>
                <w:color w:val="000000"/>
              </w:rPr>
            </w:pPr>
            <w:r>
              <w:rPr>
                <w:rFonts w:hint="eastAsia"/>
                <w:color w:val="000000"/>
              </w:rPr>
              <w:t>160</w:t>
            </w:r>
          </w:p>
        </w:tc>
        <w:tc>
          <w:tcPr>
            <w:tcW w:w="571" w:type="pct"/>
            <w:shd w:val="clear" w:color="auto" w:fill="FFFFFF"/>
            <w:noWrap w:val="0"/>
            <w:tcMar>
              <w:top w:w="28" w:type="dxa"/>
              <w:left w:w="28" w:type="dxa"/>
              <w:bottom w:w="28" w:type="dxa"/>
              <w:right w:w="28" w:type="dxa"/>
            </w:tcMar>
            <w:vAlign w:val="center"/>
          </w:tcPr>
          <w:p w14:paraId="548E7BFC">
            <w:pPr>
              <w:pStyle w:val="11"/>
              <w:bidi w:val="0"/>
              <w:jc w:val="center"/>
              <w:rPr>
                <w:rFonts w:hint="eastAsia"/>
                <w:color w:val="000000"/>
              </w:rPr>
            </w:pPr>
            <w:r>
              <w:rPr>
                <w:rFonts w:hint="eastAsia"/>
                <w:color w:val="000000"/>
              </w:rPr>
              <w:t>77</w:t>
            </w:r>
          </w:p>
        </w:tc>
        <w:tc>
          <w:tcPr>
            <w:tcW w:w="571" w:type="pct"/>
            <w:shd w:val="clear" w:color="auto" w:fill="FFFFFF"/>
            <w:noWrap w:val="0"/>
            <w:tcMar>
              <w:top w:w="28" w:type="dxa"/>
              <w:left w:w="28" w:type="dxa"/>
              <w:bottom w:w="28" w:type="dxa"/>
              <w:right w:w="28" w:type="dxa"/>
            </w:tcMar>
            <w:vAlign w:val="center"/>
          </w:tcPr>
          <w:p w14:paraId="18A29301">
            <w:pPr>
              <w:pStyle w:val="11"/>
              <w:bidi w:val="0"/>
              <w:jc w:val="center"/>
              <w:rPr>
                <w:rFonts w:hint="eastAsia"/>
                <w:color w:val="000000"/>
              </w:rPr>
            </w:pPr>
            <w:r>
              <w:rPr>
                <w:rFonts w:hint="eastAsia"/>
                <w:color w:val="000000"/>
              </w:rPr>
              <w:t>83</w:t>
            </w:r>
          </w:p>
        </w:tc>
        <w:tc>
          <w:tcPr>
            <w:tcW w:w="571" w:type="pct"/>
            <w:shd w:val="clear" w:color="auto" w:fill="FFFFFF"/>
            <w:noWrap w:val="0"/>
            <w:tcMar>
              <w:top w:w="28" w:type="dxa"/>
              <w:left w:w="28" w:type="dxa"/>
              <w:bottom w:w="28" w:type="dxa"/>
              <w:right w:w="28" w:type="dxa"/>
            </w:tcMar>
            <w:vAlign w:val="center"/>
          </w:tcPr>
          <w:p w14:paraId="532EEB4D">
            <w:pPr>
              <w:pStyle w:val="11"/>
              <w:bidi w:val="0"/>
              <w:jc w:val="center"/>
              <w:rPr>
                <w:rFonts w:hint="eastAsia"/>
                <w:color w:val="000000"/>
              </w:rPr>
            </w:pPr>
            <w:r>
              <w:rPr>
                <w:rFonts w:hint="eastAsia"/>
                <w:color w:val="000000"/>
              </w:rPr>
              <w:t>12.61</w:t>
            </w:r>
          </w:p>
        </w:tc>
        <w:tc>
          <w:tcPr>
            <w:tcW w:w="570" w:type="pct"/>
            <w:shd w:val="clear" w:color="auto" w:fill="FFFFFF"/>
            <w:noWrap w:val="0"/>
            <w:tcMar>
              <w:top w:w="28" w:type="dxa"/>
              <w:left w:w="28" w:type="dxa"/>
              <w:bottom w:w="28" w:type="dxa"/>
              <w:right w:w="28" w:type="dxa"/>
            </w:tcMar>
            <w:vAlign w:val="center"/>
          </w:tcPr>
          <w:p w14:paraId="14AAAFE7">
            <w:pPr>
              <w:pStyle w:val="11"/>
              <w:bidi w:val="0"/>
              <w:jc w:val="center"/>
              <w:rPr>
                <w:rFonts w:hint="eastAsia"/>
                <w:color w:val="000000"/>
              </w:rPr>
            </w:pPr>
            <w:r>
              <w:rPr>
                <w:rFonts w:hint="eastAsia"/>
                <w:color w:val="000000"/>
              </w:rPr>
              <w:t>105</w:t>
            </w:r>
          </w:p>
        </w:tc>
        <w:tc>
          <w:tcPr>
            <w:tcW w:w="571" w:type="pct"/>
            <w:shd w:val="clear" w:color="auto" w:fill="FFFFFF"/>
            <w:noWrap w:val="0"/>
            <w:tcMar>
              <w:top w:w="28" w:type="dxa"/>
              <w:left w:w="28" w:type="dxa"/>
              <w:bottom w:w="28" w:type="dxa"/>
              <w:right w:w="28" w:type="dxa"/>
            </w:tcMar>
            <w:vAlign w:val="center"/>
          </w:tcPr>
          <w:p w14:paraId="39BB870F">
            <w:pPr>
              <w:pStyle w:val="11"/>
              <w:bidi w:val="0"/>
              <w:jc w:val="center"/>
              <w:rPr>
                <w:rFonts w:hint="eastAsia"/>
                <w:color w:val="000000"/>
              </w:rPr>
            </w:pPr>
            <w:r>
              <w:rPr>
                <w:rFonts w:hint="eastAsia"/>
                <w:color w:val="000000"/>
              </w:rPr>
              <w:t>8.28</w:t>
            </w:r>
          </w:p>
        </w:tc>
        <w:tc>
          <w:tcPr>
            <w:tcW w:w="570" w:type="pct"/>
            <w:shd w:val="clear" w:color="auto" w:fill="FFFFFF"/>
            <w:noWrap w:val="0"/>
            <w:tcMar>
              <w:top w:w="28" w:type="dxa"/>
              <w:left w:w="28" w:type="dxa"/>
              <w:bottom w:w="28" w:type="dxa"/>
              <w:right w:w="28" w:type="dxa"/>
            </w:tcMar>
            <w:vAlign w:val="center"/>
          </w:tcPr>
          <w:p w14:paraId="3565F9B6">
            <w:pPr>
              <w:pStyle w:val="11"/>
              <w:bidi w:val="0"/>
              <w:jc w:val="center"/>
              <w:rPr>
                <w:rFonts w:hint="eastAsia"/>
                <w:color w:val="000000"/>
              </w:rPr>
            </w:pPr>
            <w:r>
              <w:rPr>
                <w:rFonts w:hint="eastAsia"/>
                <w:color w:val="000000"/>
              </w:rPr>
              <w:t>4.34</w:t>
            </w:r>
          </w:p>
        </w:tc>
      </w:tr>
      <w:tr w14:paraId="71D5BAE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5551F10F">
            <w:pPr>
              <w:pStyle w:val="11"/>
              <w:bidi w:val="0"/>
              <w:jc w:val="center"/>
              <w:rPr>
                <w:rFonts w:hint="eastAsia" w:eastAsia="宋体"/>
                <w:color w:val="000000"/>
                <w:lang w:eastAsia="zh-CN"/>
              </w:rPr>
            </w:pPr>
            <w:r>
              <w:rPr>
                <w:rFonts w:hint="eastAsia"/>
                <w:color w:val="000000"/>
              </w:rPr>
              <w:t>湖口镇</w:t>
            </w:r>
          </w:p>
        </w:tc>
        <w:tc>
          <w:tcPr>
            <w:tcW w:w="535" w:type="pct"/>
            <w:shd w:val="clear" w:color="auto" w:fill="FFFFFF"/>
            <w:noWrap w:val="0"/>
            <w:tcMar>
              <w:top w:w="28" w:type="dxa"/>
              <w:left w:w="28" w:type="dxa"/>
              <w:bottom w:w="28" w:type="dxa"/>
              <w:right w:w="28" w:type="dxa"/>
            </w:tcMar>
            <w:vAlign w:val="center"/>
          </w:tcPr>
          <w:p w14:paraId="628E3ADA">
            <w:pPr>
              <w:pStyle w:val="11"/>
              <w:bidi w:val="0"/>
              <w:jc w:val="center"/>
              <w:rPr>
                <w:rFonts w:hint="eastAsia"/>
                <w:color w:val="000000"/>
              </w:rPr>
            </w:pPr>
            <w:r>
              <w:rPr>
                <w:rFonts w:hint="eastAsia"/>
                <w:color w:val="000000"/>
              </w:rPr>
              <w:t>36953</w:t>
            </w:r>
          </w:p>
        </w:tc>
        <w:tc>
          <w:tcPr>
            <w:tcW w:w="534" w:type="pct"/>
            <w:shd w:val="clear" w:color="auto" w:fill="FFFFFF"/>
            <w:noWrap w:val="0"/>
            <w:tcMar>
              <w:top w:w="28" w:type="dxa"/>
              <w:left w:w="28" w:type="dxa"/>
              <w:bottom w:w="28" w:type="dxa"/>
              <w:right w:w="28" w:type="dxa"/>
            </w:tcMar>
            <w:vAlign w:val="center"/>
          </w:tcPr>
          <w:p w14:paraId="0C1153DD">
            <w:pPr>
              <w:pStyle w:val="11"/>
              <w:bidi w:val="0"/>
              <w:jc w:val="center"/>
              <w:rPr>
                <w:rFonts w:hint="eastAsia"/>
                <w:color w:val="000000"/>
              </w:rPr>
            </w:pPr>
            <w:r>
              <w:rPr>
                <w:rFonts w:hint="eastAsia"/>
                <w:color w:val="000000"/>
              </w:rPr>
              <w:t>528</w:t>
            </w:r>
          </w:p>
        </w:tc>
        <w:tc>
          <w:tcPr>
            <w:tcW w:w="571" w:type="pct"/>
            <w:shd w:val="clear" w:color="auto" w:fill="FFFFFF"/>
            <w:noWrap w:val="0"/>
            <w:tcMar>
              <w:top w:w="28" w:type="dxa"/>
              <w:left w:w="28" w:type="dxa"/>
              <w:bottom w:w="28" w:type="dxa"/>
              <w:right w:w="28" w:type="dxa"/>
            </w:tcMar>
            <w:vAlign w:val="center"/>
          </w:tcPr>
          <w:p w14:paraId="06DBCAC6">
            <w:pPr>
              <w:pStyle w:val="11"/>
              <w:bidi w:val="0"/>
              <w:jc w:val="center"/>
              <w:rPr>
                <w:rFonts w:hint="eastAsia"/>
                <w:color w:val="000000"/>
              </w:rPr>
            </w:pPr>
            <w:r>
              <w:rPr>
                <w:rFonts w:hint="eastAsia"/>
                <w:color w:val="000000"/>
              </w:rPr>
              <w:t>282</w:t>
            </w:r>
          </w:p>
        </w:tc>
        <w:tc>
          <w:tcPr>
            <w:tcW w:w="571" w:type="pct"/>
            <w:shd w:val="clear" w:color="auto" w:fill="FFFFFF"/>
            <w:noWrap w:val="0"/>
            <w:tcMar>
              <w:top w:w="28" w:type="dxa"/>
              <w:left w:w="28" w:type="dxa"/>
              <w:bottom w:w="28" w:type="dxa"/>
              <w:right w:w="28" w:type="dxa"/>
            </w:tcMar>
            <w:vAlign w:val="center"/>
          </w:tcPr>
          <w:p w14:paraId="45EB8141">
            <w:pPr>
              <w:pStyle w:val="11"/>
              <w:bidi w:val="0"/>
              <w:jc w:val="center"/>
              <w:rPr>
                <w:rFonts w:hint="eastAsia"/>
                <w:color w:val="000000"/>
              </w:rPr>
            </w:pPr>
            <w:r>
              <w:rPr>
                <w:rFonts w:hint="eastAsia"/>
                <w:color w:val="000000"/>
              </w:rPr>
              <w:t>246</w:t>
            </w:r>
          </w:p>
        </w:tc>
        <w:tc>
          <w:tcPr>
            <w:tcW w:w="571" w:type="pct"/>
            <w:shd w:val="clear" w:color="auto" w:fill="FFFFFF"/>
            <w:noWrap w:val="0"/>
            <w:tcMar>
              <w:top w:w="28" w:type="dxa"/>
              <w:left w:w="28" w:type="dxa"/>
              <w:bottom w:w="28" w:type="dxa"/>
              <w:right w:w="28" w:type="dxa"/>
            </w:tcMar>
            <w:vAlign w:val="center"/>
          </w:tcPr>
          <w:p w14:paraId="47A71E45">
            <w:pPr>
              <w:pStyle w:val="11"/>
              <w:bidi w:val="0"/>
              <w:jc w:val="center"/>
              <w:rPr>
                <w:rFonts w:hint="eastAsia"/>
                <w:color w:val="000000"/>
              </w:rPr>
            </w:pPr>
            <w:r>
              <w:rPr>
                <w:rFonts w:hint="eastAsia"/>
                <w:color w:val="000000"/>
              </w:rPr>
              <w:t>14.28</w:t>
            </w:r>
          </w:p>
        </w:tc>
        <w:tc>
          <w:tcPr>
            <w:tcW w:w="570" w:type="pct"/>
            <w:shd w:val="clear" w:color="auto" w:fill="FFFFFF"/>
            <w:noWrap w:val="0"/>
            <w:tcMar>
              <w:top w:w="28" w:type="dxa"/>
              <w:left w:w="28" w:type="dxa"/>
              <w:bottom w:w="28" w:type="dxa"/>
              <w:right w:w="28" w:type="dxa"/>
            </w:tcMar>
            <w:vAlign w:val="center"/>
          </w:tcPr>
          <w:p w14:paraId="6DD4BE40">
            <w:pPr>
              <w:pStyle w:val="11"/>
              <w:bidi w:val="0"/>
              <w:jc w:val="center"/>
              <w:rPr>
                <w:rFonts w:hint="eastAsia"/>
                <w:color w:val="000000"/>
              </w:rPr>
            </w:pPr>
            <w:r>
              <w:rPr>
                <w:rFonts w:hint="eastAsia"/>
                <w:color w:val="000000"/>
              </w:rPr>
              <w:t>252</w:t>
            </w:r>
          </w:p>
        </w:tc>
        <w:tc>
          <w:tcPr>
            <w:tcW w:w="571" w:type="pct"/>
            <w:shd w:val="clear" w:color="auto" w:fill="FFFFFF"/>
            <w:noWrap w:val="0"/>
            <w:tcMar>
              <w:top w:w="28" w:type="dxa"/>
              <w:left w:w="28" w:type="dxa"/>
              <w:bottom w:w="28" w:type="dxa"/>
              <w:right w:w="28" w:type="dxa"/>
            </w:tcMar>
            <w:vAlign w:val="center"/>
          </w:tcPr>
          <w:p w14:paraId="4EBA0C2E">
            <w:pPr>
              <w:pStyle w:val="11"/>
              <w:bidi w:val="0"/>
              <w:jc w:val="center"/>
              <w:rPr>
                <w:rFonts w:hint="eastAsia"/>
                <w:color w:val="000000"/>
              </w:rPr>
            </w:pPr>
            <w:r>
              <w:rPr>
                <w:rFonts w:hint="eastAsia"/>
                <w:color w:val="000000"/>
              </w:rPr>
              <w:t>6.81</w:t>
            </w:r>
          </w:p>
        </w:tc>
        <w:tc>
          <w:tcPr>
            <w:tcW w:w="570" w:type="pct"/>
            <w:shd w:val="clear" w:color="auto" w:fill="FFFFFF"/>
            <w:noWrap w:val="0"/>
            <w:tcMar>
              <w:top w:w="28" w:type="dxa"/>
              <w:left w:w="28" w:type="dxa"/>
              <w:bottom w:w="28" w:type="dxa"/>
              <w:right w:w="28" w:type="dxa"/>
            </w:tcMar>
            <w:vAlign w:val="center"/>
          </w:tcPr>
          <w:p w14:paraId="48CD397A">
            <w:pPr>
              <w:pStyle w:val="11"/>
              <w:bidi w:val="0"/>
              <w:jc w:val="center"/>
              <w:rPr>
                <w:rFonts w:hint="eastAsia"/>
                <w:color w:val="000000"/>
              </w:rPr>
            </w:pPr>
            <w:r>
              <w:rPr>
                <w:rFonts w:hint="eastAsia"/>
                <w:color w:val="000000"/>
              </w:rPr>
              <w:t>7.46</w:t>
            </w:r>
          </w:p>
        </w:tc>
      </w:tr>
      <w:tr w14:paraId="42E6450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716075B5">
            <w:pPr>
              <w:pStyle w:val="11"/>
              <w:bidi w:val="0"/>
              <w:jc w:val="center"/>
              <w:rPr>
                <w:rFonts w:hint="eastAsia" w:eastAsia="宋体"/>
                <w:color w:val="000000"/>
                <w:lang w:eastAsia="zh-CN"/>
              </w:rPr>
            </w:pPr>
            <w:r>
              <w:rPr>
                <w:rFonts w:hint="eastAsia"/>
                <w:color w:val="000000"/>
              </w:rPr>
              <w:t>珠玑镇</w:t>
            </w:r>
          </w:p>
        </w:tc>
        <w:tc>
          <w:tcPr>
            <w:tcW w:w="535" w:type="pct"/>
            <w:shd w:val="clear" w:color="auto" w:fill="FFFFFF"/>
            <w:noWrap w:val="0"/>
            <w:tcMar>
              <w:top w:w="28" w:type="dxa"/>
              <w:left w:w="28" w:type="dxa"/>
              <w:bottom w:w="28" w:type="dxa"/>
              <w:right w:w="28" w:type="dxa"/>
            </w:tcMar>
            <w:vAlign w:val="center"/>
          </w:tcPr>
          <w:p w14:paraId="3C7EF21B">
            <w:pPr>
              <w:pStyle w:val="11"/>
              <w:bidi w:val="0"/>
              <w:jc w:val="center"/>
              <w:rPr>
                <w:rFonts w:hint="eastAsia"/>
                <w:color w:val="000000"/>
              </w:rPr>
            </w:pPr>
            <w:r>
              <w:rPr>
                <w:rFonts w:hint="eastAsia"/>
                <w:color w:val="000000"/>
              </w:rPr>
              <w:t>46149</w:t>
            </w:r>
          </w:p>
        </w:tc>
        <w:tc>
          <w:tcPr>
            <w:tcW w:w="534" w:type="pct"/>
            <w:shd w:val="clear" w:color="auto" w:fill="FFFFFF"/>
            <w:noWrap w:val="0"/>
            <w:tcMar>
              <w:top w:w="28" w:type="dxa"/>
              <w:left w:w="28" w:type="dxa"/>
              <w:bottom w:w="28" w:type="dxa"/>
              <w:right w:w="28" w:type="dxa"/>
            </w:tcMar>
            <w:vAlign w:val="center"/>
          </w:tcPr>
          <w:p w14:paraId="21A87A38">
            <w:pPr>
              <w:pStyle w:val="11"/>
              <w:bidi w:val="0"/>
              <w:jc w:val="center"/>
              <w:rPr>
                <w:rFonts w:hint="eastAsia"/>
                <w:color w:val="000000"/>
              </w:rPr>
            </w:pPr>
            <w:r>
              <w:rPr>
                <w:rFonts w:hint="eastAsia"/>
                <w:color w:val="000000"/>
              </w:rPr>
              <w:t>703</w:t>
            </w:r>
          </w:p>
        </w:tc>
        <w:tc>
          <w:tcPr>
            <w:tcW w:w="571" w:type="pct"/>
            <w:shd w:val="clear" w:color="auto" w:fill="FFFFFF"/>
            <w:noWrap w:val="0"/>
            <w:tcMar>
              <w:top w:w="28" w:type="dxa"/>
              <w:left w:w="28" w:type="dxa"/>
              <w:bottom w:w="28" w:type="dxa"/>
              <w:right w:w="28" w:type="dxa"/>
            </w:tcMar>
            <w:vAlign w:val="center"/>
          </w:tcPr>
          <w:p w14:paraId="52F1F1BF">
            <w:pPr>
              <w:pStyle w:val="11"/>
              <w:bidi w:val="0"/>
              <w:jc w:val="center"/>
              <w:rPr>
                <w:rFonts w:hint="eastAsia"/>
                <w:color w:val="000000"/>
              </w:rPr>
            </w:pPr>
            <w:r>
              <w:rPr>
                <w:rFonts w:hint="eastAsia"/>
                <w:color w:val="000000"/>
              </w:rPr>
              <w:t>391</w:t>
            </w:r>
          </w:p>
        </w:tc>
        <w:tc>
          <w:tcPr>
            <w:tcW w:w="571" w:type="pct"/>
            <w:shd w:val="clear" w:color="auto" w:fill="FFFFFF"/>
            <w:noWrap w:val="0"/>
            <w:tcMar>
              <w:top w:w="28" w:type="dxa"/>
              <w:left w:w="28" w:type="dxa"/>
              <w:bottom w:w="28" w:type="dxa"/>
              <w:right w:w="28" w:type="dxa"/>
            </w:tcMar>
            <w:vAlign w:val="center"/>
          </w:tcPr>
          <w:p w14:paraId="60277C98">
            <w:pPr>
              <w:pStyle w:val="11"/>
              <w:bidi w:val="0"/>
              <w:jc w:val="center"/>
              <w:rPr>
                <w:rFonts w:hint="eastAsia"/>
                <w:color w:val="000000"/>
              </w:rPr>
            </w:pPr>
            <w:r>
              <w:rPr>
                <w:rFonts w:hint="eastAsia"/>
                <w:color w:val="000000"/>
              </w:rPr>
              <w:t>312</w:t>
            </w:r>
          </w:p>
        </w:tc>
        <w:tc>
          <w:tcPr>
            <w:tcW w:w="571" w:type="pct"/>
            <w:shd w:val="clear" w:color="auto" w:fill="FFFFFF"/>
            <w:noWrap w:val="0"/>
            <w:tcMar>
              <w:top w:w="28" w:type="dxa"/>
              <w:left w:w="28" w:type="dxa"/>
              <w:bottom w:w="28" w:type="dxa"/>
              <w:right w:w="28" w:type="dxa"/>
            </w:tcMar>
            <w:vAlign w:val="center"/>
          </w:tcPr>
          <w:p w14:paraId="7A6D043D">
            <w:pPr>
              <w:pStyle w:val="11"/>
              <w:bidi w:val="0"/>
              <w:jc w:val="center"/>
              <w:rPr>
                <w:rFonts w:hint="eastAsia"/>
                <w:color w:val="000000"/>
              </w:rPr>
            </w:pPr>
            <w:r>
              <w:rPr>
                <w:rFonts w:hint="eastAsia"/>
                <w:color w:val="000000"/>
              </w:rPr>
              <w:t>15.24</w:t>
            </w:r>
          </w:p>
        </w:tc>
        <w:tc>
          <w:tcPr>
            <w:tcW w:w="570" w:type="pct"/>
            <w:shd w:val="clear" w:color="auto" w:fill="FFFFFF"/>
            <w:noWrap w:val="0"/>
            <w:tcMar>
              <w:top w:w="28" w:type="dxa"/>
              <w:left w:w="28" w:type="dxa"/>
              <w:bottom w:w="28" w:type="dxa"/>
              <w:right w:w="28" w:type="dxa"/>
            </w:tcMar>
            <w:vAlign w:val="center"/>
          </w:tcPr>
          <w:p w14:paraId="44D201A1">
            <w:pPr>
              <w:pStyle w:val="11"/>
              <w:bidi w:val="0"/>
              <w:jc w:val="center"/>
              <w:rPr>
                <w:rFonts w:hint="eastAsia"/>
                <w:color w:val="000000"/>
              </w:rPr>
            </w:pPr>
            <w:r>
              <w:rPr>
                <w:rFonts w:hint="eastAsia"/>
                <w:color w:val="000000"/>
              </w:rPr>
              <w:t>322</w:t>
            </w:r>
          </w:p>
        </w:tc>
        <w:tc>
          <w:tcPr>
            <w:tcW w:w="571" w:type="pct"/>
            <w:shd w:val="clear" w:color="auto" w:fill="FFFFFF"/>
            <w:noWrap w:val="0"/>
            <w:tcMar>
              <w:top w:w="28" w:type="dxa"/>
              <w:left w:w="28" w:type="dxa"/>
              <w:bottom w:w="28" w:type="dxa"/>
              <w:right w:w="28" w:type="dxa"/>
            </w:tcMar>
            <w:vAlign w:val="center"/>
          </w:tcPr>
          <w:p w14:paraId="6BFA411A">
            <w:pPr>
              <w:pStyle w:val="11"/>
              <w:bidi w:val="0"/>
              <w:jc w:val="center"/>
              <w:rPr>
                <w:rFonts w:hint="eastAsia"/>
                <w:color w:val="000000"/>
              </w:rPr>
            </w:pPr>
            <w:r>
              <w:rPr>
                <w:rFonts w:hint="eastAsia"/>
                <w:color w:val="000000"/>
              </w:rPr>
              <w:t>6.98</w:t>
            </w:r>
          </w:p>
        </w:tc>
        <w:tc>
          <w:tcPr>
            <w:tcW w:w="570" w:type="pct"/>
            <w:shd w:val="clear" w:color="auto" w:fill="FFFFFF"/>
            <w:noWrap w:val="0"/>
            <w:tcMar>
              <w:top w:w="28" w:type="dxa"/>
              <w:left w:w="28" w:type="dxa"/>
              <w:bottom w:w="28" w:type="dxa"/>
              <w:right w:w="28" w:type="dxa"/>
            </w:tcMar>
            <w:vAlign w:val="center"/>
          </w:tcPr>
          <w:p w14:paraId="1C9152CC">
            <w:pPr>
              <w:pStyle w:val="11"/>
              <w:bidi w:val="0"/>
              <w:jc w:val="center"/>
              <w:rPr>
                <w:rFonts w:hint="eastAsia"/>
                <w:color w:val="000000"/>
              </w:rPr>
            </w:pPr>
            <w:r>
              <w:rPr>
                <w:rFonts w:hint="eastAsia"/>
                <w:color w:val="000000"/>
              </w:rPr>
              <w:t>8.26</w:t>
            </w:r>
          </w:p>
        </w:tc>
      </w:tr>
      <w:tr w14:paraId="4E28C7D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62208FD8">
            <w:pPr>
              <w:pStyle w:val="11"/>
              <w:bidi w:val="0"/>
              <w:jc w:val="center"/>
              <w:rPr>
                <w:rFonts w:hint="eastAsia" w:eastAsia="宋体"/>
                <w:color w:val="000000"/>
                <w:lang w:eastAsia="zh-CN"/>
              </w:rPr>
            </w:pPr>
            <w:r>
              <w:rPr>
                <w:rFonts w:hint="eastAsia"/>
                <w:color w:val="000000"/>
              </w:rPr>
              <w:t>主田镇</w:t>
            </w:r>
          </w:p>
        </w:tc>
        <w:tc>
          <w:tcPr>
            <w:tcW w:w="535" w:type="pct"/>
            <w:shd w:val="clear" w:color="auto" w:fill="FFFFFF"/>
            <w:noWrap w:val="0"/>
            <w:tcMar>
              <w:top w:w="28" w:type="dxa"/>
              <w:left w:w="28" w:type="dxa"/>
              <w:bottom w:w="28" w:type="dxa"/>
              <w:right w:w="28" w:type="dxa"/>
            </w:tcMar>
            <w:vAlign w:val="center"/>
          </w:tcPr>
          <w:p w14:paraId="468B4E24">
            <w:pPr>
              <w:pStyle w:val="11"/>
              <w:bidi w:val="0"/>
              <w:jc w:val="center"/>
              <w:rPr>
                <w:rFonts w:hint="eastAsia"/>
                <w:color w:val="000000"/>
              </w:rPr>
            </w:pPr>
            <w:r>
              <w:rPr>
                <w:rFonts w:hint="eastAsia"/>
                <w:color w:val="000000"/>
              </w:rPr>
              <w:t>14859</w:t>
            </w:r>
          </w:p>
        </w:tc>
        <w:tc>
          <w:tcPr>
            <w:tcW w:w="534" w:type="pct"/>
            <w:shd w:val="clear" w:color="auto" w:fill="FFFFFF"/>
            <w:noWrap w:val="0"/>
            <w:tcMar>
              <w:top w:w="28" w:type="dxa"/>
              <w:left w:w="28" w:type="dxa"/>
              <w:bottom w:w="28" w:type="dxa"/>
              <w:right w:w="28" w:type="dxa"/>
            </w:tcMar>
            <w:vAlign w:val="center"/>
          </w:tcPr>
          <w:p w14:paraId="1EC9F2CB">
            <w:pPr>
              <w:pStyle w:val="11"/>
              <w:bidi w:val="0"/>
              <w:jc w:val="center"/>
              <w:rPr>
                <w:rFonts w:hint="eastAsia"/>
                <w:color w:val="000000"/>
              </w:rPr>
            </w:pPr>
            <w:r>
              <w:rPr>
                <w:rFonts w:hint="eastAsia"/>
                <w:color w:val="000000"/>
              </w:rPr>
              <w:t>216</w:t>
            </w:r>
          </w:p>
        </w:tc>
        <w:tc>
          <w:tcPr>
            <w:tcW w:w="571" w:type="pct"/>
            <w:shd w:val="clear" w:color="auto" w:fill="FFFFFF"/>
            <w:noWrap w:val="0"/>
            <w:tcMar>
              <w:top w:w="28" w:type="dxa"/>
              <w:left w:w="28" w:type="dxa"/>
              <w:bottom w:w="28" w:type="dxa"/>
              <w:right w:w="28" w:type="dxa"/>
            </w:tcMar>
            <w:vAlign w:val="center"/>
          </w:tcPr>
          <w:p w14:paraId="1A961F1E">
            <w:pPr>
              <w:pStyle w:val="11"/>
              <w:bidi w:val="0"/>
              <w:jc w:val="center"/>
              <w:rPr>
                <w:rFonts w:hint="eastAsia"/>
                <w:color w:val="000000"/>
              </w:rPr>
            </w:pPr>
            <w:r>
              <w:rPr>
                <w:rFonts w:hint="eastAsia"/>
                <w:color w:val="000000"/>
              </w:rPr>
              <w:t>104</w:t>
            </w:r>
          </w:p>
        </w:tc>
        <w:tc>
          <w:tcPr>
            <w:tcW w:w="571" w:type="pct"/>
            <w:shd w:val="clear" w:color="auto" w:fill="FFFFFF"/>
            <w:noWrap w:val="0"/>
            <w:tcMar>
              <w:top w:w="28" w:type="dxa"/>
              <w:left w:w="28" w:type="dxa"/>
              <w:bottom w:w="28" w:type="dxa"/>
              <w:right w:w="28" w:type="dxa"/>
            </w:tcMar>
            <w:vAlign w:val="center"/>
          </w:tcPr>
          <w:p w14:paraId="3D575A26">
            <w:pPr>
              <w:pStyle w:val="11"/>
              <w:bidi w:val="0"/>
              <w:jc w:val="center"/>
              <w:rPr>
                <w:rFonts w:hint="eastAsia"/>
                <w:color w:val="000000"/>
              </w:rPr>
            </w:pPr>
            <w:r>
              <w:rPr>
                <w:rFonts w:hint="eastAsia"/>
                <w:color w:val="000000"/>
              </w:rPr>
              <w:t>112</w:t>
            </w:r>
          </w:p>
        </w:tc>
        <w:tc>
          <w:tcPr>
            <w:tcW w:w="571" w:type="pct"/>
            <w:shd w:val="clear" w:color="auto" w:fill="FFFFFF"/>
            <w:noWrap w:val="0"/>
            <w:tcMar>
              <w:top w:w="28" w:type="dxa"/>
              <w:left w:w="28" w:type="dxa"/>
              <w:bottom w:w="28" w:type="dxa"/>
              <w:right w:w="28" w:type="dxa"/>
            </w:tcMar>
            <w:vAlign w:val="center"/>
          </w:tcPr>
          <w:p w14:paraId="2C59B441">
            <w:pPr>
              <w:pStyle w:val="11"/>
              <w:bidi w:val="0"/>
              <w:jc w:val="center"/>
              <w:rPr>
                <w:rFonts w:hint="eastAsia"/>
                <w:color w:val="000000"/>
              </w:rPr>
            </w:pPr>
            <w:r>
              <w:rPr>
                <w:rFonts w:hint="eastAsia"/>
                <w:color w:val="000000"/>
              </w:rPr>
              <w:t>14.54</w:t>
            </w:r>
          </w:p>
        </w:tc>
        <w:tc>
          <w:tcPr>
            <w:tcW w:w="570" w:type="pct"/>
            <w:shd w:val="clear" w:color="auto" w:fill="FFFFFF"/>
            <w:noWrap w:val="0"/>
            <w:tcMar>
              <w:top w:w="28" w:type="dxa"/>
              <w:left w:w="28" w:type="dxa"/>
              <w:bottom w:w="28" w:type="dxa"/>
              <w:right w:w="28" w:type="dxa"/>
            </w:tcMar>
            <w:vAlign w:val="center"/>
          </w:tcPr>
          <w:p w14:paraId="509A24A7">
            <w:pPr>
              <w:pStyle w:val="11"/>
              <w:bidi w:val="0"/>
              <w:jc w:val="center"/>
              <w:rPr>
                <w:rFonts w:hint="eastAsia"/>
                <w:color w:val="000000"/>
              </w:rPr>
            </w:pPr>
            <w:r>
              <w:rPr>
                <w:rFonts w:hint="eastAsia"/>
                <w:color w:val="000000"/>
              </w:rPr>
              <w:t>102</w:t>
            </w:r>
          </w:p>
        </w:tc>
        <w:tc>
          <w:tcPr>
            <w:tcW w:w="571" w:type="pct"/>
            <w:shd w:val="clear" w:color="auto" w:fill="FFFFFF"/>
            <w:noWrap w:val="0"/>
            <w:tcMar>
              <w:top w:w="28" w:type="dxa"/>
              <w:left w:w="28" w:type="dxa"/>
              <w:bottom w:w="28" w:type="dxa"/>
              <w:right w:w="28" w:type="dxa"/>
            </w:tcMar>
            <w:vAlign w:val="center"/>
          </w:tcPr>
          <w:p w14:paraId="7AD3F56C">
            <w:pPr>
              <w:pStyle w:val="11"/>
              <w:bidi w:val="0"/>
              <w:jc w:val="center"/>
              <w:rPr>
                <w:rFonts w:hint="eastAsia"/>
                <w:color w:val="000000"/>
              </w:rPr>
            </w:pPr>
            <w:r>
              <w:rPr>
                <w:rFonts w:hint="eastAsia"/>
                <w:color w:val="000000"/>
              </w:rPr>
              <w:t>6.87</w:t>
            </w:r>
          </w:p>
        </w:tc>
        <w:tc>
          <w:tcPr>
            <w:tcW w:w="570" w:type="pct"/>
            <w:shd w:val="clear" w:color="auto" w:fill="FFFFFF"/>
            <w:noWrap w:val="0"/>
            <w:tcMar>
              <w:top w:w="28" w:type="dxa"/>
              <w:left w:w="28" w:type="dxa"/>
              <w:bottom w:w="28" w:type="dxa"/>
              <w:right w:w="28" w:type="dxa"/>
            </w:tcMar>
            <w:vAlign w:val="center"/>
          </w:tcPr>
          <w:p w14:paraId="455D2C66">
            <w:pPr>
              <w:pStyle w:val="11"/>
              <w:bidi w:val="0"/>
              <w:jc w:val="center"/>
              <w:rPr>
                <w:rFonts w:hint="eastAsia"/>
                <w:color w:val="000000"/>
              </w:rPr>
            </w:pPr>
            <w:r>
              <w:rPr>
                <w:rFonts w:hint="eastAsia"/>
                <w:color w:val="000000"/>
              </w:rPr>
              <w:t>7.67</w:t>
            </w:r>
          </w:p>
        </w:tc>
      </w:tr>
      <w:tr w14:paraId="22D9EF7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22BDAD96">
            <w:pPr>
              <w:pStyle w:val="11"/>
              <w:bidi w:val="0"/>
              <w:jc w:val="center"/>
              <w:rPr>
                <w:rFonts w:hint="eastAsia" w:eastAsia="宋体"/>
                <w:color w:val="000000"/>
                <w:lang w:eastAsia="zh-CN"/>
              </w:rPr>
            </w:pPr>
            <w:r>
              <w:rPr>
                <w:rFonts w:hint="eastAsia"/>
                <w:color w:val="000000"/>
              </w:rPr>
              <w:t>古市镇</w:t>
            </w:r>
          </w:p>
        </w:tc>
        <w:tc>
          <w:tcPr>
            <w:tcW w:w="535" w:type="pct"/>
            <w:shd w:val="clear" w:color="auto" w:fill="FFFFFF"/>
            <w:noWrap w:val="0"/>
            <w:tcMar>
              <w:top w:w="28" w:type="dxa"/>
              <w:left w:w="28" w:type="dxa"/>
              <w:bottom w:w="28" w:type="dxa"/>
              <w:right w:w="28" w:type="dxa"/>
            </w:tcMar>
            <w:vAlign w:val="center"/>
          </w:tcPr>
          <w:p w14:paraId="2122EFEF">
            <w:pPr>
              <w:pStyle w:val="11"/>
              <w:bidi w:val="0"/>
              <w:jc w:val="center"/>
              <w:rPr>
                <w:rFonts w:hint="eastAsia"/>
                <w:color w:val="000000"/>
              </w:rPr>
            </w:pPr>
            <w:r>
              <w:rPr>
                <w:rFonts w:hint="eastAsia"/>
                <w:color w:val="000000"/>
              </w:rPr>
              <w:t>21911</w:t>
            </w:r>
          </w:p>
        </w:tc>
        <w:tc>
          <w:tcPr>
            <w:tcW w:w="534" w:type="pct"/>
            <w:shd w:val="clear" w:color="auto" w:fill="FFFFFF"/>
            <w:noWrap w:val="0"/>
            <w:tcMar>
              <w:top w:w="28" w:type="dxa"/>
              <w:left w:w="28" w:type="dxa"/>
              <w:bottom w:w="28" w:type="dxa"/>
              <w:right w:w="28" w:type="dxa"/>
            </w:tcMar>
            <w:vAlign w:val="center"/>
          </w:tcPr>
          <w:p w14:paraId="4221171F">
            <w:pPr>
              <w:pStyle w:val="11"/>
              <w:bidi w:val="0"/>
              <w:jc w:val="center"/>
              <w:rPr>
                <w:rFonts w:hint="eastAsia"/>
                <w:color w:val="000000"/>
              </w:rPr>
            </w:pPr>
            <w:r>
              <w:rPr>
                <w:rFonts w:hint="eastAsia"/>
                <w:color w:val="000000"/>
              </w:rPr>
              <w:t>307</w:t>
            </w:r>
          </w:p>
        </w:tc>
        <w:tc>
          <w:tcPr>
            <w:tcW w:w="571" w:type="pct"/>
            <w:shd w:val="clear" w:color="auto" w:fill="FFFFFF"/>
            <w:noWrap w:val="0"/>
            <w:tcMar>
              <w:top w:w="28" w:type="dxa"/>
              <w:left w:w="28" w:type="dxa"/>
              <w:bottom w:w="28" w:type="dxa"/>
              <w:right w:w="28" w:type="dxa"/>
            </w:tcMar>
            <w:vAlign w:val="center"/>
          </w:tcPr>
          <w:p w14:paraId="4EF4EE24">
            <w:pPr>
              <w:pStyle w:val="11"/>
              <w:bidi w:val="0"/>
              <w:jc w:val="center"/>
              <w:rPr>
                <w:rFonts w:hint="eastAsia"/>
                <w:color w:val="000000"/>
              </w:rPr>
            </w:pPr>
            <w:r>
              <w:rPr>
                <w:rFonts w:hint="eastAsia"/>
                <w:color w:val="000000"/>
              </w:rPr>
              <w:t>160</w:t>
            </w:r>
          </w:p>
        </w:tc>
        <w:tc>
          <w:tcPr>
            <w:tcW w:w="571" w:type="pct"/>
            <w:shd w:val="clear" w:color="auto" w:fill="FFFFFF"/>
            <w:noWrap w:val="0"/>
            <w:tcMar>
              <w:top w:w="28" w:type="dxa"/>
              <w:left w:w="28" w:type="dxa"/>
              <w:bottom w:w="28" w:type="dxa"/>
              <w:right w:w="28" w:type="dxa"/>
            </w:tcMar>
            <w:vAlign w:val="center"/>
          </w:tcPr>
          <w:p w14:paraId="66C7966E">
            <w:pPr>
              <w:pStyle w:val="11"/>
              <w:bidi w:val="0"/>
              <w:jc w:val="center"/>
              <w:rPr>
                <w:rFonts w:hint="eastAsia"/>
                <w:color w:val="000000"/>
              </w:rPr>
            </w:pPr>
            <w:r>
              <w:rPr>
                <w:rFonts w:hint="eastAsia"/>
                <w:color w:val="000000"/>
              </w:rPr>
              <w:t>147</w:t>
            </w:r>
          </w:p>
        </w:tc>
        <w:tc>
          <w:tcPr>
            <w:tcW w:w="571" w:type="pct"/>
            <w:shd w:val="clear" w:color="auto" w:fill="FFFFFF"/>
            <w:noWrap w:val="0"/>
            <w:tcMar>
              <w:top w:w="28" w:type="dxa"/>
              <w:left w:w="28" w:type="dxa"/>
              <w:bottom w:w="28" w:type="dxa"/>
              <w:right w:w="28" w:type="dxa"/>
            </w:tcMar>
            <w:vAlign w:val="center"/>
          </w:tcPr>
          <w:p w14:paraId="10407CC9">
            <w:pPr>
              <w:pStyle w:val="11"/>
              <w:bidi w:val="0"/>
              <w:jc w:val="center"/>
              <w:rPr>
                <w:rFonts w:hint="eastAsia"/>
                <w:color w:val="000000"/>
              </w:rPr>
            </w:pPr>
            <w:r>
              <w:rPr>
                <w:rFonts w:hint="eastAsia"/>
                <w:color w:val="000000"/>
              </w:rPr>
              <w:t>14.03</w:t>
            </w:r>
          </w:p>
        </w:tc>
        <w:tc>
          <w:tcPr>
            <w:tcW w:w="570" w:type="pct"/>
            <w:shd w:val="clear" w:color="auto" w:fill="FFFFFF"/>
            <w:noWrap w:val="0"/>
            <w:tcMar>
              <w:top w:w="28" w:type="dxa"/>
              <w:left w:w="28" w:type="dxa"/>
              <w:bottom w:w="28" w:type="dxa"/>
              <w:right w:w="28" w:type="dxa"/>
            </w:tcMar>
            <w:vAlign w:val="center"/>
          </w:tcPr>
          <w:p w14:paraId="4C3A632B">
            <w:pPr>
              <w:pStyle w:val="11"/>
              <w:bidi w:val="0"/>
              <w:jc w:val="center"/>
              <w:rPr>
                <w:rFonts w:hint="eastAsia"/>
                <w:color w:val="000000"/>
              </w:rPr>
            </w:pPr>
            <w:r>
              <w:rPr>
                <w:rFonts w:hint="eastAsia"/>
                <w:color w:val="000000"/>
              </w:rPr>
              <w:t>118</w:t>
            </w:r>
          </w:p>
        </w:tc>
        <w:tc>
          <w:tcPr>
            <w:tcW w:w="571" w:type="pct"/>
            <w:shd w:val="clear" w:color="auto" w:fill="FFFFFF"/>
            <w:noWrap w:val="0"/>
            <w:tcMar>
              <w:top w:w="28" w:type="dxa"/>
              <w:left w:w="28" w:type="dxa"/>
              <w:bottom w:w="28" w:type="dxa"/>
              <w:right w:w="28" w:type="dxa"/>
            </w:tcMar>
            <w:vAlign w:val="center"/>
          </w:tcPr>
          <w:p w14:paraId="3BFDC750">
            <w:pPr>
              <w:pStyle w:val="11"/>
              <w:bidi w:val="0"/>
              <w:jc w:val="center"/>
              <w:rPr>
                <w:rFonts w:hint="eastAsia"/>
                <w:color w:val="000000"/>
              </w:rPr>
            </w:pPr>
            <w:r>
              <w:rPr>
                <w:rFonts w:hint="eastAsia"/>
                <w:color w:val="000000"/>
              </w:rPr>
              <w:t>5.39</w:t>
            </w:r>
          </w:p>
        </w:tc>
        <w:tc>
          <w:tcPr>
            <w:tcW w:w="570" w:type="pct"/>
            <w:shd w:val="clear" w:color="auto" w:fill="FFFFFF"/>
            <w:noWrap w:val="0"/>
            <w:tcMar>
              <w:top w:w="28" w:type="dxa"/>
              <w:left w:w="28" w:type="dxa"/>
              <w:bottom w:w="28" w:type="dxa"/>
              <w:right w:w="28" w:type="dxa"/>
            </w:tcMar>
            <w:vAlign w:val="center"/>
          </w:tcPr>
          <w:p w14:paraId="2F3DAEB6">
            <w:pPr>
              <w:pStyle w:val="11"/>
              <w:bidi w:val="0"/>
              <w:jc w:val="center"/>
              <w:rPr>
                <w:rFonts w:hint="eastAsia"/>
                <w:color w:val="000000"/>
              </w:rPr>
            </w:pPr>
            <w:r>
              <w:rPr>
                <w:rFonts w:hint="eastAsia"/>
                <w:color w:val="000000"/>
              </w:rPr>
              <w:t>8.64</w:t>
            </w:r>
          </w:p>
        </w:tc>
      </w:tr>
      <w:tr w14:paraId="377A7D6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2F68915A">
            <w:pPr>
              <w:pStyle w:val="11"/>
              <w:bidi w:val="0"/>
              <w:jc w:val="center"/>
              <w:rPr>
                <w:rFonts w:hint="eastAsia" w:eastAsia="宋体"/>
                <w:color w:val="000000"/>
                <w:lang w:eastAsia="zh-CN"/>
              </w:rPr>
            </w:pPr>
            <w:r>
              <w:rPr>
                <w:rFonts w:hint="eastAsia"/>
                <w:color w:val="000000"/>
              </w:rPr>
              <w:t>全安镇</w:t>
            </w:r>
          </w:p>
        </w:tc>
        <w:tc>
          <w:tcPr>
            <w:tcW w:w="535" w:type="pct"/>
            <w:shd w:val="clear" w:color="auto" w:fill="FFFFFF"/>
            <w:noWrap w:val="0"/>
            <w:tcMar>
              <w:top w:w="28" w:type="dxa"/>
              <w:left w:w="28" w:type="dxa"/>
              <w:bottom w:w="28" w:type="dxa"/>
              <w:right w:w="28" w:type="dxa"/>
            </w:tcMar>
            <w:vAlign w:val="center"/>
          </w:tcPr>
          <w:p w14:paraId="018D26F6">
            <w:pPr>
              <w:pStyle w:val="11"/>
              <w:bidi w:val="0"/>
              <w:jc w:val="center"/>
              <w:rPr>
                <w:rFonts w:hint="eastAsia"/>
                <w:color w:val="000000"/>
              </w:rPr>
            </w:pPr>
            <w:r>
              <w:rPr>
                <w:rFonts w:hint="eastAsia"/>
                <w:color w:val="000000"/>
              </w:rPr>
              <w:t>30476</w:t>
            </w:r>
          </w:p>
        </w:tc>
        <w:tc>
          <w:tcPr>
            <w:tcW w:w="534" w:type="pct"/>
            <w:shd w:val="clear" w:color="auto" w:fill="FFFFFF"/>
            <w:noWrap w:val="0"/>
            <w:tcMar>
              <w:top w:w="28" w:type="dxa"/>
              <w:left w:w="28" w:type="dxa"/>
              <w:bottom w:w="28" w:type="dxa"/>
              <w:right w:w="28" w:type="dxa"/>
            </w:tcMar>
            <w:vAlign w:val="center"/>
          </w:tcPr>
          <w:p w14:paraId="671594E7">
            <w:pPr>
              <w:pStyle w:val="11"/>
              <w:bidi w:val="0"/>
              <w:jc w:val="center"/>
              <w:rPr>
                <w:rFonts w:hint="eastAsia"/>
                <w:color w:val="000000"/>
              </w:rPr>
            </w:pPr>
            <w:r>
              <w:rPr>
                <w:rFonts w:hint="eastAsia"/>
                <w:color w:val="000000"/>
              </w:rPr>
              <w:t>416</w:t>
            </w:r>
          </w:p>
        </w:tc>
        <w:tc>
          <w:tcPr>
            <w:tcW w:w="571" w:type="pct"/>
            <w:shd w:val="clear" w:color="auto" w:fill="FFFFFF"/>
            <w:noWrap w:val="0"/>
            <w:tcMar>
              <w:top w:w="28" w:type="dxa"/>
              <w:left w:w="28" w:type="dxa"/>
              <w:bottom w:w="28" w:type="dxa"/>
              <w:right w:w="28" w:type="dxa"/>
            </w:tcMar>
            <w:vAlign w:val="center"/>
          </w:tcPr>
          <w:p w14:paraId="18B07772">
            <w:pPr>
              <w:pStyle w:val="11"/>
              <w:bidi w:val="0"/>
              <w:jc w:val="center"/>
              <w:rPr>
                <w:rFonts w:hint="eastAsia"/>
                <w:color w:val="000000"/>
              </w:rPr>
            </w:pPr>
            <w:r>
              <w:rPr>
                <w:rFonts w:hint="eastAsia"/>
                <w:color w:val="000000"/>
              </w:rPr>
              <w:t>215</w:t>
            </w:r>
          </w:p>
        </w:tc>
        <w:tc>
          <w:tcPr>
            <w:tcW w:w="571" w:type="pct"/>
            <w:shd w:val="clear" w:color="auto" w:fill="FFFFFF"/>
            <w:noWrap w:val="0"/>
            <w:tcMar>
              <w:top w:w="28" w:type="dxa"/>
              <w:left w:w="28" w:type="dxa"/>
              <w:bottom w:w="28" w:type="dxa"/>
              <w:right w:w="28" w:type="dxa"/>
            </w:tcMar>
            <w:vAlign w:val="center"/>
          </w:tcPr>
          <w:p w14:paraId="3F7A341E">
            <w:pPr>
              <w:pStyle w:val="11"/>
              <w:bidi w:val="0"/>
              <w:jc w:val="center"/>
              <w:rPr>
                <w:rFonts w:hint="eastAsia"/>
                <w:color w:val="000000"/>
              </w:rPr>
            </w:pPr>
            <w:r>
              <w:rPr>
                <w:rFonts w:hint="eastAsia"/>
                <w:color w:val="000000"/>
              </w:rPr>
              <w:t>201</w:t>
            </w:r>
          </w:p>
        </w:tc>
        <w:tc>
          <w:tcPr>
            <w:tcW w:w="571" w:type="pct"/>
            <w:shd w:val="clear" w:color="auto" w:fill="FFFFFF"/>
            <w:noWrap w:val="0"/>
            <w:tcMar>
              <w:top w:w="28" w:type="dxa"/>
              <w:left w:w="28" w:type="dxa"/>
              <w:bottom w:w="28" w:type="dxa"/>
              <w:right w:w="28" w:type="dxa"/>
            </w:tcMar>
            <w:vAlign w:val="center"/>
          </w:tcPr>
          <w:p w14:paraId="2970816E">
            <w:pPr>
              <w:pStyle w:val="11"/>
              <w:bidi w:val="0"/>
              <w:jc w:val="center"/>
              <w:rPr>
                <w:rFonts w:hint="eastAsia"/>
                <w:color w:val="000000"/>
              </w:rPr>
            </w:pPr>
            <w:r>
              <w:rPr>
                <w:rFonts w:hint="eastAsia"/>
                <w:color w:val="000000"/>
              </w:rPr>
              <w:t>13.65</w:t>
            </w:r>
          </w:p>
        </w:tc>
        <w:tc>
          <w:tcPr>
            <w:tcW w:w="570" w:type="pct"/>
            <w:shd w:val="clear" w:color="auto" w:fill="FFFFFF"/>
            <w:noWrap w:val="0"/>
            <w:tcMar>
              <w:top w:w="28" w:type="dxa"/>
              <w:left w:w="28" w:type="dxa"/>
              <w:bottom w:w="28" w:type="dxa"/>
              <w:right w:w="28" w:type="dxa"/>
            </w:tcMar>
            <w:vAlign w:val="center"/>
          </w:tcPr>
          <w:p w14:paraId="2C85FF86">
            <w:pPr>
              <w:pStyle w:val="11"/>
              <w:bidi w:val="0"/>
              <w:jc w:val="center"/>
              <w:rPr>
                <w:rFonts w:hint="eastAsia"/>
                <w:color w:val="000000"/>
              </w:rPr>
            </w:pPr>
            <w:r>
              <w:rPr>
                <w:rFonts w:hint="eastAsia"/>
                <w:color w:val="000000"/>
              </w:rPr>
              <w:t>208</w:t>
            </w:r>
          </w:p>
        </w:tc>
        <w:tc>
          <w:tcPr>
            <w:tcW w:w="571" w:type="pct"/>
            <w:shd w:val="clear" w:color="auto" w:fill="FFFFFF"/>
            <w:noWrap w:val="0"/>
            <w:tcMar>
              <w:top w:w="28" w:type="dxa"/>
              <w:left w:w="28" w:type="dxa"/>
              <w:bottom w:w="28" w:type="dxa"/>
              <w:right w:w="28" w:type="dxa"/>
            </w:tcMar>
            <w:vAlign w:val="center"/>
          </w:tcPr>
          <w:p w14:paraId="6D73463E">
            <w:pPr>
              <w:pStyle w:val="11"/>
              <w:bidi w:val="0"/>
              <w:jc w:val="center"/>
              <w:rPr>
                <w:rFonts w:hint="eastAsia"/>
                <w:color w:val="000000"/>
              </w:rPr>
            </w:pPr>
            <w:r>
              <w:rPr>
                <w:rFonts w:hint="eastAsia"/>
                <w:color w:val="000000"/>
              </w:rPr>
              <w:t>6.83</w:t>
            </w:r>
          </w:p>
        </w:tc>
        <w:tc>
          <w:tcPr>
            <w:tcW w:w="570" w:type="pct"/>
            <w:shd w:val="clear" w:color="auto" w:fill="FFFFFF"/>
            <w:noWrap w:val="0"/>
            <w:tcMar>
              <w:top w:w="28" w:type="dxa"/>
              <w:left w:w="28" w:type="dxa"/>
              <w:bottom w:w="28" w:type="dxa"/>
              <w:right w:w="28" w:type="dxa"/>
            </w:tcMar>
            <w:vAlign w:val="center"/>
          </w:tcPr>
          <w:p w14:paraId="76C90E96">
            <w:pPr>
              <w:pStyle w:val="11"/>
              <w:bidi w:val="0"/>
              <w:jc w:val="center"/>
              <w:rPr>
                <w:rFonts w:hint="eastAsia"/>
                <w:color w:val="000000"/>
              </w:rPr>
            </w:pPr>
            <w:r>
              <w:rPr>
                <w:rFonts w:hint="eastAsia"/>
                <w:color w:val="000000"/>
              </w:rPr>
              <w:t>6.83</w:t>
            </w:r>
          </w:p>
        </w:tc>
      </w:tr>
      <w:tr w14:paraId="64A28AA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52572537">
            <w:pPr>
              <w:pStyle w:val="11"/>
              <w:bidi w:val="0"/>
              <w:jc w:val="center"/>
              <w:rPr>
                <w:rFonts w:hint="eastAsia" w:eastAsia="宋体"/>
                <w:color w:val="000000"/>
                <w:lang w:eastAsia="zh-CN"/>
              </w:rPr>
            </w:pPr>
            <w:r>
              <w:rPr>
                <w:rFonts w:hint="eastAsia"/>
                <w:color w:val="000000"/>
              </w:rPr>
              <w:t>百顺镇</w:t>
            </w:r>
          </w:p>
        </w:tc>
        <w:tc>
          <w:tcPr>
            <w:tcW w:w="535" w:type="pct"/>
            <w:shd w:val="clear" w:color="auto" w:fill="FFFFFF"/>
            <w:noWrap w:val="0"/>
            <w:tcMar>
              <w:top w:w="28" w:type="dxa"/>
              <w:left w:w="28" w:type="dxa"/>
              <w:bottom w:w="28" w:type="dxa"/>
              <w:right w:w="28" w:type="dxa"/>
            </w:tcMar>
            <w:vAlign w:val="center"/>
          </w:tcPr>
          <w:p w14:paraId="0DF0AA19">
            <w:pPr>
              <w:pStyle w:val="11"/>
              <w:bidi w:val="0"/>
              <w:jc w:val="center"/>
              <w:rPr>
                <w:rFonts w:hint="eastAsia"/>
                <w:color w:val="000000"/>
              </w:rPr>
            </w:pPr>
            <w:r>
              <w:rPr>
                <w:rFonts w:hint="eastAsia"/>
                <w:color w:val="000000"/>
              </w:rPr>
              <w:t>13369</w:t>
            </w:r>
          </w:p>
        </w:tc>
        <w:tc>
          <w:tcPr>
            <w:tcW w:w="534" w:type="pct"/>
            <w:shd w:val="clear" w:color="auto" w:fill="FFFFFF"/>
            <w:noWrap w:val="0"/>
            <w:tcMar>
              <w:top w:w="28" w:type="dxa"/>
              <w:left w:w="28" w:type="dxa"/>
              <w:bottom w:w="28" w:type="dxa"/>
              <w:right w:w="28" w:type="dxa"/>
            </w:tcMar>
            <w:vAlign w:val="center"/>
          </w:tcPr>
          <w:p w14:paraId="014DAFB8">
            <w:pPr>
              <w:pStyle w:val="11"/>
              <w:bidi w:val="0"/>
              <w:jc w:val="center"/>
              <w:rPr>
                <w:rFonts w:hint="eastAsia"/>
                <w:color w:val="000000"/>
              </w:rPr>
            </w:pPr>
            <w:r>
              <w:rPr>
                <w:rFonts w:hint="eastAsia"/>
                <w:color w:val="000000"/>
              </w:rPr>
              <w:t>171</w:t>
            </w:r>
          </w:p>
        </w:tc>
        <w:tc>
          <w:tcPr>
            <w:tcW w:w="571" w:type="pct"/>
            <w:shd w:val="clear" w:color="auto" w:fill="FFFFFF"/>
            <w:noWrap w:val="0"/>
            <w:tcMar>
              <w:top w:w="28" w:type="dxa"/>
              <w:left w:w="28" w:type="dxa"/>
              <w:bottom w:w="28" w:type="dxa"/>
              <w:right w:w="28" w:type="dxa"/>
            </w:tcMar>
            <w:vAlign w:val="center"/>
          </w:tcPr>
          <w:p w14:paraId="321C205E">
            <w:pPr>
              <w:pStyle w:val="11"/>
              <w:bidi w:val="0"/>
              <w:jc w:val="center"/>
              <w:rPr>
                <w:rFonts w:hint="eastAsia"/>
                <w:color w:val="000000"/>
              </w:rPr>
            </w:pPr>
            <w:r>
              <w:rPr>
                <w:rFonts w:hint="eastAsia"/>
                <w:color w:val="000000"/>
              </w:rPr>
              <w:t>94</w:t>
            </w:r>
          </w:p>
        </w:tc>
        <w:tc>
          <w:tcPr>
            <w:tcW w:w="571" w:type="pct"/>
            <w:shd w:val="clear" w:color="auto" w:fill="FFFFFF"/>
            <w:noWrap w:val="0"/>
            <w:tcMar>
              <w:top w:w="28" w:type="dxa"/>
              <w:left w:w="28" w:type="dxa"/>
              <w:bottom w:w="28" w:type="dxa"/>
              <w:right w:w="28" w:type="dxa"/>
            </w:tcMar>
            <w:vAlign w:val="center"/>
          </w:tcPr>
          <w:p w14:paraId="3A6C975F">
            <w:pPr>
              <w:pStyle w:val="11"/>
              <w:bidi w:val="0"/>
              <w:jc w:val="center"/>
              <w:rPr>
                <w:rFonts w:hint="eastAsia"/>
                <w:color w:val="000000"/>
              </w:rPr>
            </w:pPr>
            <w:r>
              <w:rPr>
                <w:rFonts w:hint="eastAsia"/>
                <w:color w:val="000000"/>
              </w:rPr>
              <w:t>77</w:t>
            </w:r>
          </w:p>
        </w:tc>
        <w:tc>
          <w:tcPr>
            <w:tcW w:w="571" w:type="pct"/>
            <w:shd w:val="clear" w:color="auto" w:fill="FFFFFF"/>
            <w:noWrap w:val="0"/>
            <w:tcMar>
              <w:top w:w="28" w:type="dxa"/>
              <w:left w:w="28" w:type="dxa"/>
              <w:bottom w:w="28" w:type="dxa"/>
              <w:right w:w="28" w:type="dxa"/>
            </w:tcMar>
            <w:vAlign w:val="center"/>
          </w:tcPr>
          <w:p w14:paraId="65F6C862">
            <w:pPr>
              <w:pStyle w:val="11"/>
              <w:bidi w:val="0"/>
              <w:jc w:val="center"/>
              <w:rPr>
                <w:rFonts w:hint="eastAsia"/>
                <w:color w:val="000000"/>
              </w:rPr>
            </w:pPr>
            <w:r>
              <w:rPr>
                <w:rFonts w:hint="eastAsia"/>
                <w:color w:val="000000"/>
              </w:rPr>
              <w:t>12.80</w:t>
            </w:r>
          </w:p>
        </w:tc>
        <w:tc>
          <w:tcPr>
            <w:tcW w:w="570" w:type="pct"/>
            <w:shd w:val="clear" w:color="auto" w:fill="FFFFFF"/>
            <w:noWrap w:val="0"/>
            <w:tcMar>
              <w:top w:w="28" w:type="dxa"/>
              <w:left w:w="28" w:type="dxa"/>
              <w:bottom w:w="28" w:type="dxa"/>
              <w:right w:w="28" w:type="dxa"/>
            </w:tcMar>
            <w:vAlign w:val="center"/>
          </w:tcPr>
          <w:p w14:paraId="3313C1EE">
            <w:pPr>
              <w:pStyle w:val="11"/>
              <w:bidi w:val="0"/>
              <w:jc w:val="center"/>
              <w:rPr>
                <w:rFonts w:hint="eastAsia"/>
                <w:color w:val="000000"/>
              </w:rPr>
            </w:pPr>
            <w:r>
              <w:rPr>
                <w:rFonts w:hint="eastAsia"/>
                <w:color w:val="000000"/>
              </w:rPr>
              <w:t>80</w:t>
            </w:r>
          </w:p>
        </w:tc>
        <w:tc>
          <w:tcPr>
            <w:tcW w:w="571" w:type="pct"/>
            <w:shd w:val="clear" w:color="auto" w:fill="FFFFFF"/>
            <w:noWrap w:val="0"/>
            <w:tcMar>
              <w:top w:w="28" w:type="dxa"/>
              <w:left w:w="28" w:type="dxa"/>
              <w:bottom w:w="28" w:type="dxa"/>
              <w:right w:w="28" w:type="dxa"/>
            </w:tcMar>
            <w:vAlign w:val="center"/>
          </w:tcPr>
          <w:p w14:paraId="361DDE42">
            <w:pPr>
              <w:pStyle w:val="11"/>
              <w:bidi w:val="0"/>
              <w:jc w:val="center"/>
              <w:rPr>
                <w:rFonts w:hint="eastAsia"/>
                <w:color w:val="000000"/>
              </w:rPr>
            </w:pPr>
            <w:r>
              <w:rPr>
                <w:rFonts w:hint="eastAsia"/>
                <w:color w:val="000000"/>
              </w:rPr>
              <w:t>5.99</w:t>
            </w:r>
          </w:p>
        </w:tc>
        <w:tc>
          <w:tcPr>
            <w:tcW w:w="570" w:type="pct"/>
            <w:shd w:val="clear" w:color="auto" w:fill="FFFFFF"/>
            <w:noWrap w:val="0"/>
            <w:tcMar>
              <w:top w:w="28" w:type="dxa"/>
              <w:left w:w="28" w:type="dxa"/>
              <w:bottom w:w="28" w:type="dxa"/>
              <w:right w:w="28" w:type="dxa"/>
            </w:tcMar>
            <w:vAlign w:val="center"/>
          </w:tcPr>
          <w:p w14:paraId="60F42174">
            <w:pPr>
              <w:pStyle w:val="11"/>
              <w:bidi w:val="0"/>
              <w:jc w:val="center"/>
              <w:rPr>
                <w:rFonts w:hint="eastAsia"/>
                <w:color w:val="000000"/>
              </w:rPr>
            </w:pPr>
            <w:r>
              <w:rPr>
                <w:rFonts w:hint="eastAsia"/>
                <w:color w:val="000000"/>
              </w:rPr>
              <w:t>6.81</w:t>
            </w:r>
          </w:p>
        </w:tc>
      </w:tr>
      <w:tr w14:paraId="320C017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3AC40D03">
            <w:pPr>
              <w:pStyle w:val="11"/>
              <w:bidi w:val="0"/>
              <w:jc w:val="center"/>
              <w:rPr>
                <w:rFonts w:hint="eastAsia" w:eastAsia="宋体"/>
                <w:color w:val="000000"/>
                <w:lang w:eastAsia="zh-CN"/>
              </w:rPr>
            </w:pPr>
            <w:r>
              <w:rPr>
                <w:rFonts w:hint="eastAsia"/>
                <w:color w:val="000000"/>
              </w:rPr>
              <w:t>澜河镇</w:t>
            </w:r>
          </w:p>
        </w:tc>
        <w:tc>
          <w:tcPr>
            <w:tcW w:w="535" w:type="pct"/>
            <w:shd w:val="clear" w:color="auto" w:fill="FFFFFF"/>
            <w:noWrap w:val="0"/>
            <w:tcMar>
              <w:top w:w="28" w:type="dxa"/>
              <w:left w:w="28" w:type="dxa"/>
              <w:bottom w:w="28" w:type="dxa"/>
              <w:right w:w="28" w:type="dxa"/>
            </w:tcMar>
            <w:vAlign w:val="center"/>
          </w:tcPr>
          <w:p w14:paraId="6D4FFD22">
            <w:pPr>
              <w:pStyle w:val="11"/>
              <w:bidi w:val="0"/>
              <w:jc w:val="center"/>
              <w:rPr>
                <w:rFonts w:hint="eastAsia"/>
                <w:color w:val="000000"/>
              </w:rPr>
            </w:pPr>
            <w:r>
              <w:rPr>
                <w:rFonts w:hint="eastAsia"/>
                <w:color w:val="000000"/>
              </w:rPr>
              <w:t>10698</w:t>
            </w:r>
          </w:p>
        </w:tc>
        <w:tc>
          <w:tcPr>
            <w:tcW w:w="534" w:type="pct"/>
            <w:shd w:val="clear" w:color="auto" w:fill="FFFFFF"/>
            <w:noWrap w:val="0"/>
            <w:tcMar>
              <w:top w:w="28" w:type="dxa"/>
              <w:left w:w="28" w:type="dxa"/>
              <w:bottom w:w="28" w:type="dxa"/>
              <w:right w:w="28" w:type="dxa"/>
            </w:tcMar>
            <w:vAlign w:val="center"/>
          </w:tcPr>
          <w:p w14:paraId="4E37D50A">
            <w:pPr>
              <w:pStyle w:val="11"/>
              <w:bidi w:val="0"/>
              <w:jc w:val="center"/>
              <w:rPr>
                <w:rFonts w:hint="eastAsia"/>
                <w:color w:val="000000"/>
              </w:rPr>
            </w:pPr>
            <w:r>
              <w:rPr>
                <w:rFonts w:hint="eastAsia"/>
                <w:color w:val="000000"/>
              </w:rPr>
              <w:t>127</w:t>
            </w:r>
          </w:p>
        </w:tc>
        <w:tc>
          <w:tcPr>
            <w:tcW w:w="571" w:type="pct"/>
            <w:shd w:val="clear" w:color="auto" w:fill="FFFFFF"/>
            <w:noWrap w:val="0"/>
            <w:tcMar>
              <w:top w:w="28" w:type="dxa"/>
              <w:left w:w="28" w:type="dxa"/>
              <w:bottom w:w="28" w:type="dxa"/>
              <w:right w:w="28" w:type="dxa"/>
            </w:tcMar>
            <w:vAlign w:val="center"/>
          </w:tcPr>
          <w:p w14:paraId="04B0A703">
            <w:pPr>
              <w:pStyle w:val="11"/>
              <w:bidi w:val="0"/>
              <w:jc w:val="center"/>
              <w:rPr>
                <w:rFonts w:hint="eastAsia"/>
                <w:color w:val="000000"/>
              </w:rPr>
            </w:pPr>
            <w:r>
              <w:rPr>
                <w:rFonts w:hint="eastAsia"/>
                <w:color w:val="000000"/>
              </w:rPr>
              <w:t>61</w:t>
            </w:r>
          </w:p>
        </w:tc>
        <w:tc>
          <w:tcPr>
            <w:tcW w:w="571" w:type="pct"/>
            <w:shd w:val="clear" w:color="auto" w:fill="FFFFFF"/>
            <w:noWrap w:val="0"/>
            <w:tcMar>
              <w:top w:w="28" w:type="dxa"/>
              <w:left w:w="28" w:type="dxa"/>
              <w:bottom w:w="28" w:type="dxa"/>
              <w:right w:w="28" w:type="dxa"/>
            </w:tcMar>
            <w:vAlign w:val="center"/>
          </w:tcPr>
          <w:p w14:paraId="26C7CBB0">
            <w:pPr>
              <w:pStyle w:val="11"/>
              <w:bidi w:val="0"/>
              <w:jc w:val="center"/>
              <w:rPr>
                <w:rFonts w:hint="eastAsia"/>
                <w:color w:val="000000"/>
              </w:rPr>
            </w:pPr>
            <w:r>
              <w:rPr>
                <w:rFonts w:hint="eastAsia"/>
                <w:color w:val="000000"/>
              </w:rPr>
              <w:t>66</w:t>
            </w:r>
          </w:p>
        </w:tc>
        <w:tc>
          <w:tcPr>
            <w:tcW w:w="571" w:type="pct"/>
            <w:shd w:val="clear" w:color="auto" w:fill="FFFFFF"/>
            <w:noWrap w:val="0"/>
            <w:tcMar>
              <w:top w:w="28" w:type="dxa"/>
              <w:left w:w="28" w:type="dxa"/>
              <w:bottom w:w="28" w:type="dxa"/>
              <w:right w:w="28" w:type="dxa"/>
            </w:tcMar>
            <w:vAlign w:val="center"/>
          </w:tcPr>
          <w:p w14:paraId="35D32A4A">
            <w:pPr>
              <w:pStyle w:val="11"/>
              <w:bidi w:val="0"/>
              <w:jc w:val="center"/>
              <w:rPr>
                <w:rFonts w:hint="eastAsia"/>
                <w:color w:val="000000"/>
              </w:rPr>
            </w:pPr>
            <w:r>
              <w:rPr>
                <w:rFonts w:hint="eastAsia"/>
                <w:color w:val="000000"/>
              </w:rPr>
              <w:t>11.87</w:t>
            </w:r>
          </w:p>
        </w:tc>
        <w:tc>
          <w:tcPr>
            <w:tcW w:w="570" w:type="pct"/>
            <w:shd w:val="clear" w:color="auto" w:fill="FFFFFF"/>
            <w:noWrap w:val="0"/>
            <w:tcMar>
              <w:top w:w="28" w:type="dxa"/>
              <w:left w:w="28" w:type="dxa"/>
              <w:bottom w:w="28" w:type="dxa"/>
              <w:right w:w="28" w:type="dxa"/>
            </w:tcMar>
            <w:vAlign w:val="center"/>
          </w:tcPr>
          <w:p w14:paraId="2B349541">
            <w:pPr>
              <w:pStyle w:val="11"/>
              <w:bidi w:val="0"/>
              <w:jc w:val="center"/>
              <w:rPr>
                <w:rFonts w:hint="eastAsia"/>
                <w:color w:val="000000"/>
              </w:rPr>
            </w:pPr>
            <w:r>
              <w:rPr>
                <w:rFonts w:hint="eastAsia"/>
                <w:color w:val="000000"/>
              </w:rPr>
              <w:t>56</w:t>
            </w:r>
          </w:p>
        </w:tc>
        <w:tc>
          <w:tcPr>
            <w:tcW w:w="571" w:type="pct"/>
            <w:shd w:val="clear" w:color="auto" w:fill="FFFFFF"/>
            <w:noWrap w:val="0"/>
            <w:tcMar>
              <w:top w:w="28" w:type="dxa"/>
              <w:left w:w="28" w:type="dxa"/>
              <w:bottom w:w="28" w:type="dxa"/>
              <w:right w:w="28" w:type="dxa"/>
            </w:tcMar>
            <w:vAlign w:val="center"/>
          </w:tcPr>
          <w:p w14:paraId="16980809">
            <w:pPr>
              <w:pStyle w:val="11"/>
              <w:bidi w:val="0"/>
              <w:jc w:val="center"/>
              <w:rPr>
                <w:rFonts w:hint="eastAsia"/>
                <w:color w:val="000000"/>
              </w:rPr>
            </w:pPr>
            <w:r>
              <w:rPr>
                <w:rFonts w:hint="eastAsia"/>
                <w:color w:val="000000"/>
              </w:rPr>
              <w:t>5.23</w:t>
            </w:r>
          </w:p>
        </w:tc>
        <w:tc>
          <w:tcPr>
            <w:tcW w:w="570" w:type="pct"/>
            <w:shd w:val="clear" w:color="auto" w:fill="FFFFFF"/>
            <w:noWrap w:val="0"/>
            <w:tcMar>
              <w:top w:w="28" w:type="dxa"/>
              <w:left w:w="28" w:type="dxa"/>
              <w:bottom w:w="28" w:type="dxa"/>
              <w:right w:w="28" w:type="dxa"/>
            </w:tcMar>
            <w:vAlign w:val="center"/>
          </w:tcPr>
          <w:p w14:paraId="06E2FD6E">
            <w:pPr>
              <w:pStyle w:val="11"/>
              <w:bidi w:val="0"/>
              <w:jc w:val="center"/>
              <w:rPr>
                <w:rFonts w:hint="eastAsia"/>
                <w:color w:val="000000"/>
              </w:rPr>
            </w:pPr>
            <w:r>
              <w:rPr>
                <w:rFonts w:hint="eastAsia"/>
                <w:color w:val="000000"/>
              </w:rPr>
              <w:t>6.64</w:t>
            </w:r>
          </w:p>
        </w:tc>
      </w:tr>
      <w:tr w14:paraId="4C587A3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14C761CA">
            <w:pPr>
              <w:pStyle w:val="11"/>
              <w:bidi w:val="0"/>
              <w:jc w:val="center"/>
              <w:rPr>
                <w:rFonts w:hint="eastAsia" w:eastAsia="宋体"/>
                <w:color w:val="000000"/>
                <w:lang w:eastAsia="zh-CN"/>
              </w:rPr>
            </w:pPr>
            <w:r>
              <w:rPr>
                <w:rFonts w:hint="eastAsia"/>
                <w:color w:val="000000"/>
              </w:rPr>
              <w:t>帽子峰镇</w:t>
            </w:r>
          </w:p>
        </w:tc>
        <w:tc>
          <w:tcPr>
            <w:tcW w:w="535" w:type="pct"/>
            <w:shd w:val="clear" w:color="auto" w:fill="FFFFFF"/>
            <w:noWrap w:val="0"/>
            <w:tcMar>
              <w:top w:w="28" w:type="dxa"/>
              <w:left w:w="28" w:type="dxa"/>
              <w:bottom w:w="28" w:type="dxa"/>
              <w:right w:w="28" w:type="dxa"/>
            </w:tcMar>
            <w:vAlign w:val="center"/>
          </w:tcPr>
          <w:p w14:paraId="706D87D8">
            <w:pPr>
              <w:pStyle w:val="11"/>
              <w:bidi w:val="0"/>
              <w:jc w:val="center"/>
              <w:rPr>
                <w:rFonts w:hint="eastAsia"/>
                <w:color w:val="000000"/>
              </w:rPr>
            </w:pPr>
            <w:r>
              <w:rPr>
                <w:rFonts w:hint="eastAsia"/>
                <w:color w:val="000000"/>
              </w:rPr>
              <w:t>9814</w:t>
            </w:r>
          </w:p>
        </w:tc>
        <w:tc>
          <w:tcPr>
            <w:tcW w:w="534" w:type="pct"/>
            <w:shd w:val="clear" w:color="auto" w:fill="FFFFFF"/>
            <w:noWrap w:val="0"/>
            <w:tcMar>
              <w:top w:w="28" w:type="dxa"/>
              <w:left w:w="28" w:type="dxa"/>
              <w:bottom w:w="28" w:type="dxa"/>
              <w:right w:w="28" w:type="dxa"/>
            </w:tcMar>
            <w:vAlign w:val="center"/>
          </w:tcPr>
          <w:p w14:paraId="503358B2">
            <w:pPr>
              <w:pStyle w:val="11"/>
              <w:bidi w:val="0"/>
              <w:jc w:val="center"/>
              <w:rPr>
                <w:rFonts w:hint="eastAsia"/>
                <w:color w:val="000000"/>
              </w:rPr>
            </w:pPr>
            <w:r>
              <w:rPr>
                <w:rFonts w:hint="eastAsia"/>
                <w:color w:val="000000"/>
              </w:rPr>
              <w:t>117</w:t>
            </w:r>
          </w:p>
        </w:tc>
        <w:tc>
          <w:tcPr>
            <w:tcW w:w="571" w:type="pct"/>
            <w:shd w:val="clear" w:color="auto" w:fill="FFFFFF"/>
            <w:noWrap w:val="0"/>
            <w:tcMar>
              <w:top w:w="28" w:type="dxa"/>
              <w:left w:w="28" w:type="dxa"/>
              <w:bottom w:w="28" w:type="dxa"/>
              <w:right w:w="28" w:type="dxa"/>
            </w:tcMar>
            <w:vAlign w:val="center"/>
          </w:tcPr>
          <w:p w14:paraId="26BBBFEB">
            <w:pPr>
              <w:pStyle w:val="11"/>
              <w:bidi w:val="0"/>
              <w:jc w:val="center"/>
              <w:rPr>
                <w:rFonts w:hint="eastAsia"/>
                <w:color w:val="000000"/>
              </w:rPr>
            </w:pPr>
            <w:r>
              <w:rPr>
                <w:rFonts w:hint="eastAsia"/>
                <w:color w:val="000000"/>
              </w:rPr>
              <w:t>67</w:t>
            </w:r>
          </w:p>
        </w:tc>
        <w:tc>
          <w:tcPr>
            <w:tcW w:w="571" w:type="pct"/>
            <w:shd w:val="clear" w:color="auto" w:fill="FFFFFF"/>
            <w:noWrap w:val="0"/>
            <w:tcMar>
              <w:top w:w="28" w:type="dxa"/>
              <w:left w:w="28" w:type="dxa"/>
              <w:bottom w:w="28" w:type="dxa"/>
              <w:right w:w="28" w:type="dxa"/>
            </w:tcMar>
            <w:vAlign w:val="center"/>
          </w:tcPr>
          <w:p w14:paraId="146055E1">
            <w:pPr>
              <w:pStyle w:val="11"/>
              <w:bidi w:val="0"/>
              <w:jc w:val="center"/>
              <w:rPr>
                <w:rFonts w:hint="eastAsia"/>
                <w:color w:val="000000"/>
              </w:rPr>
            </w:pPr>
            <w:r>
              <w:rPr>
                <w:rFonts w:hint="eastAsia"/>
                <w:color w:val="000000"/>
              </w:rPr>
              <w:t>50</w:t>
            </w:r>
          </w:p>
        </w:tc>
        <w:tc>
          <w:tcPr>
            <w:tcW w:w="571" w:type="pct"/>
            <w:shd w:val="clear" w:color="auto" w:fill="FFFFFF"/>
            <w:noWrap w:val="0"/>
            <w:tcMar>
              <w:top w:w="28" w:type="dxa"/>
              <w:left w:w="28" w:type="dxa"/>
              <w:bottom w:w="28" w:type="dxa"/>
              <w:right w:w="28" w:type="dxa"/>
            </w:tcMar>
            <w:vAlign w:val="center"/>
          </w:tcPr>
          <w:p w14:paraId="5C08EF93">
            <w:pPr>
              <w:pStyle w:val="11"/>
              <w:bidi w:val="0"/>
              <w:jc w:val="center"/>
              <w:rPr>
                <w:rFonts w:hint="eastAsia"/>
                <w:color w:val="000000"/>
              </w:rPr>
            </w:pPr>
            <w:r>
              <w:rPr>
                <w:rFonts w:hint="eastAsia"/>
                <w:color w:val="000000"/>
              </w:rPr>
              <w:t>11.89</w:t>
            </w:r>
          </w:p>
        </w:tc>
        <w:tc>
          <w:tcPr>
            <w:tcW w:w="570" w:type="pct"/>
            <w:shd w:val="clear" w:color="auto" w:fill="FFFFFF"/>
            <w:noWrap w:val="0"/>
            <w:tcMar>
              <w:top w:w="28" w:type="dxa"/>
              <w:left w:w="28" w:type="dxa"/>
              <w:bottom w:w="28" w:type="dxa"/>
              <w:right w:w="28" w:type="dxa"/>
            </w:tcMar>
            <w:vAlign w:val="center"/>
          </w:tcPr>
          <w:p w14:paraId="1721E61E">
            <w:pPr>
              <w:pStyle w:val="11"/>
              <w:bidi w:val="0"/>
              <w:jc w:val="center"/>
              <w:rPr>
                <w:rFonts w:hint="eastAsia"/>
                <w:color w:val="000000"/>
              </w:rPr>
            </w:pPr>
            <w:r>
              <w:rPr>
                <w:rFonts w:hint="eastAsia"/>
                <w:color w:val="000000"/>
              </w:rPr>
              <w:t>63</w:t>
            </w:r>
          </w:p>
        </w:tc>
        <w:tc>
          <w:tcPr>
            <w:tcW w:w="571" w:type="pct"/>
            <w:shd w:val="clear" w:color="auto" w:fill="FFFFFF"/>
            <w:noWrap w:val="0"/>
            <w:tcMar>
              <w:top w:w="28" w:type="dxa"/>
              <w:left w:w="28" w:type="dxa"/>
              <w:bottom w:w="28" w:type="dxa"/>
              <w:right w:w="28" w:type="dxa"/>
            </w:tcMar>
            <w:vAlign w:val="center"/>
          </w:tcPr>
          <w:p w14:paraId="2E4979EF">
            <w:pPr>
              <w:pStyle w:val="11"/>
              <w:bidi w:val="0"/>
              <w:jc w:val="center"/>
              <w:rPr>
                <w:rFonts w:hint="eastAsia"/>
                <w:color w:val="000000"/>
              </w:rPr>
            </w:pPr>
            <w:r>
              <w:rPr>
                <w:rFonts w:hint="eastAsia"/>
                <w:color w:val="000000"/>
              </w:rPr>
              <w:t>6.40</w:t>
            </w:r>
          </w:p>
        </w:tc>
        <w:tc>
          <w:tcPr>
            <w:tcW w:w="570" w:type="pct"/>
            <w:shd w:val="clear" w:color="auto" w:fill="FFFFFF"/>
            <w:noWrap w:val="0"/>
            <w:tcMar>
              <w:top w:w="28" w:type="dxa"/>
              <w:left w:w="28" w:type="dxa"/>
              <w:bottom w:w="28" w:type="dxa"/>
              <w:right w:w="28" w:type="dxa"/>
            </w:tcMar>
            <w:vAlign w:val="center"/>
          </w:tcPr>
          <w:p w14:paraId="2006CBF4">
            <w:pPr>
              <w:pStyle w:val="11"/>
              <w:bidi w:val="0"/>
              <w:jc w:val="center"/>
              <w:rPr>
                <w:rFonts w:hint="eastAsia"/>
                <w:color w:val="000000"/>
              </w:rPr>
            </w:pPr>
            <w:r>
              <w:rPr>
                <w:rFonts w:hint="eastAsia"/>
                <w:color w:val="000000"/>
              </w:rPr>
              <w:t>5.49</w:t>
            </w:r>
          </w:p>
        </w:tc>
      </w:tr>
      <w:tr w14:paraId="5D16719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503" w:type="pct"/>
            <w:shd w:val="clear" w:color="auto" w:fill="FFFFFF"/>
            <w:noWrap w:val="0"/>
            <w:tcMar>
              <w:top w:w="28" w:type="dxa"/>
              <w:left w:w="28" w:type="dxa"/>
              <w:bottom w:w="28" w:type="dxa"/>
              <w:right w:w="28" w:type="dxa"/>
            </w:tcMar>
            <w:vAlign w:val="center"/>
          </w:tcPr>
          <w:p w14:paraId="26266405">
            <w:pPr>
              <w:pStyle w:val="11"/>
              <w:bidi w:val="0"/>
              <w:jc w:val="center"/>
              <w:rPr>
                <w:rFonts w:hint="eastAsia" w:eastAsia="宋体"/>
                <w:color w:val="000000"/>
                <w:lang w:eastAsia="zh-CN"/>
              </w:rPr>
            </w:pPr>
            <w:r>
              <w:rPr>
                <w:rFonts w:hint="eastAsia"/>
                <w:color w:val="000000"/>
              </w:rPr>
              <w:t>雄州街道</w:t>
            </w:r>
          </w:p>
        </w:tc>
        <w:tc>
          <w:tcPr>
            <w:tcW w:w="535" w:type="pct"/>
            <w:shd w:val="clear" w:color="auto" w:fill="FFFFFF"/>
            <w:noWrap w:val="0"/>
            <w:tcMar>
              <w:top w:w="28" w:type="dxa"/>
              <w:left w:w="28" w:type="dxa"/>
              <w:bottom w:w="28" w:type="dxa"/>
              <w:right w:w="28" w:type="dxa"/>
            </w:tcMar>
            <w:vAlign w:val="center"/>
          </w:tcPr>
          <w:p w14:paraId="5F6F6FB4">
            <w:pPr>
              <w:pStyle w:val="11"/>
              <w:bidi w:val="0"/>
              <w:jc w:val="center"/>
              <w:rPr>
                <w:rFonts w:hint="eastAsia"/>
                <w:color w:val="000000"/>
              </w:rPr>
            </w:pPr>
            <w:r>
              <w:rPr>
                <w:rFonts w:hint="eastAsia"/>
                <w:color w:val="000000"/>
              </w:rPr>
              <w:t>96812</w:t>
            </w:r>
          </w:p>
        </w:tc>
        <w:tc>
          <w:tcPr>
            <w:tcW w:w="534" w:type="pct"/>
            <w:shd w:val="clear" w:color="auto" w:fill="FFFFFF"/>
            <w:noWrap w:val="0"/>
            <w:tcMar>
              <w:top w:w="28" w:type="dxa"/>
              <w:left w:w="28" w:type="dxa"/>
              <w:bottom w:w="28" w:type="dxa"/>
              <w:right w:w="28" w:type="dxa"/>
            </w:tcMar>
            <w:vAlign w:val="center"/>
          </w:tcPr>
          <w:p w14:paraId="0638A1D6">
            <w:pPr>
              <w:pStyle w:val="11"/>
              <w:bidi w:val="0"/>
              <w:jc w:val="center"/>
              <w:rPr>
                <w:rFonts w:hint="eastAsia"/>
                <w:color w:val="000000"/>
              </w:rPr>
            </w:pPr>
            <w:r>
              <w:rPr>
                <w:rFonts w:hint="eastAsia"/>
                <w:color w:val="000000"/>
              </w:rPr>
              <w:t>1153</w:t>
            </w:r>
          </w:p>
        </w:tc>
        <w:tc>
          <w:tcPr>
            <w:tcW w:w="571" w:type="pct"/>
            <w:shd w:val="clear" w:color="auto" w:fill="FFFFFF"/>
            <w:noWrap w:val="0"/>
            <w:tcMar>
              <w:top w:w="28" w:type="dxa"/>
              <w:left w:w="28" w:type="dxa"/>
              <w:bottom w:w="28" w:type="dxa"/>
              <w:right w:w="28" w:type="dxa"/>
            </w:tcMar>
            <w:vAlign w:val="center"/>
          </w:tcPr>
          <w:p w14:paraId="1833EC7E">
            <w:pPr>
              <w:pStyle w:val="11"/>
              <w:bidi w:val="0"/>
              <w:jc w:val="center"/>
              <w:rPr>
                <w:rFonts w:hint="eastAsia"/>
                <w:color w:val="000000"/>
              </w:rPr>
            </w:pPr>
            <w:r>
              <w:rPr>
                <w:rFonts w:hint="eastAsia"/>
                <w:color w:val="000000"/>
              </w:rPr>
              <w:t>621</w:t>
            </w:r>
          </w:p>
        </w:tc>
        <w:tc>
          <w:tcPr>
            <w:tcW w:w="571" w:type="pct"/>
            <w:shd w:val="clear" w:color="auto" w:fill="FFFFFF"/>
            <w:noWrap w:val="0"/>
            <w:tcMar>
              <w:top w:w="28" w:type="dxa"/>
              <w:left w:w="28" w:type="dxa"/>
              <w:bottom w:w="28" w:type="dxa"/>
              <w:right w:w="28" w:type="dxa"/>
            </w:tcMar>
            <w:vAlign w:val="center"/>
          </w:tcPr>
          <w:p w14:paraId="4E62610D">
            <w:pPr>
              <w:pStyle w:val="11"/>
              <w:bidi w:val="0"/>
              <w:jc w:val="center"/>
              <w:rPr>
                <w:rFonts w:hint="eastAsia"/>
                <w:color w:val="000000"/>
              </w:rPr>
            </w:pPr>
            <w:r>
              <w:rPr>
                <w:rFonts w:hint="eastAsia"/>
                <w:color w:val="000000"/>
              </w:rPr>
              <w:t>532</w:t>
            </w:r>
          </w:p>
        </w:tc>
        <w:tc>
          <w:tcPr>
            <w:tcW w:w="571" w:type="pct"/>
            <w:shd w:val="clear" w:color="auto" w:fill="FFFFFF"/>
            <w:noWrap w:val="0"/>
            <w:tcMar>
              <w:top w:w="28" w:type="dxa"/>
              <w:left w:w="28" w:type="dxa"/>
              <w:bottom w:w="28" w:type="dxa"/>
              <w:right w:w="28" w:type="dxa"/>
            </w:tcMar>
            <w:vAlign w:val="center"/>
          </w:tcPr>
          <w:p w14:paraId="2AB30200">
            <w:pPr>
              <w:pStyle w:val="11"/>
              <w:bidi w:val="0"/>
              <w:jc w:val="center"/>
              <w:rPr>
                <w:rFonts w:hint="eastAsia"/>
                <w:color w:val="000000"/>
              </w:rPr>
            </w:pPr>
            <w:r>
              <w:rPr>
                <w:rFonts w:hint="eastAsia"/>
                <w:color w:val="000000"/>
              </w:rPr>
              <w:t>11.90</w:t>
            </w:r>
          </w:p>
        </w:tc>
        <w:tc>
          <w:tcPr>
            <w:tcW w:w="570" w:type="pct"/>
            <w:shd w:val="clear" w:color="auto" w:fill="FFFFFF"/>
            <w:noWrap w:val="0"/>
            <w:tcMar>
              <w:top w:w="28" w:type="dxa"/>
              <w:left w:w="28" w:type="dxa"/>
              <w:bottom w:w="28" w:type="dxa"/>
              <w:right w:w="28" w:type="dxa"/>
            </w:tcMar>
            <w:vAlign w:val="center"/>
          </w:tcPr>
          <w:p w14:paraId="126FD1CA">
            <w:pPr>
              <w:pStyle w:val="11"/>
              <w:bidi w:val="0"/>
              <w:jc w:val="center"/>
              <w:rPr>
                <w:rFonts w:hint="eastAsia"/>
                <w:color w:val="000000"/>
              </w:rPr>
            </w:pPr>
            <w:r>
              <w:rPr>
                <w:rFonts w:hint="eastAsia"/>
                <w:color w:val="000000"/>
              </w:rPr>
              <w:t>536</w:t>
            </w:r>
          </w:p>
        </w:tc>
        <w:tc>
          <w:tcPr>
            <w:tcW w:w="571" w:type="pct"/>
            <w:shd w:val="clear" w:color="auto" w:fill="FFFFFF"/>
            <w:noWrap w:val="0"/>
            <w:tcMar>
              <w:top w:w="28" w:type="dxa"/>
              <w:left w:w="28" w:type="dxa"/>
              <w:bottom w:w="28" w:type="dxa"/>
              <w:right w:w="28" w:type="dxa"/>
            </w:tcMar>
            <w:vAlign w:val="center"/>
          </w:tcPr>
          <w:p w14:paraId="780DD655">
            <w:pPr>
              <w:pStyle w:val="11"/>
              <w:bidi w:val="0"/>
              <w:jc w:val="center"/>
              <w:rPr>
                <w:rFonts w:hint="eastAsia"/>
                <w:color w:val="000000"/>
              </w:rPr>
            </w:pPr>
            <w:r>
              <w:rPr>
                <w:rFonts w:hint="eastAsia"/>
                <w:color w:val="000000"/>
              </w:rPr>
              <w:t>5.53</w:t>
            </w:r>
          </w:p>
        </w:tc>
        <w:tc>
          <w:tcPr>
            <w:tcW w:w="570" w:type="pct"/>
            <w:shd w:val="clear" w:color="auto" w:fill="FFFFFF"/>
            <w:noWrap w:val="0"/>
            <w:tcMar>
              <w:top w:w="28" w:type="dxa"/>
              <w:left w:w="28" w:type="dxa"/>
              <w:bottom w:w="28" w:type="dxa"/>
              <w:right w:w="28" w:type="dxa"/>
            </w:tcMar>
            <w:vAlign w:val="center"/>
          </w:tcPr>
          <w:p w14:paraId="63BFAA4F">
            <w:pPr>
              <w:pStyle w:val="11"/>
              <w:bidi w:val="0"/>
              <w:jc w:val="center"/>
              <w:rPr>
                <w:rFonts w:hint="eastAsia"/>
                <w:color w:val="000000"/>
              </w:rPr>
            </w:pPr>
            <w:r>
              <w:rPr>
                <w:rFonts w:hint="eastAsia"/>
                <w:color w:val="000000"/>
              </w:rPr>
              <w:t>6.37</w:t>
            </w:r>
          </w:p>
        </w:tc>
      </w:tr>
    </w:tbl>
    <w:p w14:paraId="09FA757D">
      <w:pPr>
        <w:bidi w:val="0"/>
        <w:ind w:left="0" w:leftChars="0" w:firstLine="0" w:firstLineChars="0"/>
        <w:rPr>
          <w:rFonts w:hint="eastAsia"/>
        </w:rPr>
      </w:pPr>
      <w:r>
        <w:rPr>
          <w:rFonts w:hint="eastAsia"/>
        </w:rPr>
        <w:t>备注：1、本表数据来源于市卫计局</w:t>
      </w:r>
    </w:p>
    <w:p w14:paraId="78134D12">
      <w:pPr>
        <w:bidi w:val="0"/>
        <w:ind w:leftChars="100"/>
        <w:rPr>
          <w:rFonts w:hint="eastAsia"/>
        </w:rPr>
      </w:pPr>
      <w:r>
        <w:rPr>
          <w:rFonts w:hint="eastAsia"/>
        </w:rPr>
        <w:t>2、总人口为户籍人口和未入户人口之和，全市数据中出生人数、出生率、死亡人数、死亡率、自然增长率为评估数。</w:t>
      </w:r>
    </w:p>
    <w:p w14:paraId="7A089DC5">
      <w:pPr>
        <w:pStyle w:val="4"/>
        <w:bidi w:val="0"/>
        <w:rPr>
          <w:rFonts w:hint="eastAsia"/>
        </w:rPr>
      </w:pPr>
      <w:r>
        <w:rPr>
          <w:rFonts w:hint="eastAsia"/>
        </w:rPr>
        <w:t>表35</w:t>
      </w:r>
      <w:r>
        <w:rPr>
          <w:rFonts w:hint="eastAsia"/>
          <w:lang w:val="en-US" w:eastAsia="zh-CN"/>
        </w:rPr>
        <w:t xml:space="preserve">  </w:t>
      </w:r>
      <w:r>
        <w:rPr>
          <w:rFonts w:hint="eastAsia"/>
        </w:rPr>
        <w:t>全市分镇（街道）行政区面积</w:t>
      </w:r>
    </w:p>
    <w:tbl>
      <w:tblPr>
        <w:tblStyle w:val="7"/>
        <w:tblW w:w="4997"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099"/>
        <w:gridCol w:w="5576"/>
        <w:gridCol w:w="1121"/>
      </w:tblGrid>
      <w:tr w14:paraId="55F09D9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3099" w:type="dxa"/>
            <w:shd w:val="clear" w:color="auto" w:fill="FFFFFF"/>
            <w:noWrap w:val="0"/>
            <w:tcMar>
              <w:top w:w="28" w:type="dxa"/>
              <w:left w:w="28" w:type="dxa"/>
              <w:bottom w:w="28" w:type="dxa"/>
              <w:right w:w="28" w:type="dxa"/>
            </w:tcMar>
            <w:vAlign w:val="center"/>
          </w:tcPr>
          <w:p w14:paraId="72C43CDC">
            <w:pPr>
              <w:pStyle w:val="11"/>
              <w:bidi w:val="0"/>
              <w:ind w:firstLine="0" w:firstLineChars="0"/>
              <w:jc w:val="center"/>
              <w:rPr>
                <w:rFonts w:hint="eastAsia"/>
                <w:color w:val="000000"/>
              </w:rPr>
            </w:pPr>
            <w:r>
              <w:rPr>
                <w:rFonts w:hint="eastAsia"/>
                <w:b/>
                <w:bCs/>
                <w:color w:val="000000"/>
              </w:rPr>
              <w:t>行政区域名称</w:t>
            </w:r>
          </w:p>
        </w:tc>
        <w:tc>
          <w:tcPr>
            <w:tcW w:w="5576" w:type="dxa"/>
            <w:shd w:val="clear" w:color="auto" w:fill="FFFFFF"/>
            <w:noWrap w:val="0"/>
            <w:tcMar>
              <w:top w:w="28" w:type="dxa"/>
              <w:left w:w="28" w:type="dxa"/>
              <w:bottom w:w="28" w:type="dxa"/>
              <w:right w:w="28" w:type="dxa"/>
            </w:tcMar>
            <w:vAlign w:val="center"/>
          </w:tcPr>
          <w:p w14:paraId="7B718D57">
            <w:pPr>
              <w:pStyle w:val="11"/>
              <w:bidi w:val="0"/>
              <w:ind w:firstLine="0" w:firstLineChars="0"/>
              <w:jc w:val="center"/>
              <w:rPr>
                <w:rFonts w:hint="eastAsia"/>
                <w:color w:val="000000"/>
              </w:rPr>
            </w:pPr>
            <w:r>
              <w:rPr>
                <w:rFonts w:hint="eastAsia"/>
                <w:b/>
                <w:bCs/>
                <w:color w:val="000000"/>
              </w:rPr>
              <w:t>行政区域总面积（公顷）</w:t>
            </w:r>
          </w:p>
        </w:tc>
        <w:tc>
          <w:tcPr>
            <w:tcW w:w="1121" w:type="dxa"/>
            <w:shd w:val="clear" w:color="auto" w:fill="FFFFFF"/>
            <w:noWrap w:val="0"/>
            <w:tcMar>
              <w:top w:w="28" w:type="dxa"/>
              <w:left w:w="28" w:type="dxa"/>
              <w:bottom w:w="28" w:type="dxa"/>
              <w:right w:w="28" w:type="dxa"/>
            </w:tcMar>
            <w:vAlign w:val="center"/>
          </w:tcPr>
          <w:p w14:paraId="5FEA5D1A">
            <w:pPr>
              <w:pStyle w:val="11"/>
              <w:bidi w:val="0"/>
              <w:ind w:firstLine="0" w:firstLineChars="0"/>
              <w:jc w:val="center"/>
              <w:rPr>
                <w:rFonts w:hint="eastAsia"/>
                <w:color w:val="000000"/>
                <w:lang w:val="en-US"/>
              </w:rPr>
            </w:pPr>
            <w:r>
              <w:rPr>
                <w:rFonts w:hint="eastAsia"/>
                <w:b/>
                <w:bCs/>
                <w:color w:val="000000"/>
              </w:rPr>
              <w:t>备注</w:t>
            </w:r>
          </w:p>
        </w:tc>
      </w:tr>
      <w:tr w14:paraId="19F519B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7B61EE43">
            <w:pPr>
              <w:pStyle w:val="11"/>
              <w:bidi w:val="0"/>
              <w:ind w:firstLine="0" w:firstLineChars="0"/>
              <w:jc w:val="center"/>
              <w:rPr>
                <w:rFonts w:hint="eastAsia"/>
                <w:color w:val="000000"/>
              </w:rPr>
            </w:pPr>
            <w:r>
              <w:rPr>
                <w:rFonts w:hint="eastAsia"/>
                <w:color w:val="000000"/>
              </w:rPr>
              <w:t>合计</w:t>
            </w:r>
          </w:p>
        </w:tc>
        <w:tc>
          <w:tcPr>
            <w:tcW w:w="2845" w:type="pct"/>
            <w:shd w:val="clear" w:color="auto" w:fill="FFFFFF"/>
            <w:noWrap w:val="0"/>
            <w:tcMar>
              <w:top w:w="28" w:type="dxa"/>
              <w:left w:w="28" w:type="dxa"/>
              <w:bottom w:w="28" w:type="dxa"/>
              <w:right w:w="28" w:type="dxa"/>
            </w:tcMar>
            <w:vAlign w:val="center"/>
          </w:tcPr>
          <w:p w14:paraId="1A00F758">
            <w:pPr>
              <w:pStyle w:val="11"/>
              <w:bidi w:val="0"/>
              <w:ind w:firstLine="0" w:firstLineChars="0"/>
              <w:jc w:val="center"/>
              <w:rPr>
                <w:rFonts w:hint="eastAsia"/>
                <w:color w:val="000000"/>
              </w:rPr>
            </w:pPr>
            <w:r>
              <w:rPr>
                <w:rFonts w:hint="eastAsia"/>
                <w:color w:val="000000"/>
              </w:rPr>
              <w:t>232618.32</w:t>
            </w:r>
          </w:p>
        </w:tc>
        <w:tc>
          <w:tcPr>
            <w:tcW w:w="572" w:type="pct"/>
            <w:shd w:val="clear" w:color="auto" w:fill="FFFFFF"/>
            <w:noWrap w:val="0"/>
            <w:tcMar>
              <w:top w:w="28" w:type="dxa"/>
              <w:left w:w="28" w:type="dxa"/>
              <w:bottom w:w="28" w:type="dxa"/>
              <w:right w:w="28" w:type="dxa"/>
            </w:tcMar>
            <w:vAlign w:val="center"/>
          </w:tcPr>
          <w:p w14:paraId="1183C6E2">
            <w:pPr>
              <w:pStyle w:val="11"/>
              <w:bidi w:val="0"/>
              <w:ind w:firstLine="0" w:firstLineChars="0"/>
              <w:jc w:val="center"/>
              <w:rPr>
                <w:rFonts w:hint="eastAsia"/>
                <w:color w:val="000000"/>
                <w:lang w:val="en-US"/>
              </w:rPr>
            </w:pPr>
          </w:p>
        </w:tc>
      </w:tr>
      <w:tr w14:paraId="2F3009F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0EF56F81">
            <w:pPr>
              <w:pStyle w:val="11"/>
              <w:bidi w:val="0"/>
              <w:jc w:val="center"/>
              <w:rPr>
                <w:rFonts w:hint="eastAsia" w:eastAsia="宋体"/>
                <w:color w:val="000000"/>
                <w:lang w:eastAsia="zh-CN"/>
              </w:rPr>
            </w:pPr>
            <w:r>
              <w:rPr>
                <w:rFonts w:hint="eastAsia"/>
                <w:color w:val="000000"/>
              </w:rPr>
              <w:t>乌迳</w:t>
            </w:r>
          </w:p>
        </w:tc>
        <w:tc>
          <w:tcPr>
            <w:tcW w:w="2845" w:type="pct"/>
            <w:shd w:val="clear" w:color="auto" w:fill="FFFFFF"/>
            <w:noWrap w:val="0"/>
            <w:tcMar>
              <w:top w:w="28" w:type="dxa"/>
              <w:left w:w="28" w:type="dxa"/>
              <w:bottom w:w="28" w:type="dxa"/>
              <w:right w:w="28" w:type="dxa"/>
            </w:tcMar>
            <w:vAlign w:val="center"/>
          </w:tcPr>
          <w:p w14:paraId="43F4261E">
            <w:pPr>
              <w:pStyle w:val="11"/>
              <w:bidi w:val="0"/>
              <w:jc w:val="center"/>
              <w:rPr>
                <w:rFonts w:hint="eastAsia" w:eastAsia="宋体"/>
                <w:color w:val="000000"/>
                <w:lang w:eastAsia="zh-CN"/>
              </w:rPr>
            </w:pPr>
            <w:r>
              <w:rPr>
                <w:rFonts w:hint="eastAsia"/>
                <w:color w:val="000000"/>
              </w:rPr>
              <w:t>15701.71</w:t>
            </w:r>
          </w:p>
        </w:tc>
        <w:tc>
          <w:tcPr>
            <w:tcW w:w="572" w:type="pct"/>
            <w:shd w:val="clear" w:color="auto" w:fill="FFFFFF"/>
            <w:noWrap w:val="0"/>
            <w:tcMar>
              <w:top w:w="28" w:type="dxa"/>
              <w:left w:w="28" w:type="dxa"/>
              <w:bottom w:w="28" w:type="dxa"/>
              <w:right w:w="28" w:type="dxa"/>
            </w:tcMar>
            <w:vAlign w:val="center"/>
          </w:tcPr>
          <w:p w14:paraId="436E386F">
            <w:pPr>
              <w:pStyle w:val="11"/>
              <w:bidi w:val="0"/>
              <w:jc w:val="center"/>
              <w:rPr>
                <w:rFonts w:hint="eastAsia"/>
                <w:color w:val="000000"/>
                <w:lang w:val="en-US"/>
              </w:rPr>
            </w:pPr>
          </w:p>
        </w:tc>
      </w:tr>
      <w:tr w14:paraId="69963EB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38D8A173">
            <w:pPr>
              <w:pStyle w:val="11"/>
              <w:bidi w:val="0"/>
              <w:jc w:val="center"/>
              <w:rPr>
                <w:rFonts w:hint="eastAsia" w:eastAsia="宋体"/>
                <w:color w:val="000000"/>
                <w:lang w:eastAsia="zh-CN"/>
              </w:rPr>
            </w:pPr>
            <w:r>
              <w:rPr>
                <w:rFonts w:hint="eastAsia"/>
                <w:color w:val="000000"/>
              </w:rPr>
              <w:t>界址</w:t>
            </w:r>
          </w:p>
        </w:tc>
        <w:tc>
          <w:tcPr>
            <w:tcW w:w="2845" w:type="pct"/>
            <w:shd w:val="clear" w:color="auto" w:fill="FFFFFF"/>
            <w:noWrap w:val="0"/>
            <w:tcMar>
              <w:top w:w="28" w:type="dxa"/>
              <w:left w:w="28" w:type="dxa"/>
              <w:bottom w:w="28" w:type="dxa"/>
              <w:right w:w="28" w:type="dxa"/>
            </w:tcMar>
            <w:vAlign w:val="center"/>
          </w:tcPr>
          <w:p w14:paraId="503043C7">
            <w:pPr>
              <w:pStyle w:val="11"/>
              <w:bidi w:val="0"/>
              <w:jc w:val="center"/>
              <w:rPr>
                <w:rFonts w:hint="eastAsia" w:eastAsia="宋体"/>
                <w:color w:val="000000"/>
                <w:lang w:eastAsia="zh-CN"/>
              </w:rPr>
            </w:pPr>
            <w:r>
              <w:rPr>
                <w:rFonts w:hint="eastAsia"/>
                <w:color w:val="000000"/>
              </w:rPr>
              <w:t>5638.57</w:t>
            </w:r>
          </w:p>
        </w:tc>
        <w:tc>
          <w:tcPr>
            <w:tcW w:w="572" w:type="pct"/>
            <w:shd w:val="clear" w:color="auto" w:fill="FFFFFF"/>
            <w:noWrap w:val="0"/>
            <w:tcMar>
              <w:top w:w="28" w:type="dxa"/>
              <w:left w:w="28" w:type="dxa"/>
              <w:bottom w:w="28" w:type="dxa"/>
              <w:right w:w="28" w:type="dxa"/>
            </w:tcMar>
            <w:vAlign w:val="center"/>
          </w:tcPr>
          <w:p w14:paraId="192A778A">
            <w:pPr>
              <w:pStyle w:val="11"/>
              <w:bidi w:val="0"/>
              <w:jc w:val="center"/>
              <w:rPr>
                <w:rFonts w:hint="eastAsia"/>
                <w:color w:val="000000"/>
                <w:lang w:val="en-US"/>
              </w:rPr>
            </w:pPr>
          </w:p>
        </w:tc>
      </w:tr>
      <w:tr w14:paraId="0DA39B3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5005D80B">
            <w:pPr>
              <w:pStyle w:val="11"/>
              <w:bidi w:val="0"/>
              <w:jc w:val="center"/>
              <w:rPr>
                <w:rFonts w:hint="eastAsia" w:eastAsia="宋体"/>
                <w:color w:val="000000"/>
                <w:lang w:eastAsia="zh-CN"/>
              </w:rPr>
            </w:pPr>
            <w:r>
              <w:rPr>
                <w:rFonts w:hint="eastAsia"/>
                <w:color w:val="000000"/>
              </w:rPr>
              <w:t>坪田</w:t>
            </w:r>
          </w:p>
        </w:tc>
        <w:tc>
          <w:tcPr>
            <w:tcW w:w="2845" w:type="pct"/>
            <w:shd w:val="clear" w:color="auto" w:fill="FFFFFF"/>
            <w:noWrap w:val="0"/>
            <w:tcMar>
              <w:top w:w="28" w:type="dxa"/>
              <w:left w:w="28" w:type="dxa"/>
              <w:bottom w:w="28" w:type="dxa"/>
              <w:right w:w="28" w:type="dxa"/>
            </w:tcMar>
            <w:vAlign w:val="center"/>
          </w:tcPr>
          <w:p w14:paraId="4EC3E86E">
            <w:pPr>
              <w:pStyle w:val="11"/>
              <w:bidi w:val="0"/>
              <w:jc w:val="center"/>
              <w:rPr>
                <w:rFonts w:hint="eastAsia" w:eastAsia="宋体"/>
                <w:color w:val="000000"/>
                <w:lang w:eastAsia="zh-CN"/>
              </w:rPr>
            </w:pPr>
            <w:r>
              <w:rPr>
                <w:rFonts w:hint="eastAsia"/>
                <w:color w:val="000000"/>
              </w:rPr>
              <w:t>13826.14</w:t>
            </w:r>
          </w:p>
        </w:tc>
        <w:tc>
          <w:tcPr>
            <w:tcW w:w="572" w:type="pct"/>
            <w:shd w:val="clear" w:color="auto" w:fill="FFFFFF"/>
            <w:noWrap w:val="0"/>
            <w:tcMar>
              <w:top w:w="28" w:type="dxa"/>
              <w:left w:w="28" w:type="dxa"/>
              <w:bottom w:w="28" w:type="dxa"/>
              <w:right w:w="28" w:type="dxa"/>
            </w:tcMar>
            <w:vAlign w:val="center"/>
          </w:tcPr>
          <w:p w14:paraId="0249281E">
            <w:pPr>
              <w:pStyle w:val="11"/>
              <w:bidi w:val="0"/>
              <w:jc w:val="center"/>
              <w:rPr>
                <w:rFonts w:hint="eastAsia"/>
                <w:color w:val="000000"/>
                <w:lang w:val="en-US"/>
              </w:rPr>
            </w:pPr>
          </w:p>
        </w:tc>
      </w:tr>
      <w:tr w14:paraId="1621797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55811372">
            <w:pPr>
              <w:pStyle w:val="11"/>
              <w:bidi w:val="0"/>
              <w:jc w:val="center"/>
              <w:rPr>
                <w:rFonts w:hint="eastAsia" w:eastAsia="宋体"/>
                <w:color w:val="000000"/>
                <w:lang w:eastAsia="zh-CN"/>
              </w:rPr>
            </w:pPr>
            <w:r>
              <w:rPr>
                <w:rFonts w:hint="eastAsia"/>
                <w:color w:val="000000"/>
              </w:rPr>
              <w:t>黄坑</w:t>
            </w:r>
          </w:p>
        </w:tc>
        <w:tc>
          <w:tcPr>
            <w:tcW w:w="2845" w:type="pct"/>
            <w:shd w:val="clear" w:color="auto" w:fill="FFFFFF"/>
            <w:noWrap w:val="0"/>
            <w:tcMar>
              <w:top w:w="28" w:type="dxa"/>
              <w:left w:w="28" w:type="dxa"/>
              <w:bottom w:w="28" w:type="dxa"/>
              <w:right w:w="28" w:type="dxa"/>
            </w:tcMar>
            <w:vAlign w:val="center"/>
          </w:tcPr>
          <w:p w14:paraId="17543BE6">
            <w:pPr>
              <w:pStyle w:val="11"/>
              <w:bidi w:val="0"/>
              <w:jc w:val="center"/>
              <w:rPr>
                <w:rFonts w:hint="eastAsia" w:eastAsia="宋体"/>
                <w:color w:val="000000"/>
                <w:lang w:eastAsia="zh-CN"/>
              </w:rPr>
            </w:pPr>
            <w:r>
              <w:rPr>
                <w:rFonts w:hint="eastAsia"/>
                <w:color w:val="000000"/>
              </w:rPr>
              <w:t>5826.46</w:t>
            </w:r>
          </w:p>
        </w:tc>
        <w:tc>
          <w:tcPr>
            <w:tcW w:w="572" w:type="pct"/>
            <w:shd w:val="clear" w:color="auto" w:fill="FFFFFF"/>
            <w:noWrap w:val="0"/>
            <w:tcMar>
              <w:top w:w="28" w:type="dxa"/>
              <w:left w:w="28" w:type="dxa"/>
              <w:bottom w:w="28" w:type="dxa"/>
              <w:right w:w="28" w:type="dxa"/>
            </w:tcMar>
            <w:vAlign w:val="center"/>
          </w:tcPr>
          <w:p w14:paraId="7A4D8269">
            <w:pPr>
              <w:pStyle w:val="11"/>
              <w:bidi w:val="0"/>
              <w:jc w:val="center"/>
              <w:rPr>
                <w:rFonts w:hint="eastAsia"/>
                <w:color w:val="000000"/>
                <w:lang w:val="en-US"/>
              </w:rPr>
            </w:pPr>
          </w:p>
        </w:tc>
      </w:tr>
      <w:tr w14:paraId="048543F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349F00A7">
            <w:pPr>
              <w:pStyle w:val="11"/>
              <w:bidi w:val="0"/>
              <w:jc w:val="center"/>
              <w:rPr>
                <w:rFonts w:hint="eastAsia" w:eastAsia="宋体"/>
                <w:color w:val="000000"/>
                <w:lang w:eastAsia="zh-CN"/>
              </w:rPr>
            </w:pPr>
            <w:r>
              <w:rPr>
                <w:rFonts w:hint="eastAsia"/>
                <w:color w:val="000000"/>
              </w:rPr>
              <w:t>邓坊</w:t>
            </w:r>
          </w:p>
        </w:tc>
        <w:tc>
          <w:tcPr>
            <w:tcW w:w="2845" w:type="pct"/>
            <w:shd w:val="clear" w:color="auto" w:fill="FFFFFF"/>
            <w:noWrap w:val="0"/>
            <w:tcMar>
              <w:top w:w="28" w:type="dxa"/>
              <w:left w:w="28" w:type="dxa"/>
              <w:bottom w:w="28" w:type="dxa"/>
              <w:right w:w="28" w:type="dxa"/>
            </w:tcMar>
            <w:vAlign w:val="center"/>
          </w:tcPr>
          <w:p w14:paraId="57A3BAA7">
            <w:pPr>
              <w:pStyle w:val="11"/>
              <w:bidi w:val="0"/>
              <w:jc w:val="center"/>
              <w:rPr>
                <w:rFonts w:hint="eastAsia" w:eastAsia="宋体"/>
                <w:color w:val="000000"/>
                <w:lang w:eastAsia="zh-CN"/>
              </w:rPr>
            </w:pPr>
            <w:r>
              <w:rPr>
                <w:rFonts w:hint="eastAsia"/>
                <w:color w:val="000000"/>
              </w:rPr>
              <w:t>11804.16</w:t>
            </w:r>
          </w:p>
        </w:tc>
        <w:tc>
          <w:tcPr>
            <w:tcW w:w="572" w:type="pct"/>
            <w:shd w:val="clear" w:color="auto" w:fill="FFFFFF"/>
            <w:noWrap w:val="0"/>
            <w:tcMar>
              <w:top w:w="28" w:type="dxa"/>
              <w:left w:w="28" w:type="dxa"/>
              <w:bottom w:w="28" w:type="dxa"/>
              <w:right w:w="28" w:type="dxa"/>
            </w:tcMar>
            <w:vAlign w:val="center"/>
          </w:tcPr>
          <w:p w14:paraId="039F9E2F">
            <w:pPr>
              <w:pStyle w:val="11"/>
              <w:bidi w:val="0"/>
              <w:jc w:val="center"/>
              <w:rPr>
                <w:rFonts w:hint="eastAsia"/>
                <w:color w:val="000000"/>
                <w:lang w:val="en-US"/>
              </w:rPr>
            </w:pPr>
          </w:p>
        </w:tc>
      </w:tr>
      <w:tr w14:paraId="291128D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02884FC7">
            <w:pPr>
              <w:pStyle w:val="11"/>
              <w:bidi w:val="0"/>
              <w:jc w:val="center"/>
              <w:rPr>
                <w:rFonts w:hint="eastAsia" w:eastAsia="宋体"/>
                <w:color w:val="000000"/>
                <w:lang w:eastAsia="zh-CN"/>
              </w:rPr>
            </w:pPr>
            <w:r>
              <w:rPr>
                <w:rFonts w:hint="eastAsia"/>
                <w:color w:val="000000"/>
              </w:rPr>
              <w:t>油山</w:t>
            </w:r>
          </w:p>
        </w:tc>
        <w:tc>
          <w:tcPr>
            <w:tcW w:w="2845" w:type="pct"/>
            <w:shd w:val="clear" w:color="auto" w:fill="FFFFFF"/>
            <w:noWrap w:val="0"/>
            <w:tcMar>
              <w:top w:w="28" w:type="dxa"/>
              <w:left w:w="28" w:type="dxa"/>
              <w:bottom w:w="28" w:type="dxa"/>
              <w:right w:w="28" w:type="dxa"/>
            </w:tcMar>
            <w:vAlign w:val="center"/>
          </w:tcPr>
          <w:p w14:paraId="6294414C">
            <w:pPr>
              <w:pStyle w:val="11"/>
              <w:bidi w:val="0"/>
              <w:jc w:val="center"/>
              <w:rPr>
                <w:rFonts w:hint="eastAsia" w:eastAsia="宋体"/>
                <w:color w:val="000000"/>
                <w:lang w:eastAsia="zh-CN"/>
              </w:rPr>
            </w:pPr>
            <w:r>
              <w:rPr>
                <w:rFonts w:hint="eastAsia"/>
                <w:color w:val="000000"/>
              </w:rPr>
              <w:t>14662.79</w:t>
            </w:r>
          </w:p>
        </w:tc>
        <w:tc>
          <w:tcPr>
            <w:tcW w:w="572" w:type="pct"/>
            <w:shd w:val="clear" w:color="auto" w:fill="FFFFFF"/>
            <w:noWrap w:val="0"/>
            <w:tcMar>
              <w:top w:w="28" w:type="dxa"/>
              <w:left w:w="28" w:type="dxa"/>
              <w:bottom w:w="28" w:type="dxa"/>
              <w:right w:w="28" w:type="dxa"/>
            </w:tcMar>
            <w:vAlign w:val="center"/>
          </w:tcPr>
          <w:p w14:paraId="6E1F48A6">
            <w:pPr>
              <w:pStyle w:val="11"/>
              <w:bidi w:val="0"/>
              <w:jc w:val="center"/>
              <w:rPr>
                <w:rFonts w:hint="eastAsia"/>
                <w:color w:val="000000"/>
                <w:lang w:val="en-US"/>
              </w:rPr>
            </w:pPr>
          </w:p>
        </w:tc>
      </w:tr>
      <w:tr w14:paraId="7CCB0E5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0513A722">
            <w:pPr>
              <w:pStyle w:val="11"/>
              <w:bidi w:val="0"/>
              <w:jc w:val="center"/>
              <w:rPr>
                <w:rFonts w:hint="eastAsia" w:eastAsia="宋体"/>
                <w:color w:val="000000"/>
                <w:lang w:eastAsia="zh-CN"/>
              </w:rPr>
            </w:pPr>
            <w:r>
              <w:rPr>
                <w:rFonts w:hint="eastAsia"/>
                <w:color w:val="000000"/>
              </w:rPr>
              <w:t>南亩</w:t>
            </w:r>
          </w:p>
        </w:tc>
        <w:tc>
          <w:tcPr>
            <w:tcW w:w="2845" w:type="pct"/>
            <w:shd w:val="clear" w:color="auto" w:fill="FFFFFF"/>
            <w:noWrap w:val="0"/>
            <w:tcMar>
              <w:top w:w="28" w:type="dxa"/>
              <w:left w:w="28" w:type="dxa"/>
              <w:bottom w:w="28" w:type="dxa"/>
              <w:right w:w="28" w:type="dxa"/>
            </w:tcMar>
            <w:vAlign w:val="center"/>
          </w:tcPr>
          <w:p w14:paraId="0F9F280D">
            <w:pPr>
              <w:pStyle w:val="11"/>
              <w:bidi w:val="0"/>
              <w:jc w:val="center"/>
              <w:rPr>
                <w:rFonts w:hint="eastAsia" w:eastAsia="宋体"/>
                <w:color w:val="000000"/>
                <w:lang w:eastAsia="zh-CN"/>
              </w:rPr>
            </w:pPr>
            <w:r>
              <w:rPr>
                <w:rFonts w:hint="eastAsia"/>
                <w:color w:val="000000"/>
              </w:rPr>
              <w:t>11126.07</w:t>
            </w:r>
          </w:p>
        </w:tc>
        <w:tc>
          <w:tcPr>
            <w:tcW w:w="572" w:type="pct"/>
            <w:shd w:val="clear" w:color="auto" w:fill="FFFFFF"/>
            <w:noWrap w:val="0"/>
            <w:tcMar>
              <w:top w:w="28" w:type="dxa"/>
              <w:left w:w="28" w:type="dxa"/>
              <w:bottom w:w="28" w:type="dxa"/>
              <w:right w:w="28" w:type="dxa"/>
            </w:tcMar>
            <w:vAlign w:val="center"/>
          </w:tcPr>
          <w:p w14:paraId="05629626">
            <w:pPr>
              <w:pStyle w:val="11"/>
              <w:bidi w:val="0"/>
              <w:jc w:val="center"/>
              <w:rPr>
                <w:rFonts w:hint="eastAsia"/>
                <w:color w:val="000000"/>
                <w:lang w:val="en-US"/>
              </w:rPr>
            </w:pPr>
          </w:p>
        </w:tc>
      </w:tr>
      <w:tr w14:paraId="1C87314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7C510C19">
            <w:pPr>
              <w:pStyle w:val="11"/>
              <w:bidi w:val="0"/>
              <w:jc w:val="center"/>
              <w:rPr>
                <w:rFonts w:hint="eastAsia" w:eastAsia="宋体"/>
                <w:color w:val="000000"/>
                <w:lang w:eastAsia="zh-CN"/>
              </w:rPr>
            </w:pPr>
            <w:r>
              <w:rPr>
                <w:rFonts w:hint="eastAsia"/>
                <w:color w:val="000000"/>
              </w:rPr>
              <w:t>水口</w:t>
            </w:r>
          </w:p>
        </w:tc>
        <w:tc>
          <w:tcPr>
            <w:tcW w:w="2845" w:type="pct"/>
            <w:shd w:val="clear" w:color="auto" w:fill="FFFFFF"/>
            <w:noWrap w:val="0"/>
            <w:tcMar>
              <w:top w:w="28" w:type="dxa"/>
              <w:left w:w="28" w:type="dxa"/>
              <w:bottom w:w="28" w:type="dxa"/>
              <w:right w:w="28" w:type="dxa"/>
            </w:tcMar>
            <w:vAlign w:val="center"/>
          </w:tcPr>
          <w:p w14:paraId="05C46AF5">
            <w:pPr>
              <w:pStyle w:val="11"/>
              <w:bidi w:val="0"/>
              <w:jc w:val="center"/>
              <w:rPr>
                <w:rFonts w:hint="eastAsia" w:eastAsia="宋体"/>
                <w:color w:val="000000"/>
                <w:lang w:eastAsia="zh-CN"/>
              </w:rPr>
            </w:pPr>
            <w:r>
              <w:rPr>
                <w:rFonts w:hint="eastAsia"/>
                <w:color w:val="000000"/>
              </w:rPr>
              <w:t>10679.98</w:t>
            </w:r>
          </w:p>
        </w:tc>
        <w:tc>
          <w:tcPr>
            <w:tcW w:w="572" w:type="pct"/>
            <w:shd w:val="clear" w:color="auto" w:fill="FFFFFF"/>
            <w:noWrap w:val="0"/>
            <w:tcMar>
              <w:top w:w="28" w:type="dxa"/>
              <w:left w:w="28" w:type="dxa"/>
              <w:bottom w:w="28" w:type="dxa"/>
              <w:right w:w="28" w:type="dxa"/>
            </w:tcMar>
            <w:vAlign w:val="center"/>
          </w:tcPr>
          <w:p w14:paraId="77FFD335">
            <w:pPr>
              <w:pStyle w:val="11"/>
              <w:bidi w:val="0"/>
              <w:jc w:val="center"/>
              <w:rPr>
                <w:rFonts w:hint="eastAsia"/>
                <w:color w:val="000000"/>
                <w:lang w:val="en-US"/>
              </w:rPr>
            </w:pPr>
          </w:p>
        </w:tc>
      </w:tr>
      <w:tr w14:paraId="057B2A9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348387C2">
            <w:pPr>
              <w:pStyle w:val="11"/>
              <w:bidi w:val="0"/>
              <w:jc w:val="center"/>
              <w:rPr>
                <w:rFonts w:hint="eastAsia" w:eastAsia="宋体"/>
                <w:color w:val="000000"/>
                <w:lang w:eastAsia="zh-CN"/>
              </w:rPr>
            </w:pPr>
            <w:r>
              <w:rPr>
                <w:rFonts w:hint="eastAsia"/>
                <w:color w:val="000000"/>
              </w:rPr>
              <w:t>江头</w:t>
            </w:r>
          </w:p>
        </w:tc>
        <w:tc>
          <w:tcPr>
            <w:tcW w:w="2845" w:type="pct"/>
            <w:shd w:val="clear" w:color="auto" w:fill="FFFFFF"/>
            <w:noWrap w:val="0"/>
            <w:tcMar>
              <w:top w:w="28" w:type="dxa"/>
              <w:left w:w="28" w:type="dxa"/>
              <w:bottom w:w="28" w:type="dxa"/>
              <w:right w:w="28" w:type="dxa"/>
            </w:tcMar>
            <w:vAlign w:val="center"/>
          </w:tcPr>
          <w:p w14:paraId="3818EB2C">
            <w:pPr>
              <w:pStyle w:val="11"/>
              <w:bidi w:val="0"/>
              <w:jc w:val="center"/>
              <w:rPr>
                <w:rFonts w:hint="eastAsia" w:eastAsia="宋体"/>
                <w:color w:val="000000"/>
                <w:lang w:eastAsia="zh-CN"/>
              </w:rPr>
            </w:pPr>
            <w:r>
              <w:rPr>
                <w:rFonts w:hint="eastAsia"/>
                <w:color w:val="000000"/>
              </w:rPr>
              <w:t>13213.29</w:t>
            </w:r>
          </w:p>
        </w:tc>
        <w:tc>
          <w:tcPr>
            <w:tcW w:w="572" w:type="pct"/>
            <w:shd w:val="clear" w:color="auto" w:fill="FFFFFF"/>
            <w:noWrap w:val="0"/>
            <w:tcMar>
              <w:top w:w="28" w:type="dxa"/>
              <w:left w:w="28" w:type="dxa"/>
              <w:bottom w:w="28" w:type="dxa"/>
              <w:right w:w="28" w:type="dxa"/>
            </w:tcMar>
            <w:vAlign w:val="center"/>
          </w:tcPr>
          <w:p w14:paraId="49629579">
            <w:pPr>
              <w:pStyle w:val="11"/>
              <w:bidi w:val="0"/>
              <w:jc w:val="center"/>
              <w:rPr>
                <w:rFonts w:hint="eastAsia"/>
                <w:color w:val="000000"/>
                <w:lang w:val="en-US"/>
              </w:rPr>
            </w:pPr>
          </w:p>
        </w:tc>
      </w:tr>
      <w:tr w14:paraId="4DF9528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44C65BA8">
            <w:pPr>
              <w:pStyle w:val="11"/>
              <w:bidi w:val="0"/>
              <w:jc w:val="center"/>
              <w:rPr>
                <w:rFonts w:hint="eastAsia" w:eastAsia="宋体"/>
                <w:color w:val="000000"/>
                <w:lang w:eastAsia="zh-CN"/>
              </w:rPr>
            </w:pPr>
            <w:r>
              <w:rPr>
                <w:rFonts w:hint="eastAsia"/>
                <w:color w:val="000000"/>
              </w:rPr>
              <w:t>湖口</w:t>
            </w:r>
          </w:p>
        </w:tc>
        <w:tc>
          <w:tcPr>
            <w:tcW w:w="2845" w:type="pct"/>
            <w:shd w:val="clear" w:color="auto" w:fill="FFFFFF"/>
            <w:noWrap w:val="0"/>
            <w:tcMar>
              <w:top w:w="28" w:type="dxa"/>
              <w:left w:w="28" w:type="dxa"/>
              <w:bottom w:w="28" w:type="dxa"/>
              <w:right w:w="28" w:type="dxa"/>
            </w:tcMar>
            <w:vAlign w:val="center"/>
          </w:tcPr>
          <w:p w14:paraId="7D173873">
            <w:pPr>
              <w:pStyle w:val="11"/>
              <w:bidi w:val="0"/>
              <w:jc w:val="center"/>
              <w:rPr>
                <w:rFonts w:hint="eastAsia" w:eastAsia="宋体"/>
                <w:color w:val="000000"/>
                <w:lang w:eastAsia="zh-CN"/>
              </w:rPr>
            </w:pPr>
            <w:r>
              <w:rPr>
                <w:rFonts w:hint="eastAsia"/>
                <w:color w:val="000000"/>
              </w:rPr>
              <w:t>7364.42</w:t>
            </w:r>
          </w:p>
        </w:tc>
        <w:tc>
          <w:tcPr>
            <w:tcW w:w="572" w:type="pct"/>
            <w:shd w:val="clear" w:color="auto" w:fill="FFFFFF"/>
            <w:noWrap w:val="0"/>
            <w:tcMar>
              <w:top w:w="28" w:type="dxa"/>
              <w:left w:w="28" w:type="dxa"/>
              <w:bottom w:w="28" w:type="dxa"/>
              <w:right w:w="28" w:type="dxa"/>
            </w:tcMar>
            <w:vAlign w:val="center"/>
          </w:tcPr>
          <w:p w14:paraId="40A6A5EB">
            <w:pPr>
              <w:pStyle w:val="11"/>
              <w:bidi w:val="0"/>
              <w:jc w:val="center"/>
              <w:rPr>
                <w:rFonts w:hint="eastAsia"/>
                <w:color w:val="000000"/>
                <w:lang w:val="en-US"/>
              </w:rPr>
            </w:pPr>
          </w:p>
        </w:tc>
      </w:tr>
      <w:tr w14:paraId="39A9667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1A5A5786">
            <w:pPr>
              <w:pStyle w:val="11"/>
              <w:bidi w:val="0"/>
              <w:jc w:val="center"/>
              <w:rPr>
                <w:rFonts w:hint="eastAsia" w:eastAsia="宋体"/>
                <w:color w:val="000000"/>
                <w:lang w:eastAsia="zh-CN"/>
              </w:rPr>
            </w:pPr>
            <w:r>
              <w:rPr>
                <w:rFonts w:hint="eastAsia"/>
                <w:color w:val="000000"/>
              </w:rPr>
              <w:t>珠玑</w:t>
            </w:r>
          </w:p>
        </w:tc>
        <w:tc>
          <w:tcPr>
            <w:tcW w:w="2845" w:type="pct"/>
            <w:shd w:val="clear" w:color="auto" w:fill="FFFFFF"/>
            <w:noWrap w:val="0"/>
            <w:tcMar>
              <w:top w:w="28" w:type="dxa"/>
              <w:left w:w="28" w:type="dxa"/>
              <w:bottom w:w="28" w:type="dxa"/>
              <w:right w:w="28" w:type="dxa"/>
            </w:tcMar>
            <w:vAlign w:val="center"/>
          </w:tcPr>
          <w:p w14:paraId="5CFD7A37">
            <w:pPr>
              <w:pStyle w:val="11"/>
              <w:bidi w:val="0"/>
              <w:jc w:val="center"/>
              <w:rPr>
                <w:rFonts w:hint="eastAsia" w:eastAsia="宋体"/>
                <w:color w:val="000000"/>
                <w:lang w:eastAsia="zh-CN"/>
              </w:rPr>
            </w:pPr>
            <w:r>
              <w:rPr>
                <w:rFonts w:hint="eastAsia"/>
                <w:color w:val="000000"/>
              </w:rPr>
              <w:t>19752.96</w:t>
            </w:r>
          </w:p>
        </w:tc>
        <w:tc>
          <w:tcPr>
            <w:tcW w:w="572" w:type="pct"/>
            <w:shd w:val="clear" w:color="auto" w:fill="FFFFFF"/>
            <w:noWrap w:val="0"/>
            <w:tcMar>
              <w:top w:w="28" w:type="dxa"/>
              <w:left w:w="28" w:type="dxa"/>
              <w:bottom w:w="28" w:type="dxa"/>
              <w:right w:w="28" w:type="dxa"/>
            </w:tcMar>
            <w:vAlign w:val="center"/>
          </w:tcPr>
          <w:p w14:paraId="4A4432A5">
            <w:pPr>
              <w:pStyle w:val="11"/>
              <w:bidi w:val="0"/>
              <w:jc w:val="center"/>
              <w:rPr>
                <w:rFonts w:hint="eastAsia"/>
                <w:color w:val="000000"/>
                <w:lang w:val="en-US"/>
              </w:rPr>
            </w:pPr>
          </w:p>
        </w:tc>
      </w:tr>
      <w:tr w14:paraId="2959DD7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5643D442">
            <w:pPr>
              <w:pStyle w:val="11"/>
              <w:bidi w:val="0"/>
              <w:jc w:val="center"/>
              <w:rPr>
                <w:rFonts w:hint="eastAsia" w:eastAsia="宋体"/>
                <w:color w:val="000000"/>
                <w:lang w:eastAsia="zh-CN"/>
              </w:rPr>
            </w:pPr>
            <w:r>
              <w:rPr>
                <w:rFonts w:hint="eastAsia"/>
                <w:color w:val="000000"/>
              </w:rPr>
              <w:t>主田</w:t>
            </w:r>
          </w:p>
        </w:tc>
        <w:tc>
          <w:tcPr>
            <w:tcW w:w="2845" w:type="pct"/>
            <w:shd w:val="clear" w:color="auto" w:fill="FFFFFF"/>
            <w:noWrap w:val="0"/>
            <w:tcMar>
              <w:top w:w="28" w:type="dxa"/>
              <w:left w:w="28" w:type="dxa"/>
              <w:bottom w:w="28" w:type="dxa"/>
              <w:right w:w="28" w:type="dxa"/>
            </w:tcMar>
            <w:vAlign w:val="center"/>
          </w:tcPr>
          <w:p w14:paraId="53913F61">
            <w:pPr>
              <w:pStyle w:val="11"/>
              <w:bidi w:val="0"/>
              <w:jc w:val="center"/>
              <w:rPr>
                <w:rFonts w:hint="eastAsia" w:eastAsia="宋体"/>
                <w:color w:val="000000"/>
                <w:lang w:eastAsia="zh-CN"/>
              </w:rPr>
            </w:pPr>
            <w:r>
              <w:rPr>
                <w:rFonts w:hint="eastAsia"/>
                <w:color w:val="000000"/>
              </w:rPr>
              <w:t>16566.56</w:t>
            </w:r>
          </w:p>
        </w:tc>
        <w:tc>
          <w:tcPr>
            <w:tcW w:w="572" w:type="pct"/>
            <w:shd w:val="clear" w:color="auto" w:fill="FFFFFF"/>
            <w:noWrap w:val="0"/>
            <w:tcMar>
              <w:top w:w="28" w:type="dxa"/>
              <w:left w:w="28" w:type="dxa"/>
              <w:bottom w:w="28" w:type="dxa"/>
              <w:right w:w="28" w:type="dxa"/>
            </w:tcMar>
            <w:vAlign w:val="center"/>
          </w:tcPr>
          <w:p w14:paraId="50D47193">
            <w:pPr>
              <w:pStyle w:val="11"/>
              <w:bidi w:val="0"/>
              <w:jc w:val="center"/>
              <w:rPr>
                <w:rFonts w:hint="eastAsia"/>
                <w:color w:val="000000"/>
                <w:lang w:val="en-US"/>
              </w:rPr>
            </w:pPr>
          </w:p>
        </w:tc>
      </w:tr>
      <w:tr w14:paraId="0A39A98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66E95D81">
            <w:pPr>
              <w:pStyle w:val="11"/>
              <w:bidi w:val="0"/>
              <w:jc w:val="center"/>
              <w:rPr>
                <w:rFonts w:hint="eastAsia" w:eastAsia="宋体"/>
                <w:color w:val="000000"/>
                <w:lang w:eastAsia="zh-CN"/>
              </w:rPr>
            </w:pPr>
            <w:r>
              <w:rPr>
                <w:rFonts w:hint="eastAsia"/>
                <w:color w:val="000000"/>
              </w:rPr>
              <w:t>古市</w:t>
            </w:r>
          </w:p>
        </w:tc>
        <w:tc>
          <w:tcPr>
            <w:tcW w:w="2845" w:type="pct"/>
            <w:shd w:val="clear" w:color="auto" w:fill="FFFFFF"/>
            <w:noWrap w:val="0"/>
            <w:tcMar>
              <w:top w:w="28" w:type="dxa"/>
              <w:left w:w="28" w:type="dxa"/>
              <w:bottom w:w="28" w:type="dxa"/>
              <w:right w:w="28" w:type="dxa"/>
            </w:tcMar>
            <w:vAlign w:val="center"/>
          </w:tcPr>
          <w:p w14:paraId="3746DA31">
            <w:pPr>
              <w:pStyle w:val="11"/>
              <w:bidi w:val="0"/>
              <w:jc w:val="center"/>
              <w:rPr>
                <w:rFonts w:hint="eastAsia" w:eastAsia="宋体"/>
                <w:color w:val="000000"/>
                <w:lang w:eastAsia="zh-CN"/>
              </w:rPr>
            </w:pPr>
            <w:r>
              <w:rPr>
                <w:rFonts w:hint="eastAsia"/>
                <w:color w:val="000000"/>
              </w:rPr>
              <w:t>9862.61</w:t>
            </w:r>
          </w:p>
        </w:tc>
        <w:tc>
          <w:tcPr>
            <w:tcW w:w="572" w:type="pct"/>
            <w:shd w:val="clear" w:color="auto" w:fill="FFFFFF"/>
            <w:noWrap w:val="0"/>
            <w:tcMar>
              <w:top w:w="28" w:type="dxa"/>
              <w:left w:w="28" w:type="dxa"/>
              <w:bottom w:w="28" w:type="dxa"/>
              <w:right w:w="28" w:type="dxa"/>
            </w:tcMar>
            <w:vAlign w:val="center"/>
          </w:tcPr>
          <w:p w14:paraId="744941F9">
            <w:pPr>
              <w:pStyle w:val="11"/>
              <w:bidi w:val="0"/>
              <w:jc w:val="center"/>
              <w:rPr>
                <w:rFonts w:hint="eastAsia"/>
                <w:color w:val="000000"/>
                <w:lang w:val="en-US"/>
              </w:rPr>
            </w:pPr>
          </w:p>
        </w:tc>
      </w:tr>
      <w:tr w14:paraId="7A86DEB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2EB2DCB8">
            <w:pPr>
              <w:pStyle w:val="11"/>
              <w:bidi w:val="0"/>
              <w:jc w:val="center"/>
              <w:rPr>
                <w:rFonts w:hint="eastAsia" w:eastAsia="宋体"/>
                <w:color w:val="000000"/>
                <w:lang w:eastAsia="zh-CN"/>
              </w:rPr>
            </w:pPr>
            <w:r>
              <w:rPr>
                <w:rFonts w:hint="eastAsia"/>
                <w:color w:val="000000"/>
              </w:rPr>
              <w:t>全安</w:t>
            </w:r>
          </w:p>
        </w:tc>
        <w:tc>
          <w:tcPr>
            <w:tcW w:w="2845" w:type="pct"/>
            <w:shd w:val="clear" w:color="auto" w:fill="FFFFFF"/>
            <w:noWrap w:val="0"/>
            <w:tcMar>
              <w:top w:w="28" w:type="dxa"/>
              <w:left w:w="28" w:type="dxa"/>
              <w:bottom w:w="28" w:type="dxa"/>
              <w:right w:w="28" w:type="dxa"/>
            </w:tcMar>
            <w:vAlign w:val="center"/>
          </w:tcPr>
          <w:p w14:paraId="6276DB15">
            <w:pPr>
              <w:pStyle w:val="11"/>
              <w:bidi w:val="0"/>
              <w:jc w:val="center"/>
              <w:rPr>
                <w:rFonts w:hint="eastAsia" w:eastAsia="宋体"/>
                <w:color w:val="000000"/>
                <w:lang w:eastAsia="zh-CN"/>
              </w:rPr>
            </w:pPr>
            <w:r>
              <w:rPr>
                <w:rFonts w:hint="eastAsia"/>
                <w:color w:val="000000"/>
              </w:rPr>
              <w:t>19044.23</w:t>
            </w:r>
          </w:p>
        </w:tc>
        <w:tc>
          <w:tcPr>
            <w:tcW w:w="572" w:type="pct"/>
            <w:shd w:val="clear" w:color="auto" w:fill="FFFFFF"/>
            <w:noWrap w:val="0"/>
            <w:tcMar>
              <w:top w:w="28" w:type="dxa"/>
              <w:left w:w="28" w:type="dxa"/>
              <w:bottom w:w="28" w:type="dxa"/>
              <w:right w:w="28" w:type="dxa"/>
            </w:tcMar>
            <w:vAlign w:val="center"/>
          </w:tcPr>
          <w:p w14:paraId="1C407C08">
            <w:pPr>
              <w:pStyle w:val="11"/>
              <w:bidi w:val="0"/>
              <w:jc w:val="center"/>
              <w:rPr>
                <w:rFonts w:hint="eastAsia"/>
                <w:color w:val="000000"/>
                <w:lang w:val="en-US"/>
              </w:rPr>
            </w:pPr>
          </w:p>
        </w:tc>
      </w:tr>
      <w:tr w14:paraId="215B1CE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1C9FA2BD">
            <w:pPr>
              <w:pStyle w:val="11"/>
              <w:bidi w:val="0"/>
              <w:jc w:val="center"/>
              <w:rPr>
                <w:rFonts w:hint="eastAsia" w:eastAsia="宋体"/>
                <w:color w:val="000000"/>
                <w:lang w:eastAsia="zh-CN"/>
              </w:rPr>
            </w:pPr>
            <w:r>
              <w:rPr>
                <w:rFonts w:hint="eastAsia"/>
                <w:color w:val="000000"/>
              </w:rPr>
              <w:t>百顺</w:t>
            </w:r>
          </w:p>
        </w:tc>
        <w:tc>
          <w:tcPr>
            <w:tcW w:w="2845" w:type="pct"/>
            <w:shd w:val="clear" w:color="auto" w:fill="FFFFFF"/>
            <w:noWrap w:val="0"/>
            <w:tcMar>
              <w:top w:w="28" w:type="dxa"/>
              <w:left w:w="28" w:type="dxa"/>
              <w:bottom w:w="28" w:type="dxa"/>
              <w:right w:w="28" w:type="dxa"/>
            </w:tcMar>
            <w:vAlign w:val="center"/>
          </w:tcPr>
          <w:p w14:paraId="1795AA5C">
            <w:pPr>
              <w:pStyle w:val="11"/>
              <w:bidi w:val="0"/>
              <w:jc w:val="center"/>
              <w:rPr>
                <w:rFonts w:hint="eastAsia" w:eastAsia="宋体"/>
                <w:color w:val="000000"/>
                <w:lang w:eastAsia="zh-CN"/>
              </w:rPr>
            </w:pPr>
            <w:r>
              <w:rPr>
                <w:rFonts w:hint="eastAsia"/>
                <w:color w:val="000000"/>
              </w:rPr>
              <w:t>19141.81</w:t>
            </w:r>
          </w:p>
        </w:tc>
        <w:tc>
          <w:tcPr>
            <w:tcW w:w="572" w:type="pct"/>
            <w:shd w:val="clear" w:color="auto" w:fill="FFFFFF"/>
            <w:noWrap w:val="0"/>
            <w:tcMar>
              <w:top w:w="28" w:type="dxa"/>
              <w:left w:w="28" w:type="dxa"/>
              <w:bottom w:w="28" w:type="dxa"/>
              <w:right w:w="28" w:type="dxa"/>
            </w:tcMar>
            <w:vAlign w:val="center"/>
          </w:tcPr>
          <w:p w14:paraId="31CB9442">
            <w:pPr>
              <w:pStyle w:val="11"/>
              <w:bidi w:val="0"/>
              <w:jc w:val="center"/>
              <w:rPr>
                <w:rFonts w:hint="eastAsia"/>
                <w:color w:val="000000"/>
                <w:lang w:val="en-US"/>
              </w:rPr>
            </w:pPr>
          </w:p>
        </w:tc>
      </w:tr>
      <w:tr w14:paraId="2D038E1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497DDC9A">
            <w:pPr>
              <w:pStyle w:val="11"/>
              <w:bidi w:val="0"/>
              <w:jc w:val="center"/>
              <w:rPr>
                <w:rFonts w:hint="eastAsia" w:eastAsia="宋体"/>
                <w:color w:val="000000"/>
                <w:lang w:eastAsia="zh-CN"/>
              </w:rPr>
            </w:pPr>
            <w:r>
              <w:rPr>
                <w:rFonts w:hint="eastAsia"/>
                <w:color w:val="000000"/>
              </w:rPr>
              <w:t>澜河</w:t>
            </w:r>
          </w:p>
        </w:tc>
        <w:tc>
          <w:tcPr>
            <w:tcW w:w="2845" w:type="pct"/>
            <w:shd w:val="clear" w:color="auto" w:fill="FFFFFF"/>
            <w:noWrap w:val="0"/>
            <w:tcMar>
              <w:top w:w="28" w:type="dxa"/>
              <w:left w:w="28" w:type="dxa"/>
              <w:bottom w:w="28" w:type="dxa"/>
              <w:right w:w="28" w:type="dxa"/>
            </w:tcMar>
            <w:vAlign w:val="center"/>
          </w:tcPr>
          <w:p w14:paraId="77C06D6A">
            <w:pPr>
              <w:pStyle w:val="11"/>
              <w:bidi w:val="0"/>
              <w:jc w:val="center"/>
              <w:rPr>
                <w:rFonts w:hint="eastAsia" w:eastAsia="宋体"/>
                <w:color w:val="000000"/>
                <w:lang w:eastAsia="zh-CN"/>
              </w:rPr>
            </w:pPr>
            <w:r>
              <w:rPr>
                <w:rFonts w:hint="eastAsia"/>
                <w:color w:val="000000"/>
              </w:rPr>
              <w:t>13925.25</w:t>
            </w:r>
          </w:p>
        </w:tc>
        <w:tc>
          <w:tcPr>
            <w:tcW w:w="572" w:type="pct"/>
            <w:shd w:val="clear" w:color="auto" w:fill="FFFFFF"/>
            <w:noWrap w:val="0"/>
            <w:tcMar>
              <w:top w:w="28" w:type="dxa"/>
              <w:left w:w="28" w:type="dxa"/>
              <w:bottom w:w="28" w:type="dxa"/>
              <w:right w:w="28" w:type="dxa"/>
            </w:tcMar>
            <w:vAlign w:val="center"/>
          </w:tcPr>
          <w:p w14:paraId="5373F595">
            <w:pPr>
              <w:pStyle w:val="11"/>
              <w:bidi w:val="0"/>
              <w:jc w:val="center"/>
              <w:rPr>
                <w:rFonts w:hint="eastAsia"/>
                <w:color w:val="000000"/>
                <w:lang w:val="en-US"/>
              </w:rPr>
            </w:pPr>
          </w:p>
        </w:tc>
      </w:tr>
      <w:tr w14:paraId="006263E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78DB40C2">
            <w:pPr>
              <w:pStyle w:val="11"/>
              <w:bidi w:val="0"/>
              <w:jc w:val="center"/>
              <w:rPr>
                <w:rFonts w:hint="eastAsia" w:eastAsia="宋体"/>
                <w:color w:val="000000"/>
                <w:lang w:eastAsia="zh-CN"/>
              </w:rPr>
            </w:pPr>
            <w:r>
              <w:rPr>
                <w:rFonts w:hint="eastAsia"/>
                <w:color w:val="000000"/>
              </w:rPr>
              <w:t>帽子峰</w:t>
            </w:r>
          </w:p>
        </w:tc>
        <w:tc>
          <w:tcPr>
            <w:tcW w:w="2845" w:type="pct"/>
            <w:shd w:val="clear" w:color="auto" w:fill="FFFFFF"/>
            <w:noWrap w:val="0"/>
            <w:tcMar>
              <w:top w:w="28" w:type="dxa"/>
              <w:left w:w="28" w:type="dxa"/>
              <w:bottom w:w="28" w:type="dxa"/>
              <w:right w:w="28" w:type="dxa"/>
            </w:tcMar>
            <w:vAlign w:val="center"/>
          </w:tcPr>
          <w:p w14:paraId="757BC1B6">
            <w:pPr>
              <w:pStyle w:val="11"/>
              <w:bidi w:val="0"/>
              <w:jc w:val="center"/>
              <w:rPr>
                <w:rFonts w:hint="eastAsia" w:eastAsia="宋体"/>
                <w:color w:val="000000"/>
                <w:lang w:eastAsia="zh-CN"/>
              </w:rPr>
            </w:pPr>
            <w:r>
              <w:rPr>
                <w:rFonts w:hint="eastAsia"/>
                <w:color w:val="000000"/>
              </w:rPr>
              <w:t>9721.14</w:t>
            </w:r>
          </w:p>
        </w:tc>
        <w:tc>
          <w:tcPr>
            <w:tcW w:w="572" w:type="pct"/>
            <w:shd w:val="clear" w:color="auto" w:fill="FFFFFF"/>
            <w:noWrap w:val="0"/>
            <w:tcMar>
              <w:top w:w="28" w:type="dxa"/>
              <w:left w:w="28" w:type="dxa"/>
              <w:bottom w:w="28" w:type="dxa"/>
              <w:right w:w="28" w:type="dxa"/>
            </w:tcMar>
            <w:vAlign w:val="center"/>
          </w:tcPr>
          <w:p w14:paraId="5DD98D73">
            <w:pPr>
              <w:pStyle w:val="11"/>
              <w:bidi w:val="0"/>
              <w:jc w:val="center"/>
              <w:rPr>
                <w:rFonts w:hint="eastAsia"/>
                <w:color w:val="000000"/>
                <w:lang w:val="en-US"/>
              </w:rPr>
            </w:pPr>
          </w:p>
        </w:tc>
      </w:tr>
      <w:tr w14:paraId="3A88970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2497939B">
            <w:pPr>
              <w:pStyle w:val="11"/>
              <w:bidi w:val="0"/>
              <w:jc w:val="center"/>
              <w:rPr>
                <w:rFonts w:hint="eastAsia" w:eastAsia="宋体"/>
                <w:color w:val="000000"/>
                <w:lang w:eastAsia="zh-CN"/>
              </w:rPr>
            </w:pPr>
            <w:r>
              <w:rPr>
                <w:rFonts w:hint="eastAsia"/>
                <w:color w:val="000000"/>
              </w:rPr>
              <w:t>雄州街道</w:t>
            </w:r>
          </w:p>
        </w:tc>
        <w:tc>
          <w:tcPr>
            <w:tcW w:w="2845" w:type="pct"/>
            <w:shd w:val="clear" w:color="auto" w:fill="FFFFFF"/>
            <w:noWrap w:val="0"/>
            <w:tcMar>
              <w:top w:w="28" w:type="dxa"/>
              <w:left w:w="28" w:type="dxa"/>
              <w:bottom w:w="28" w:type="dxa"/>
              <w:right w:w="28" w:type="dxa"/>
            </w:tcMar>
            <w:vAlign w:val="center"/>
          </w:tcPr>
          <w:p w14:paraId="1C8F00A5">
            <w:pPr>
              <w:pStyle w:val="11"/>
              <w:bidi w:val="0"/>
              <w:jc w:val="center"/>
              <w:rPr>
                <w:rFonts w:hint="eastAsia" w:eastAsia="宋体"/>
                <w:color w:val="000000"/>
                <w:lang w:eastAsia="zh-CN"/>
              </w:rPr>
            </w:pPr>
            <w:r>
              <w:rPr>
                <w:rFonts w:hint="eastAsia"/>
                <w:color w:val="000000"/>
              </w:rPr>
              <w:t>9693.91</w:t>
            </w:r>
          </w:p>
        </w:tc>
        <w:tc>
          <w:tcPr>
            <w:tcW w:w="572" w:type="pct"/>
            <w:shd w:val="clear" w:color="auto" w:fill="FFFFFF"/>
            <w:noWrap w:val="0"/>
            <w:tcMar>
              <w:top w:w="28" w:type="dxa"/>
              <w:left w:w="28" w:type="dxa"/>
              <w:bottom w:w="28" w:type="dxa"/>
              <w:right w:w="28" w:type="dxa"/>
            </w:tcMar>
            <w:vAlign w:val="center"/>
          </w:tcPr>
          <w:p w14:paraId="672DF50E">
            <w:pPr>
              <w:pStyle w:val="11"/>
              <w:bidi w:val="0"/>
              <w:jc w:val="center"/>
              <w:rPr>
                <w:rFonts w:hint="eastAsia"/>
                <w:color w:val="000000"/>
                <w:lang w:val="en-US"/>
              </w:rPr>
            </w:pPr>
          </w:p>
        </w:tc>
      </w:tr>
      <w:tr w14:paraId="62123F1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1BD060ED">
            <w:pPr>
              <w:pStyle w:val="11"/>
              <w:bidi w:val="0"/>
              <w:jc w:val="center"/>
              <w:rPr>
                <w:rFonts w:hint="eastAsia" w:eastAsia="宋体"/>
                <w:color w:val="000000"/>
                <w:lang w:eastAsia="zh-CN"/>
              </w:rPr>
            </w:pPr>
            <w:r>
              <w:rPr>
                <w:rFonts w:hint="eastAsia"/>
                <w:color w:val="000000"/>
              </w:rPr>
              <w:t>帽子峰林场</w:t>
            </w:r>
          </w:p>
        </w:tc>
        <w:tc>
          <w:tcPr>
            <w:tcW w:w="2845" w:type="pct"/>
            <w:shd w:val="clear" w:color="auto" w:fill="FFFFFF"/>
            <w:noWrap w:val="0"/>
            <w:tcMar>
              <w:top w:w="28" w:type="dxa"/>
              <w:left w:w="28" w:type="dxa"/>
              <w:bottom w:w="28" w:type="dxa"/>
              <w:right w:w="28" w:type="dxa"/>
            </w:tcMar>
            <w:vAlign w:val="center"/>
          </w:tcPr>
          <w:p w14:paraId="3AFE0D27">
            <w:pPr>
              <w:pStyle w:val="11"/>
              <w:bidi w:val="0"/>
              <w:jc w:val="center"/>
              <w:rPr>
                <w:rFonts w:hint="eastAsia" w:eastAsia="宋体"/>
                <w:color w:val="000000"/>
                <w:lang w:eastAsia="zh-CN"/>
              </w:rPr>
            </w:pPr>
            <w:r>
              <w:rPr>
                <w:rFonts w:hint="eastAsia"/>
                <w:color w:val="000000"/>
              </w:rPr>
              <w:t>2876.14</w:t>
            </w:r>
          </w:p>
        </w:tc>
        <w:tc>
          <w:tcPr>
            <w:tcW w:w="572" w:type="pct"/>
            <w:shd w:val="clear" w:color="auto" w:fill="FFFFFF"/>
            <w:noWrap w:val="0"/>
            <w:tcMar>
              <w:top w:w="28" w:type="dxa"/>
              <w:left w:w="28" w:type="dxa"/>
              <w:bottom w:w="28" w:type="dxa"/>
              <w:right w:w="28" w:type="dxa"/>
            </w:tcMar>
            <w:vAlign w:val="center"/>
          </w:tcPr>
          <w:p w14:paraId="490CF602">
            <w:pPr>
              <w:pStyle w:val="11"/>
              <w:bidi w:val="0"/>
              <w:jc w:val="center"/>
              <w:rPr>
                <w:rFonts w:hint="eastAsia"/>
                <w:color w:val="000000"/>
                <w:lang w:val="en-US"/>
              </w:rPr>
            </w:pPr>
          </w:p>
        </w:tc>
      </w:tr>
      <w:tr w14:paraId="48FD2A1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00D0183D">
            <w:pPr>
              <w:pStyle w:val="11"/>
              <w:bidi w:val="0"/>
              <w:jc w:val="center"/>
              <w:rPr>
                <w:rFonts w:hint="eastAsia" w:eastAsia="宋体"/>
                <w:color w:val="000000"/>
                <w:lang w:eastAsia="zh-CN"/>
              </w:rPr>
            </w:pPr>
            <w:r>
              <w:rPr>
                <w:rFonts w:hint="eastAsia"/>
                <w:color w:val="000000"/>
              </w:rPr>
              <w:t>山门林场</w:t>
            </w:r>
          </w:p>
        </w:tc>
        <w:tc>
          <w:tcPr>
            <w:tcW w:w="2845" w:type="pct"/>
            <w:shd w:val="clear" w:color="auto" w:fill="FFFFFF"/>
            <w:noWrap w:val="0"/>
            <w:tcMar>
              <w:top w:w="28" w:type="dxa"/>
              <w:left w:w="28" w:type="dxa"/>
              <w:bottom w:w="28" w:type="dxa"/>
              <w:right w:w="28" w:type="dxa"/>
            </w:tcMar>
            <w:vAlign w:val="center"/>
          </w:tcPr>
          <w:p w14:paraId="1EFF58C1">
            <w:pPr>
              <w:pStyle w:val="11"/>
              <w:bidi w:val="0"/>
              <w:jc w:val="center"/>
              <w:rPr>
                <w:rFonts w:hint="eastAsia" w:eastAsia="宋体"/>
                <w:color w:val="000000"/>
                <w:lang w:eastAsia="zh-CN"/>
              </w:rPr>
            </w:pPr>
            <w:r>
              <w:rPr>
                <w:rFonts w:hint="eastAsia"/>
                <w:color w:val="000000"/>
              </w:rPr>
              <w:t>1414.06</w:t>
            </w:r>
          </w:p>
        </w:tc>
        <w:tc>
          <w:tcPr>
            <w:tcW w:w="572" w:type="pct"/>
            <w:shd w:val="clear" w:color="auto" w:fill="FFFFFF"/>
            <w:noWrap w:val="0"/>
            <w:tcMar>
              <w:top w:w="28" w:type="dxa"/>
              <w:left w:w="28" w:type="dxa"/>
              <w:bottom w:w="28" w:type="dxa"/>
              <w:right w:w="28" w:type="dxa"/>
            </w:tcMar>
            <w:vAlign w:val="center"/>
          </w:tcPr>
          <w:p w14:paraId="06A7D211">
            <w:pPr>
              <w:pStyle w:val="11"/>
              <w:bidi w:val="0"/>
              <w:jc w:val="center"/>
              <w:rPr>
                <w:rFonts w:hint="eastAsia"/>
                <w:color w:val="000000"/>
                <w:lang w:val="en-US"/>
              </w:rPr>
            </w:pPr>
          </w:p>
        </w:tc>
      </w:tr>
      <w:tr w14:paraId="3B065D4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81" w:type="pct"/>
            <w:shd w:val="clear" w:color="auto" w:fill="FFFFFF"/>
            <w:noWrap w:val="0"/>
            <w:tcMar>
              <w:top w:w="28" w:type="dxa"/>
              <w:left w:w="28" w:type="dxa"/>
              <w:bottom w:w="28" w:type="dxa"/>
              <w:right w:w="28" w:type="dxa"/>
            </w:tcMar>
            <w:vAlign w:val="center"/>
          </w:tcPr>
          <w:p w14:paraId="18B413FA">
            <w:pPr>
              <w:pStyle w:val="11"/>
              <w:bidi w:val="0"/>
              <w:jc w:val="center"/>
              <w:rPr>
                <w:rFonts w:hint="eastAsia" w:eastAsia="宋体"/>
                <w:color w:val="000000"/>
                <w:lang w:eastAsia="zh-CN"/>
              </w:rPr>
            </w:pPr>
            <w:r>
              <w:rPr>
                <w:rFonts w:hint="eastAsia"/>
                <w:color w:val="000000"/>
              </w:rPr>
              <w:t>泷头林场</w:t>
            </w:r>
          </w:p>
        </w:tc>
        <w:tc>
          <w:tcPr>
            <w:tcW w:w="2845" w:type="pct"/>
            <w:shd w:val="clear" w:color="auto" w:fill="FFFFFF"/>
            <w:noWrap w:val="0"/>
            <w:tcMar>
              <w:top w:w="28" w:type="dxa"/>
              <w:left w:w="28" w:type="dxa"/>
              <w:bottom w:w="28" w:type="dxa"/>
              <w:right w:w="28" w:type="dxa"/>
            </w:tcMar>
            <w:vAlign w:val="center"/>
          </w:tcPr>
          <w:p w14:paraId="77E06B0B">
            <w:pPr>
              <w:pStyle w:val="11"/>
              <w:bidi w:val="0"/>
              <w:jc w:val="center"/>
              <w:rPr>
                <w:rFonts w:hint="eastAsia" w:eastAsia="宋体"/>
                <w:color w:val="000000"/>
                <w:lang w:eastAsia="zh-CN"/>
              </w:rPr>
            </w:pPr>
            <w:r>
              <w:rPr>
                <w:rFonts w:hint="eastAsia"/>
                <w:color w:val="000000"/>
              </w:rPr>
              <w:t>776.06</w:t>
            </w:r>
          </w:p>
        </w:tc>
        <w:tc>
          <w:tcPr>
            <w:tcW w:w="572" w:type="pct"/>
            <w:shd w:val="clear" w:color="auto" w:fill="FFFFFF"/>
            <w:noWrap w:val="0"/>
            <w:tcMar>
              <w:top w:w="28" w:type="dxa"/>
              <w:left w:w="28" w:type="dxa"/>
              <w:bottom w:w="28" w:type="dxa"/>
              <w:right w:w="28" w:type="dxa"/>
            </w:tcMar>
            <w:vAlign w:val="center"/>
          </w:tcPr>
          <w:p w14:paraId="39B1901E">
            <w:pPr>
              <w:pStyle w:val="11"/>
              <w:bidi w:val="0"/>
              <w:jc w:val="center"/>
              <w:rPr>
                <w:rFonts w:hint="eastAsia"/>
                <w:color w:val="000000"/>
                <w:lang w:val="en-US"/>
              </w:rPr>
            </w:pPr>
          </w:p>
        </w:tc>
      </w:tr>
    </w:tbl>
    <w:p w14:paraId="089E4EF3">
      <w:pPr>
        <w:bidi w:val="0"/>
        <w:ind w:left="0" w:leftChars="0" w:firstLine="0" w:firstLineChars="0"/>
        <w:rPr>
          <w:rFonts w:hint="eastAsia"/>
          <w:b/>
          <w:bCs/>
        </w:rPr>
      </w:pPr>
      <w:r>
        <w:rPr>
          <w:rFonts w:hint="eastAsia"/>
          <w:b/>
          <w:bCs/>
        </w:rPr>
        <w:t>数据提供：市自然资源局</w:t>
      </w:r>
    </w:p>
    <w:p w14:paraId="5DE9C0B5">
      <w:pPr>
        <w:pStyle w:val="4"/>
        <w:bidi w:val="0"/>
        <w:rPr>
          <w:rFonts w:hint="eastAsia"/>
        </w:rPr>
      </w:pPr>
      <w:r>
        <w:rPr>
          <w:rFonts w:hint="eastAsia"/>
        </w:rPr>
        <w:t>表36</w:t>
      </w:r>
      <w:r>
        <w:rPr>
          <w:rFonts w:hint="eastAsia"/>
          <w:lang w:val="en-US" w:eastAsia="zh-CN"/>
        </w:rPr>
        <w:t xml:space="preserve">  </w:t>
      </w:r>
      <w:r>
        <w:rPr>
          <w:rFonts w:hint="eastAsia"/>
        </w:rPr>
        <w:t>环境保护情况</w:t>
      </w:r>
    </w:p>
    <w:tbl>
      <w:tblPr>
        <w:tblStyle w:val="7"/>
        <w:tblW w:w="4998"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930"/>
        <w:gridCol w:w="2590"/>
        <w:gridCol w:w="2111"/>
        <w:gridCol w:w="2111"/>
      </w:tblGrid>
      <w:tr w14:paraId="0C9F0EE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34E84FAE">
            <w:pPr>
              <w:pStyle w:val="11"/>
              <w:bidi w:val="0"/>
              <w:jc w:val="center"/>
              <w:rPr>
                <w:rFonts w:hint="eastAsia" w:eastAsia="宋体"/>
                <w:b/>
                <w:bCs/>
                <w:color w:val="000000"/>
                <w:lang w:eastAsia="zh-CN"/>
              </w:rPr>
            </w:pPr>
            <w:r>
              <w:rPr>
                <w:rFonts w:hint="eastAsia"/>
                <w:b/>
                <w:bCs/>
                <w:color w:val="000000"/>
              </w:rPr>
              <w:t>指标名称</w:t>
            </w:r>
          </w:p>
        </w:tc>
        <w:tc>
          <w:tcPr>
            <w:tcW w:w="1329" w:type="pct"/>
            <w:shd w:val="clear" w:color="auto" w:fill="FFFFFF"/>
            <w:noWrap w:val="0"/>
            <w:tcMar>
              <w:top w:w="28" w:type="dxa"/>
              <w:left w:w="28" w:type="dxa"/>
              <w:bottom w:w="28" w:type="dxa"/>
              <w:right w:w="28" w:type="dxa"/>
            </w:tcMar>
            <w:vAlign w:val="center"/>
          </w:tcPr>
          <w:p w14:paraId="1EE61FAD">
            <w:pPr>
              <w:pStyle w:val="11"/>
              <w:bidi w:val="0"/>
              <w:jc w:val="center"/>
              <w:rPr>
                <w:rFonts w:hint="eastAsia" w:eastAsia="宋体"/>
                <w:b/>
                <w:bCs/>
                <w:color w:val="000000"/>
                <w:lang w:val="en-US" w:eastAsia="zh-CN"/>
              </w:rPr>
            </w:pPr>
            <w:r>
              <w:rPr>
                <w:rFonts w:hint="eastAsia"/>
                <w:b/>
                <w:bCs/>
                <w:color w:val="000000"/>
              </w:rPr>
              <w:t>计量单位</w:t>
            </w:r>
          </w:p>
        </w:tc>
        <w:tc>
          <w:tcPr>
            <w:tcW w:w="1083" w:type="pct"/>
            <w:shd w:val="clear" w:color="auto" w:fill="FFFFFF"/>
            <w:noWrap w:val="0"/>
            <w:tcMar>
              <w:top w:w="28" w:type="dxa"/>
              <w:left w:w="113" w:type="dxa"/>
              <w:bottom w:w="28" w:type="dxa"/>
              <w:right w:w="28" w:type="dxa"/>
            </w:tcMar>
            <w:vAlign w:val="center"/>
          </w:tcPr>
          <w:p w14:paraId="17FD101B">
            <w:pPr>
              <w:pStyle w:val="11"/>
              <w:bidi w:val="0"/>
              <w:jc w:val="center"/>
              <w:rPr>
                <w:rFonts w:hint="eastAsia" w:eastAsia="宋体"/>
                <w:b/>
                <w:bCs/>
                <w:color w:val="000000"/>
                <w:lang w:val="en-US" w:eastAsia="zh-CN"/>
              </w:rPr>
            </w:pPr>
            <w:r>
              <w:rPr>
                <w:rFonts w:hint="eastAsia"/>
                <w:b/>
                <w:bCs/>
                <w:color w:val="000000"/>
              </w:rPr>
              <w:t>2018年</w:t>
            </w:r>
          </w:p>
        </w:tc>
        <w:tc>
          <w:tcPr>
            <w:tcW w:w="1083" w:type="pct"/>
            <w:shd w:val="clear" w:color="auto" w:fill="FFFFFF"/>
            <w:noWrap w:val="0"/>
            <w:tcMar>
              <w:left w:w="113" w:type="dxa"/>
            </w:tcMar>
            <w:vAlign w:val="center"/>
          </w:tcPr>
          <w:p w14:paraId="1B69B5D2">
            <w:pPr>
              <w:pStyle w:val="11"/>
              <w:bidi w:val="0"/>
              <w:jc w:val="center"/>
              <w:rPr>
                <w:rFonts w:hint="eastAsia" w:eastAsia="宋体"/>
                <w:b/>
                <w:bCs/>
                <w:color w:val="000000"/>
                <w:lang w:val="en-US" w:eastAsia="zh-CN"/>
              </w:rPr>
            </w:pPr>
            <w:r>
              <w:rPr>
                <w:rFonts w:hint="eastAsia"/>
                <w:b/>
                <w:bCs/>
                <w:color w:val="000000"/>
              </w:rPr>
              <w:t>2017年</w:t>
            </w:r>
          </w:p>
        </w:tc>
      </w:tr>
      <w:tr w14:paraId="23C5471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6938900A">
            <w:pPr>
              <w:pStyle w:val="11"/>
              <w:bidi w:val="0"/>
              <w:jc w:val="both"/>
              <w:rPr>
                <w:rFonts w:hint="eastAsia" w:eastAsia="宋体"/>
                <w:color w:val="000000"/>
                <w:lang w:eastAsia="zh-CN"/>
              </w:rPr>
            </w:pPr>
            <w:r>
              <w:rPr>
                <w:rFonts w:hint="eastAsia"/>
                <w:color w:val="000000"/>
              </w:rPr>
              <w:t>1、废水排放</w:t>
            </w:r>
          </w:p>
        </w:tc>
        <w:tc>
          <w:tcPr>
            <w:tcW w:w="1329" w:type="pct"/>
            <w:shd w:val="clear" w:color="auto" w:fill="FFFFFF"/>
            <w:noWrap w:val="0"/>
            <w:tcMar>
              <w:top w:w="28" w:type="dxa"/>
              <w:left w:w="28" w:type="dxa"/>
              <w:bottom w:w="28" w:type="dxa"/>
              <w:right w:w="28" w:type="dxa"/>
            </w:tcMar>
            <w:vAlign w:val="center"/>
          </w:tcPr>
          <w:p w14:paraId="19A330D0">
            <w:pPr>
              <w:pStyle w:val="11"/>
              <w:bidi w:val="0"/>
              <w:jc w:val="center"/>
              <w:rPr>
                <w:rFonts w:hint="eastAsia"/>
                <w:color w:val="000000"/>
                <w:lang w:val="en-US"/>
              </w:rPr>
            </w:pPr>
          </w:p>
        </w:tc>
        <w:tc>
          <w:tcPr>
            <w:tcW w:w="1083" w:type="pct"/>
            <w:shd w:val="clear" w:color="auto" w:fill="FFFFFF"/>
            <w:noWrap w:val="0"/>
            <w:tcMar>
              <w:top w:w="28" w:type="dxa"/>
              <w:left w:w="113" w:type="dxa"/>
              <w:bottom w:w="28" w:type="dxa"/>
              <w:right w:w="28" w:type="dxa"/>
            </w:tcMar>
            <w:vAlign w:val="center"/>
          </w:tcPr>
          <w:p w14:paraId="69B06319">
            <w:pPr>
              <w:pStyle w:val="11"/>
              <w:bidi w:val="0"/>
              <w:jc w:val="center"/>
              <w:rPr>
                <w:rFonts w:hint="eastAsia"/>
                <w:color w:val="000000"/>
                <w:lang w:val="en-US"/>
              </w:rPr>
            </w:pPr>
          </w:p>
        </w:tc>
        <w:tc>
          <w:tcPr>
            <w:tcW w:w="1083" w:type="pct"/>
            <w:shd w:val="clear" w:color="auto" w:fill="FFFFFF"/>
            <w:noWrap w:val="0"/>
            <w:tcMar>
              <w:left w:w="113" w:type="dxa"/>
            </w:tcMar>
            <w:vAlign w:val="center"/>
          </w:tcPr>
          <w:p w14:paraId="585A96C9">
            <w:pPr>
              <w:pStyle w:val="11"/>
              <w:bidi w:val="0"/>
              <w:jc w:val="center"/>
              <w:rPr>
                <w:rFonts w:hint="eastAsia"/>
                <w:color w:val="000000"/>
                <w:lang w:val="en-US"/>
              </w:rPr>
            </w:pPr>
          </w:p>
        </w:tc>
      </w:tr>
      <w:tr w14:paraId="1294377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4B545431">
            <w:pPr>
              <w:pStyle w:val="11"/>
              <w:bidi w:val="0"/>
              <w:ind w:leftChars="200"/>
              <w:jc w:val="both"/>
              <w:rPr>
                <w:rFonts w:hint="eastAsia" w:eastAsia="宋体"/>
                <w:color w:val="000000"/>
                <w:lang w:eastAsia="zh-CN"/>
              </w:rPr>
            </w:pPr>
            <w:r>
              <w:rPr>
                <w:rFonts w:hint="eastAsia"/>
                <w:color w:val="000000"/>
              </w:rPr>
              <w:t>#工业废水排放总量</w:t>
            </w:r>
          </w:p>
        </w:tc>
        <w:tc>
          <w:tcPr>
            <w:tcW w:w="1329" w:type="pct"/>
            <w:shd w:val="clear" w:color="auto" w:fill="FFFFFF"/>
            <w:noWrap w:val="0"/>
            <w:tcMar>
              <w:top w:w="28" w:type="dxa"/>
              <w:left w:w="28" w:type="dxa"/>
              <w:bottom w:w="28" w:type="dxa"/>
              <w:right w:w="28" w:type="dxa"/>
            </w:tcMar>
            <w:vAlign w:val="center"/>
          </w:tcPr>
          <w:p w14:paraId="062E120E">
            <w:pPr>
              <w:pStyle w:val="11"/>
              <w:bidi w:val="0"/>
              <w:jc w:val="center"/>
              <w:rPr>
                <w:rFonts w:hint="eastAsia" w:eastAsia="宋体"/>
                <w:color w:val="000000"/>
                <w:lang w:eastAsia="zh-CN"/>
              </w:rPr>
            </w:pPr>
            <w:r>
              <w:rPr>
                <w:rFonts w:hint="eastAsia"/>
                <w:color w:val="000000"/>
              </w:rPr>
              <w:t>万吨</w:t>
            </w:r>
          </w:p>
        </w:tc>
        <w:tc>
          <w:tcPr>
            <w:tcW w:w="1083" w:type="pct"/>
            <w:shd w:val="clear" w:color="auto" w:fill="FFFFFF"/>
            <w:noWrap w:val="0"/>
            <w:tcMar>
              <w:top w:w="28" w:type="dxa"/>
              <w:left w:w="113" w:type="dxa"/>
              <w:bottom w:w="28" w:type="dxa"/>
              <w:right w:w="28" w:type="dxa"/>
            </w:tcMar>
            <w:vAlign w:val="center"/>
          </w:tcPr>
          <w:p w14:paraId="7DC1E280">
            <w:pPr>
              <w:pStyle w:val="11"/>
              <w:bidi w:val="0"/>
              <w:jc w:val="center"/>
              <w:rPr>
                <w:rFonts w:hint="eastAsia" w:eastAsia="宋体"/>
                <w:color w:val="000000"/>
                <w:lang w:eastAsia="zh-CN"/>
              </w:rPr>
            </w:pPr>
            <w:r>
              <w:rPr>
                <w:rFonts w:hint="eastAsia"/>
                <w:color w:val="000000"/>
              </w:rPr>
              <w:t>409.706</w:t>
            </w:r>
          </w:p>
        </w:tc>
        <w:tc>
          <w:tcPr>
            <w:tcW w:w="1083" w:type="pct"/>
            <w:shd w:val="clear" w:color="auto" w:fill="FFFFFF"/>
            <w:noWrap w:val="0"/>
            <w:tcMar>
              <w:left w:w="113" w:type="dxa"/>
            </w:tcMar>
            <w:vAlign w:val="center"/>
          </w:tcPr>
          <w:p w14:paraId="23B3E7C8">
            <w:pPr>
              <w:pStyle w:val="11"/>
              <w:bidi w:val="0"/>
              <w:jc w:val="center"/>
              <w:rPr>
                <w:rFonts w:hint="eastAsia" w:eastAsia="宋体"/>
                <w:color w:val="000000"/>
                <w:lang w:eastAsia="zh-CN"/>
              </w:rPr>
            </w:pPr>
            <w:r>
              <w:rPr>
                <w:rFonts w:hint="eastAsia"/>
                <w:color w:val="000000"/>
              </w:rPr>
              <w:t>326.54</w:t>
            </w:r>
          </w:p>
        </w:tc>
      </w:tr>
      <w:tr w14:paraId="62FBB68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31962F98">
            <w:pPr>
              <w:pStyle w:val="11"/>
              <w:bidi w:val="0"/>
              <w:ind w:leftChars="200"/>
              <w:jc w:val="both"/>
              <w:rPr>
                <w:rFonts w:hint="eastAsia" w:eastAsia="宋体"/>
                <w:color w:val="000000"/>
                <w:lang w:eastAsia="zh-CN"/>
              </w:rPr>
            </w:pPr>
            <w:r>
              <w:rPr>
                <w:rFonts w:hint="eastAsia"/>
                <w:color w:val="000000"/>
              </w:rPr>
              <w:t>工业废水排放达标率</w:t>
            </w:r>
          </w:p>
        </w:tc>
        <w:tc>
          <w:tcPr>
            <w:tcW w:w="1329" w:type="pct"/>
            <w:shd w:val="clear" w:color="auto" w:fill="FFFFFF"/>
            <w:noWrap w:val="0"/>
            <w:tcMar>
              <w:top w:w="28" w:type="dxa"/>
              <w:left w:w="28" w:type="dxa"/>
              <w:bottom w:w="28" w:type="dxa"/>
              <w:right w:w="28" w:type="dxa"/>
            </w:tcMar>
            <w:vAlign w:val="center"/>
          </w:tcPr>
          <w:p w14:paraId="4B54811E">
            <w:pPr>
              <w:pStyle w:val="11"/>
              <w:bidi w:val="0"/>
              <w:jc w:val="center"/>
              <w:rPr>
                <w:rFonts w:hint="eastAsia" w:eastAsia="宋体"/>
                <w:color w:val="000000"/>
                <w:lang w:eastAsia="zh-CN"/>
              </w:rPr>
            </w:pPr>
            <w:r>
              <w:rPr>
                <w:rFonts w:hint="eastAsia"/>
                <w:color w:val="000000"/>
              </w:rPr>
              <w:t>%</w:t>
            </w:r>
          </w:p>
        </w:tc>
        <w:tc>
          <w:tcPr>
            <w:tcW w:w="1083" w:type="pct"/>
            <w:shd w:val="clear" w:color="auto" w:fill="FFFFFF"/>
            <w:noWrap w:val="0"/>
            <w:tcMar>
              <w:top w:w="28" w:type="dxa"/>
              <w:left w:w="113" w:type="dxa"/>
              <w:bottom w:w="28" w:type="dxa"/>
              <w:right w:w="28" w:type="dxa"/>
            </w:tcMar>
            <w:vAlign w:val="center"/>
          </w:tcPr>
          <w:p w14:paraId="6A8FA4D2">
            <w:pPr>
              <w:pStyle w:val="11"/>
              <w:bidi w:val="0"/>
              <w:jc w:val="center"/>
              <w:rPr>
                <w:rFonts w:hint="eastAsia" w:eastAsia="宋体"/>
                <w:color w:val="000000"/>
                <w:lang w:eastAsia="zh-CN"/>
              </w:rPr>
            </w:pPr>
            <w:r>
              <w:rPr>
                <w:rFonts w:hint="eastAsia"/>
                <w:color w:val="000000"/>
              </w:rPr>
              <w:t>100</w:t>
            </w:r>
          </w:p>
        </w:tc>
        <w:tc>
          <w:tcPr>
            <w:tcW w:w="1083" w:type="pct"/>
            <w:shd w:val="clear" w:color="auto" w:fill="FFFFFF"/>
            <w:noWrap w:val="0"/>
            <w:tcMar>
              <w:left w:w="113" w:type="dxa"/>
            </w:tcMar>
            <w:vAlign w:val="center"/>
          </w:tcPr>
          <w:p w14:paraId="3517BBC4">
            <w:pPr>
              <w:pStyle w:val="11"/>
              <w:bidi w:val="0"/>
              <w:jc w:val="center"/>
              <w:rPr>
                <w:rFonts w:hint="eastAsia" w:eastAsia="宋体"/>
                <w:color w:val="000000"/>
                <w:lang w:eastAsia="zh-CN"/>
              </w:rPr>
            </w:pPr>
            <w:r>
              <w:rPr>
                <w:rFonts w:hint="eastAsia"/>
                <w:color w:val="000000"/>
              </w:rPr>
              <w:t>100</w:t>
            </w:r>
          </w:p>
        </w:tc>
      </w:tr>
      <w:tr w14:paraId="7918E03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29EE29A8">
            <w:pPr>
              <w:pStyle w:val="11"/>
              <w:bidi w:val="0"/>
              <w:jc w:val="both"/>
              <w:rPr>
                <w:rFonts w:hint="eastAsia" w:eastAsia="宋体"/>
                <w:color w:val="000000"/>
                <w:lang w:eastAsia="zh-CN"/>
              </w:rPr>
            </w:pPr>
            <w:r>
              <w:rPr>
                <w:rFonts w:hint="eastAsia"/>
                <w:color w:val="000000"/>
              </w:rPr>
              <w:t>2、废水处理</w:t>
            </w:r>
          </w:p>
        </w:tc>
        <w:tc>
          <w:tcPr>
            <w:tcW w:w="1329" w:type="pct"/>
            <w:shd w:val="clear" w:color="auto" w:fill="FFFFFF"/>
            <w:noWrap w:val="0"/>
            <w:tcMar>
              <w:top w:w="28" w:type="dxa"/>
              <w:left w:w="28" w:type="dxa"/>
              <w:bottom w:w="28" w:type="dxa"/>
              <w:right w:w="28" w:type="dxa"/>
            </w:tcMar>
            <w:vAlign w:val="center"/>
          </w:tcPr>
          <w:p w14:paraId="088934B4">
            <w:pPr>
              <w:pStyle w:val="11"/>
              <w:bidi w:val="0"/>
              <w:jc w:val="center"/>
              <w:rPr>
                <w:rFonts w:hint="eastAsia"/>
                <w:color w:val="000000"/>
                <w:lang w:val="en-US"/>
              </w:rPr>
            </w:pPr>
          </w:p>
        </w:tc>
        <w:tc>
          <w:tcPr>
            <w:tcW w:w="1083" w:type="pct"/>
            <w:shd w:val="clear" w:color="auto" w:fill="FFFFFF"/>
            <w:noWrap w:val="0"/>
            <w:tcMar>
              <w:top w:w="28" w:type="dxa"/>
              <w:left w:w="113" w:type="dxa"/>
              <w:bottom w:w="28" w:type="dxa"/>
              <w:right w:w="28" w:type="dxa"/>
            </w:tcMar>
            <w:vAlign w:val="center"/>
          </w:tcPr>
          <w:p w14:paraId="02C0AA57">
            <w:pPr>
              <w:pStyle w:val="11"/>
              <w:bidi w:val="0"/>
              <w:jc w:val="center"/>
              <w:rPr>
                <w:rFonts w:hint="eastAsia"/>
                <w:color w:val="000000"/>
                <w:lang w:val="en-US"/>
              </w:rPr>
            </w:pPr>
          </w:p>
        </w:tc>
        <w:tc>
          <w:tcPr>
            <w:tcW w:w="1083" w:type="pct"/>
            <w:shd w:val="clear" w:color="auto" w:fill="FFFFFF"/>
            <w:noWrap w:val="0"/>
            <w:tcMar>
              <w:left w:w="113" w:type="dxa"/>
            </w:tcMar>
            <w:vAlign w:val="center"/>
          </w:tcPr>
          <w:p w14:paraId="07698BDB">
            <w:pPr>
              <w:pStyle w:val="11"/>
              <w:bidi w:val="0"/>
              <w:jc w:val="center"/>
              <w:rPr>
                <w:rFonts w:hint="eastAsia"/>
                <w:color w:val="000000"/>
                <w:lang w:val="en-US"/>
              </w:rPr>
            </w:pPr>
          </w:p>
        </w:tc>
      </w:tr>
      <w:tr w14:paraId="62296DF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196D22D8">
            <w:pPr>
              <w:pStyle w:val="11"/>
              <w:bidi w:val="0"/>
              <w:ind w:leftChars="200"/>
              <w:jc w:val="both"/>
              <w:rPr>
                <w:rFonts w:hint="eastAsia" w:eastAsia="宋体"/>
                <w:color w:val="000000"/>
                <w:lang w:eastAsia="zh-CN"/>
              </w:rPr>
            </w:pPr>
            <w:r>
              <w:rPr>
                <w:rFonts w:hint="eastAsia"/>
                <w:color w:val="000000"/>
              </w:rPr>
              <w:t>#工业废水处理量</w:t>
            </w:r>
          </w:p>
        </w:tc>
        <w:tc>
          <w:tcPr>
            <w:tcW w:w="1329" w:type="pct"/>
            <w:shd w:val="clear" w:color="auto" w:fill="FFFFFF"/>
            <w:noWrap w:val="0"/>
            <w:tcMar>
              <w:top w:w="28" w:type="dxa"/>
              <w:left w:w="28" w:type="dxa"/>
              <w:bottom w:w="28" w:type="dxa"/>
              <w:right w:w="28" w:type="dxa"/>
            </w:tcMar>
            <w:vAlign w:val="center"/>
          </w:tcPr>
          <w:p w14:paraId="17A391D4">
            <w:pPr>
              <w:pStyle w:val="11"/>
              <w:bidi w:val="0"/>
              <w:jc w:val="center"/>
              <w:rPr>
                <w:rFonts w:hint="eastAsia" w:eastAsia="宋体"/>
                <w:color w:val="000000"/>
                <w:lang w:eastAsia="zh-CN"/>
              </w:rPr>
            </w:pPr>
            <w:r>
              <w:rPr>
                <w:rFonts w:hint="eastAsia"/>
                <w:color w:val="000000"/>
              </w:rPr>
              <w:t>万吨</w:t>
            </w:r>
          </w:p>
        </w:tc>
        <w:tc>
          <w:tcPr>
            <w:tcW w:w="1083" w:type="pct"/>
            <w:shd w:val="clear" w:color="auto" w:fill="FFFFFF"/>
            <w:noWrap w:val="0"/>
            <w:tcMar>
              <w:top w:w="28" w:type="dxa"/>
              <w:left w:w="113" w:type="dxa"/>
              <w:bottom w:w="28" w:type="dxa"/>
              <w:right w:w="28" w:type="dxa"/>
            </w:tcMar>
            <w:vAlign w:val="center"/>
          </w:tcPr>
          <w:p w14:paraId="676F3332">
            <w:pPr>
              <w:pStyle w:val="11"/>
              <w:bidi w:val="0"/>
              <w:jc w:val="center"/>
              <w:rPr>
                <w:rFonts w:hint="eastAsia" w:eastAsia="宋体"/>
                <w:color w:val="000000"/>
                <w:lang w:eastAsia="zh-CN"/>
              </w:rPr>
            </w:pPr>
            <w:r>
              <w:rPr>
                <w:rFonts w:hint="eastAsia"/>
                <w:color w:val="000000"/>
              </w:rPr>
              <w:t>409.706</w:t>
            </w:r>
          </w:p>
        </w:tc>
        <w:tc>
          <w:tcPr>
            <w:tcW w:w="1083" w:type="pct"/>
            <w:shd w:val="clear" w:color="auto" w:fill="FFFFFF"/>
            <w:noWrap w:val="0"/>
            <w:tcMar>
              <w:left w:w="113" w:type="dxa"/>
            </w:tcMar>
            <w:vAlign w:val="center"/>
          </w:tcPr>
          <w:p w14:paraId="592E0A83">
            <w:pPr>
              <w:pStyle w:val="11"/>
              <w:bidi w:val="0"/>
              <w:jc w:val="center"/>
              <w:rPr>
                <w:rFonts w:hint="eastAsia" w:eastAsia="宋体"/>
                <w:color w:val="000000"/>
                <w:lang w:eastAsia="zh-CN"/>
              </w:rPr>
            </w:pPr>
            <w:r>
              <w:rPr>
                <w:rFonts w:hint="eastAsia"/>
                <w:color w:val="000000"/>
              </w:rPr>
              <w:t>326.54</w:t>
            </w:r>
          </w:p>
        </w:tc>
      </w:tr>
      <w:tr w14:paraId="6764BAA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6AEC32B0">
            <w:pPr>
              <w:pStyle w:val="11"/>
              <w:bidi w:val="0"/>
              <w:ind w:leftChars="100"/>
              <w:jc w:val="both"/>
              <w:rPr>
                <w:rFonts w:hint="eastAsia" w:eastAsia="宋体"/>
                <w:color w:val="000000"/>
                <w:lang w:eastAsia="zh-CN"/>
              </w:rPr>
            </w:pPr>
            <w:r>
              <w:rPr>
                <w:rFonts w:hint="eastAsia"/>
                <w:color w:val="000000"/>
              </w:rPr>
              <w:t>3、生活污水处理率</w:t>
            </w:r>
          </w:p>
        </w:tc>
        <w:tc>
          <w:tcPr>
            <w:tcW w:w="1329" w:type="pct"/>
            <w:shd w:val="clear" w:color="auto" w:fill="FFFFFF"/>
            <w:noWrap w:val="0"/>
            <w:tcMar>
              <w:top w:w="28" w:type="dxa"/>
              <w:left w:w="28" w:type="dxa"/>
              <w:bottom w:w="28" w:type="dxa"/>
              <w:right w:w="28" w:type="dxa"/>
            </w:tcMar>
            <w:vAlign w:val="center"/>
          </w:tcPr>
          <w:p w14:paraId="379C10BE">
            <w:pPr>
              <w:pStyle w:val="11"/>
              <w:bidi w:val="0"/>
              <w:jc w:val="center"/>
              <w:rPr>
                <w:rFonts w:hint="eastAsia" w:eastAsia="宋体"/>
                <w:color w:val="000000"/>
                <w:lang w:eastAsia="zh-CN"/>
              </w:rPr>
            </w:pPr>
            <w:r>
              <w:rPr>
                <w:rFonts w:hint="eastAsia"/>
                <w:color w:val="000000"/>
              </w:rPr>
              <w:t>%</w:t>
            </w:r>
          </w:p>
        </w:tc>
        <w:tc>
          <w:tcPr>
            <w:tcW w:w="1083" w:type="pct"/>
            <w:shd w:val="clear" w:color="auto" w:fill="FFFFFF"/>
            <w:noWrap w:val="0"/>
            <w:tcMar>
              <w:top w:w="28" w:type="dxa"/>
              <w:left w:w="113" w:type="dxa"/>
              <w:bottom w:w="28" w:type="dxa"/>
              <w:right w:w="28" w:type="dxa"/>
            </w:tcMar>
            <w:vAlign w:val="center"/>
          </w:tcPr>
          <w:p w14:paraId="69EC3675">
            <w:pPr>
              <w:pStyle w:val="11"/>
              <w:bidi w:val="0"/>
              <w:jc w:val="center"/>
              <w:rPr>
                <w:rFonts w:hint="eastAsia" w:eastAsia="宋体"/>
                <w:color w:val="000000"/>
                <w:lang w:eastAsia="zh-CN"/>
              </w:rPr>
            </w:pPr>
            <w:r>
              <w:rPr>
                <w:rFonts w:hint="eastAsia"/>
                <w:color w:val="000000"/>
              </w:rPr>
              <w:t>94.84</w:t>
            </w:r>
          </w:p>
        </w:tc>
        <w:tc>
          <w:tcPr>
            <w:tcW w:w="1083" w:type="pct"/>
            <w:shd w:val="clear" w:color="auto" w:fill="FFFFFF"/>
            <w:noWrap w:val="0"/>
            <w:tcMar>
              <w:left w:w="113" w:type="dxa"/>
            </w:tcMar>
            <w:vAlign w:val="center"/>
          </w:tcPr>
          <w:p w14:paraId="53C7119F">
            <w:pPr>
              <w:pStyle w:val="11"/>
              <w:bidi w:val="0"/>
              <w:jc w:val="center"/>
              <w:rPr>
                <w:rFonts w:hint="eastAsia" w:eastAsia="宋体"/>
                <w:color w:val="000000"/>
                <w:lang w:eastAsia="zh-CN"/>
              </w:rPr>
            </w:pPr>
            <w:r>
              <w:rPr>
                <w:rFonts w:hint="eastAsia"/>
                <w:color w:val="000000"/>
              </w:rPr>
              <w:t>92.24</w:t>
            </w:r>
          </w:p>
        </w:tc>
      </w:tr>
      <w:tr w14:paraId="0D58190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4D6CF375">
            <w:pPr>
              <w:pStyle w:val="11"/>
              <w:bidi w:val="0"/>
              <w:jc w:val="both"/>
              <w:rPr>
                <w:rFonts w:hint="eastAsia" w:eastAsia="宋体"/>
                <w:color w:val="000000"/>
                <w:lang w:eastAsia="zh-CN"/>
              </w:rPr>
            </w:pPr>
            <w:r>
              <w:rPr>
                <w:rFonts w:hint="eastAsia"/>
                <w:color w:val="000000"/>
              </w:rPr>
              <w:t>4、废气排放总量</w:t>
            </w:r>
          </w:p>
        </w:tc>
        <w:tc>
          <w:tcPr>
            <w:tcW w:w="1329" w:type="pct"/>
            <w:shd w:val="clear" w:color="auto" w:fill="FFFFFF"/>
            <w:noWrap w:val="0"/>
            <w:tcMar>
              <w:top w:w="28" w:type="dxa"/>
              <w:left w:w="28" w:type="dxa"/>
              <w:bottom w:w="28" w:type="dxa"/>
              <w:right w:w="28" w:type="dxa"/>
            </w:tcMar>
            <w:vAlign w:val="center"/>
          </w:tcPr>
          <w:p w14:paraId="2D37FC5F">
            <w:pPr>
              <w:pStyle w:val="11"/>
              <w:bidi w:val="0"/>
              <w:jc w:val="center"/>
              <w:rPr>
                <w:rFonts w:hint="eastAsia" w:eastAsia="宋体"/>
                <w:color w:val="000000"/>
                <w:lang w:eastAsia="zh-CN"/>
              </w:rPr>
            </w:pPr>
            <w:r>
              <w:rPr>
                <w:rFonts w:hint="eastAsia"/>
                <w:color w:val="000000"/>
              </w:rPr>
              <w:t>万标立方</w:t>
            </w:r>
          </w:p>
        </w:tc>
        <w:tc>
          <w:tcPr>
            <w:tcW w:w="1083" w:type="pct"/>
            <w:shd w:val="clear" w:color="auto" w:fill="FFFFFF"/>
            <w:noWrap w:val="0"/>
            <w:tcMar>
              <w:top w:w="28" w:type="dxa"/>
              <w:left w:w="113" w:type="dxa"/>
              <w:bottom w:w="28" w:type="dxa"/>
              <w:right w:w="28" w:type="dxa"/>
            </w:tcMar>
            <w:vAlign w:val="center"/>
          </w:tcPr>
          <w:p w14:paraId="378C3394">
            <w:pPr>
              <w:pStyle w:val="11"/>
              <w:bidi w:val="0"/>
              <w:jc w:val="center"/>
              <w:rPr>
                <w:rFonts w:hint="eastAsia" w:eastAsia="宋体"/>
                <w:color w:val="000000"/>
                <w:lang w:eastAsia="zh-CN"/>
              </w:rPr>
            </w:pPr>
            <w:r>
              <w:rPr>
                <w:rFonts w:hint="eastAsia"/>
                <w:color w:val="000000"/>
              </w:rPr>
              <w:t>216591.3</w:t>
            </w:r>
          </w:p>
        </w:tc>
        <w:tc>
          <w:tcPr>
            <w:tcW w:w="1083" w:type="pct"/>
            <w:shd w:val="clear" w:color="auto" w:fill="FFFFFF"/>
            <w:noWrap w:val="0"/>
            <w:tcMar>
              <w:left w:w="113" w:type="dxa"/>
            </w:tcMar>
            <w:vAlign w:val="center"/>
          </w:tcPr>
          <w:p w14:paraId="03A30E7D">
            <w:pPr>
              <w:pStyle w:val="11"/>
              <w:bidi w:val="0"/>
              <w:jc w:val="center"/>
              <w:rPr>
                <w:rFonts w:hint="eastAsia" w:eastAsia="宋体"/>
                <w:color w:val="000000"/>
                <w:lang w:eastAsia="zh-CN"/>
              </w:rPr>
            </w:pPr>
            <w:r>
              <w:rPr>
                <w:rFonts w:hint="eastAsia"/>
                <w:color w:val="000000"/>
              </w:rPr>
              <w:t>182924</w:t>
            </w:r>
          </w:p>
        </w:tc>
      </w:tr>
      <w:tr w14:paraId="13CB8DD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755BF934">
            <w:pPr>
              <w:pStyle w:val="11"/>
              <w:bidi w:val="0"/>
              <w:ind w:leftChars="200"/>
              <w:jc w:val="both"/>
              <w:rPr>
                <w:rFonts w:hint="eastAsia" w:eastAsia="宋体"/>
                <w:color w:val="000000"/>
                <w:lang w:eastAsia="zh-CN"/>
              </w:rPr>
            </w:pPr>
            <w:r>
              <w:rPr>
                <w:rFonts w:hint="eastAsia"/>
                <w:color w:val="000000"/>
              </w:rPr>
              <w:t>#工业废气排放量</w:t>
            </w:r>
          </w:p>
        </w:tc>
        <w:tc>
          <w:tcPr>
            <w:tcW w:w="1329" w:type="pct"/>
            <w:shd w:val="clear" w:color="auto" w:fill="FFFFFF"/>
            <w:noWrap w:val="0"/>
            <w:tcMar>
              <w:top w:w="28" w:type="dxa"/>
              <w:left w:w="28" w:type="dxa"/>
              <w:bottom w:w="28" w:type="dxa"/>
              <w:right w:w="28" w:type="dxa"/>
            </w:tcMar>
            <w:vAlign w:val="center"/>
          </w:tcPr>
          <w:p w14:paraId="1DCB2BC9">
            <w:pPr>
              <w:pStyle w:val="11"/>
              <w:bidi w:val="0"/>
              <w:jc w:val="center"/>
              <w:rPr>
                <w:rFonts w:hint="eastAsia" w:eastAsia="宋体"/>
                <w:color w:val="000000"/>
                <w:lang w:eastAsia="zh-CN"/>
              </w:rPr>
            </w:pPr>
            <w:r>
              <w:rPr>
                <w:rFonts w:hint="eastAsia"/>
                <w:color w:val="000000"/>
              </w:rPr>
              <w:t>万标立方</w:t>
            </w:r>
          </w:p>
        </w:tc>
        <w:tc>
          <w:tcPr>
            <w:tcW w:w="1083" w:type="pct"/>
            <w:shd w:val="clear" w:color="auto" w:fill="FFFFFF"/>
            <w:noWrap w:val="0"/>
            <w:tcMar>
              <w:top w:w="28" w:type="dxa"/>
              <w:left w:w="113" w:type="dxa"/>
              <w:bottom w:w="28" w:type="dxa"/>
              <w:right w:w="28" w:type="dxa"/>
            </w:tcMar>
            <w:vAlign w:val="center"/>
          </w:tcPr>
          <w:p w14:paraId="269BBD10">
            <w:pPr>
              <w:pStyle w:val="11"/>
              <w:bidi w:val="0"/>
              <w:jc w:val="center"/>
              <w:rPr>
                <w:rFonts w:hint="eastAsia" w:eastAsia="宋体"/>
                <w:color w:val="000000"/>
                <w:lang w:eastAsia="zh-CN"/>
              </w:rPr>
            </w:pPr>
            <w:r>
              <w:rPr>
                <w:rFonts w:hint="eastAsia"/>
                <w:color w:val="000000"/>
              </w:rPr>
              <w:t>216591.3</w:t>
            </w:r>
          </w:p>
        </w:tc>
        <w:tc>
          <w:tcPr>
            <w:tcW w:w="1083" w:type="pct"/>
            <w:shd w:val="clear" w:color="auto" w:fill="FFFFFF"/>
            <w:noWrap w:val="0"/>
            <w:tcMar>
              <w:left w:w="113" w:type="dxa"/>
            </w:tcMar>
            <w:vAlign w:val="center"/>
          </w:tcPr>
          <w:p w14:paraId="4F4F0024">
            <w:pPr>
              <w:pStyle w:val="11"/>
              <w:bidi w:val="0"/>
              <w:jc w:val="center"/>
              <w:rPr>
                <w:rFonts w:hint="eastAsia" w:eastAsia="宋体"/>
                <w:color w:val="000000"/>
                <w:lang w:eastAsia="zh-CN"/>
              </w:rPr>
            </w:pPr>
            <w:r>
              <w:rPr>
                <w:rFonts w:hint="eastAsia"/>
                <w:color w:val="000000"/>
              </w:rPr>
              <w:t>182924</w:t>
            </w:r>
          </w:p>
        </w:tc>
      </w:tr>
      <w:tr w14:paraId="19A21C1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7BADCD3E">
            <w:pPr>
              <w:pStyle w:val="11"/>
              <w:bidi w:val="0"/>
              <w:jc w:val="both"/>
              <w:rPr>
                <w:rFonts w:hint="eastAsia" w:eastAsia="宋体"/>
                <w:color w:val="000000"/>
                <w:lang w:eastAsia="zh-CN"/>
              </w:rPr>
            </w:pPr>
            <w:r>
              <w:rPr>
                <w:rFonts w:hint="eastAsia"/>
                <w:color w:val="000000"/>
              </w:rPr>
              <w:t>5、工业二氧化硫去除量</w:t>
            </w:r>
          </w:p>
        </w:tc>
        <w:tc>
          <w:tcPr>
            <w:tcW w:w="1329" w:type="pct"/>
            <w:shd w:val="clear" w:color="auto" w:fill="FFFFFF"/>
            <w:noWrap w:val="0"/>
            <w:tcMar>
              <w:top w:w="28" w:type="dxa"/>
              <w:left w:w="28" w:type="dxa"/>
              <w:bottom w:w="28" w:type="dxa"/>
              <w:right w:w="28" w:type="dxa"/>
            </w:tcMar>
            <w:vAlign w:val="center"/>
          </w:tcPr>
          <w:p w14:paraId="6DF4802B">
            <w:pPr>
              <w:pStyle w:val="11"/>
              <w:bidi w:val="0"/>
              <w:jc w:val="center"/>
              <w:rPr>
                <w:rFonts w:hint="eastAsia" w:eastAsia="宋体"/>
                <w:color w:val="000000"/>
                <w:lang w:eastAsia="zh-CN"/>
              </w:rPr>
            </w:pPr>
            <w:r>
              <w:rPr>
                <w:rFonts w:hint="eastAsia"/>
                <w:color w:val="000000"/>
              </w:rPr>
              <w:t>吨</w:t>
            </w:r>
          </w:p>
        </w:tc>
        <w:tc>
          <w:tcPr>
            <w:tcW w:w="1083" w:type="pct"/>
            <w:shd w:val="clear" w:color="auto" w:fill="FFFFFF"/>
            <w:noWrap w:val="0"/>
            <w:tcMar>
              <w:top w:w="28" w:type="dxa"/>
              <w:left w:w="113" w:type="dxa"/>
              <w:bottom w:w="28" w:type="dxa"/>
              <w:right w:w="28" w:type="dxa"/>
            </w:tcMar>
            <w:vAlign w:val="center"/>
          </w:tcPr>
          <w:p w14:paraId="616ACABD">
            <w:pPr>
              <w:pStyle w:val="11"/>
              <w:bidi w:val="0"/>
              <w:jc w:val="center"/>
              <w:rPr>
                <w:rFonts w:hint="eastAsia" w:eastAsia="宋体"/>
                <w:color w:val="000000"/>
                <w:lang w:eastAsia="zh-CN"/>
              </w:rPr>
            </w:pPr>
            <w:r>
              <w:rPr>
                <w:rFonts w:hint="eastAsia"/>
                <w:color w:val="000000"/>
              </w:rPr>
              <w:t>417.26</w:t>
            </w:r>
          </w:p>
        </w:tc>
        <w:tc>
          <w:tcPr>
            <w:tcW w:w="1083" w:type="pct"/>
            <w:shd w:val="clear" w:color="auto" w:fill="FFFFFF"/>
            <w:noWrap w:val="0"/>
            <w:tcMar>
              <w:left w:w="113" w:type="dxa"/>
            </w:tcMar>
            <w:vAlign w:val="center"/>
          </w:tcPr>
          <w:p w14:paraId="7873A3DA">
            <w:pPr>
              <w:pStyle w:val="11"/>
              <w:bidi w:val="0"/>
              <w:jc w:val="center"/>
              <w:rPr>
                <w:rFonts w:hint="eastAsia"/>
                <w:color w:val="000000"/>
              </w:rPr>
            </w:pPr>
            <w:r>
              <w:rPr>
                <w:rFonts w:hint="eastAsia"/>
                <w:color w:val="000000"/>
              </w:rPr>
              <w:t>507.02</w:t>
            </w:r>
          </w:p>
        </w:tc>
      </w:tr>
      <w:tr w14:paraId="76CF40D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1DFBD28F">
            <w:pPr>
              <w:pStyle w:val="11"/>
              <w:bidi w:val="0"/>
              <w:jc w:val="both"/>
              <w:rPr>
                <w:rFonts w:hint="eastAsia" w:eastAsia="宋体"/>
                <w:color w:val="000000"/>
                <w:lang w:eastAsia="zh-CN"/>
              </w:rPr>
            </w:pPr>
            <w:r>
              <w:rPr>
                <w:rFonts w:hint="eastAsia"/>
                <w:color w:val="000000"/>
              </w:rPr>
              <w:t>6、工业二氧化硫排放量</w:t>
            </w:r>
          </w:p>
        </w:tc>
        <w:tc>
          <w:tcPr>
            <w:tcW w:w="1329" w:type="pct"/>
            <w:shd w:val="clear" w:color="auto" w:fill="FFFFFF"/>
            <w:noWrap w:val="0"/>
            <w:tcMar>
              <w:top w:w="28" w:type="dxa"/>
              <w:left w:w="28" w:type="dxa"/>
              <w:bottom w:w="28" w:type="dxa"/>
              <w:right w:w="28" w:type="dxa"/>
            </w:tcMar>
            <w:vAlign w:val="center"/>
          </w:tcPr>
          <w:p w14:paraId="74804E66">
            <w:pPr>
              <w:pStyle w:val="11"/>
              <w:bidi w:val="0"/>
              <w:jc w:val="center"/>
              <w:rPr>
                <w:rFonts w:hint="eastAsia" w:eastAsia="宋体"/>
                <w:color w:val="000000"/>
                <w:lang w:eastAsia="zh-CN"/>
              </w:rPr>
            </w:pPr>
            <w:r>
              <w:rPr>
                <w:rFonts w:hint="eastAsia"/>
                <w:color w:val="000000"/>
              </w:rPr>
              <w:t>吨</w:t>
            </w:r>
          </w:p>
        </w:tc>
        <w:tc>
          <w:tcPr>
            <w:tcW w:w="1083" w:type="pct"/>
            <w:shd w:val="clear" w:color="auto" w:fill="FFFFFF"/>
            <w:noWrap w:val="0"/>
            <w:tcMar>
              <w:top w:w="28" w:type="dxa"/>
              <w:left w:w="113" w:type="dxa"/>
              <w:bottom w:w="28" w:type="dxa"/>
              <w:right w:w="28" w:type="dxa"/>
            </w:tcMar>
            <w:vAlign w:val="center"/>
          </w:tcPr>
          <w:p w14:paraId="23041521">
            <w:pPr>
              <w:pStyle w:val="11"/>
              <w:bidi w:val="0"/>
              <w:jc w:val="center"/>
              <w:rPr>
                <w:rFonts w:hint="eastAsia" w:eastAsia="宋体"/>
                <w:color w:val="000000"/>
                <w:lang w:eastAsia="zh-CN"/>
              </w:rPr>
            </w:pPr>
            <w:r>
              <w:rPr>
                <w:rFonts w:hint="eastAsia"/>
                <w:color w:val="000000"/>
              </w:rPr>
              <w:t>122.87</w:t>
            </w:r>
          </w:p>
        </w:tc>
        <w:tc>
          <w:tcPr>
            <w:tcW w:w="1083" w:type="pct"/>
            <w:shd w:val="clear" w:color="auto" w:fill="FFFFFF"/>
            <w:noWrap w:val="0"/>
            <w:tcMar>
              <w:left w:w="113" w:type="dxa"/>
            </w:tcMar>
            <w:vAlign w:val="center"/>
          </w:tcPr>
          <w:p w14:paraId="21A461A3">
            <w:pPr>
              <w:pStyle w:val="11"/>
              <w:bidi w:val="0"/>
              <w:jc w:val="center"/>
              <w:rPr>
                <w:rFonts w:hint="eastAsia"/>
                <w:color w:val="000000"/>
              </w:rPr>
            </w:pPr>
            <w:r>
              <w:rPr>
                <w:rFonts w:hint="eastAsia"/>
                <w:color w:val="000000"/>
              </w:rPr>
              <w:t>151.12</w:t>
            </w:r>
          </w:p>
        </w:tc>
      </w:tr>
      <w:tr w14:paraId="044C681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6C009990">
            <w:pPr>
              <w:pStyle w:val="11"/>
              <w:bidi w:val="0"/>
              <w:jc w:val="both"/>
              <w:rPr>
                <w:rFonts w:hint="eastAsia" w:eastAsia="宋体"/>
                <w:color w:val="000000"/>
                <w:lang w:eastAsia="zh-CN"/>
              </w:rPr>
            </w:pPr>
            <w:r>
              <w:rPr>
                <w:rFonts w:hint="eastAsia"/>
                <w:color w:val="000000"/>
              </w:rPr>
              <w:t>7、工业烟尘去除量</w:t>
            </w:r>
          </w:p>
        </w:tc>
        <w:tc>
          <w:tcPr>
            <w:tcW w:w="1329" w:type="pct"/>
            <w:shd w:val="clear" w:color="auto" w:fill="FFFFFF"/>
            <w:noWrap w:val="0"/>
            <w:tcMar>
              <w:top w:w="28" w:type="dxa"/>
              <w:left w:w="28" w:type="dxa"/>
              <w:bottom w:w="28" w:type="dxa"/>
              <w:right w:w="28" w:type="dxa"/>
            </w:tcMar>
            <w:vAlign w:val="center"/>
          </w:tcPr>
          <w:p w14:paraId="73FCDEC0">
            <w:pPr>
              <w:pStyle w:val="11"/>
              <w:bidi w:val="0"/>
              <w:jc w:val="center"/>
              <w:rPr>
                <w:rFonts w:hint="eastAsia" w:eastAsia="宋体"/>
                <w:color w:val="000000"/>
                <w:lang w:eastAsia="zh-CN"/>
              </w:rPr>
            </w:pPr>
            <w:r>
              <w:rPr>
                <w:rFonts w:hint="eastAsia"/>
                <w:color w:val="000000"/>
              </w:rPr>
              <w:t>吨</w:t>
            </w:r>
          </w:p>
        </w:tc>
        <w:tc>
          <w:tcPr>
            <w:tcW w:w="1083" w:type="pct"/>
            <w:shd w:val="clear" w:color="auto" w:fill="FFFFFF"/>
            <w:noWrap w:val="0"/>
            <w:tcMar>
              <w:top w:w="28" w:type="dxa"/>
              <w:left w:w="113" w:type="dxa"/>
              <w:bottom w:w="28" w:type="dxa"/>
              <w:right w:w="28" w:type="dxa"/>
            </w:tcMar>
            <w:vAlign w:val="center"/>
          </w:tcPr>
          <w:p w14:paraId="109DC2BA">
            <w:pPr>
              <w:pStyle w:val="11"/>
              <w:bidi w:val="0"/>
              <w:jc w:val="center"/>
              <w:rPr>
                <w:rFonts w:hint="eastAsia" w:eastAsia="宋体"/>
                <w:color w:val="000000"/>
                <w:lang w:eastAsia="zh-CN"/>
              </w:rPr>
            </w:pPr>
            <w:r>
              <w:rPr>
                <w:rFonts w:hint="eastAsia"/>
                <w:color w:val="000000"/>
              </w:rPr>
              <w:t>483.82</w:t>
            </w:r>
          </w:p>
        </w:tc>
        <w:tc>
          <w:tcPr>
            <w:tcW w:w="1083" w:type="pct"/>
            <w:shd w:val="clear" w:color="auto" w:fill="FFFFFF"/>
            <w:noWrap w:val="0"/>
            <w:tcMar>
              <w:left w:w="113" w:type="dxa"/>
            </w:tcMar>
            <w:vAlign w:val="center"/>
          </w:tcPr>
          <w:p w14:paraId="51D4FD62">
            <w:pPr>
              <w:pStyle w:val="11"/>
              <w:bidi w:val="0"/>
              <w:jc w:val="center"/>
              <w:rPr>
                <w:rFonts w:hint="eastAsia"/>
                <w:color w:val="000000"/>
              </w:rPr>
            </w:pPr>
            <w:r>
              <w:rPr>
                <w:rFonts w:hint="eastAsia"/>
                <w:color w:val="000000"/>
              </w:rPr>
              <w:t>471.98</w:t>
            </w:r>
          </w:p>
        </w:tc>
      </w:tr>
      <w:tr w14:paraId="6A3BF34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78E52625">
            <w:pPr>
              <w:pStyle w:val="11"/>
              <w:bidi w:val="0"/>
              <w:jc w:val="both"/>
              <w:rPr>
                <w:rFonts w:hint="eastAsia" w:eastAsia="宋体"/>
                <w:color w:val="000000"/>
                <w:lang w:eastAsia="zh-CN"/>
              </w:rPr>
            </w:pPr>
            <w:r>
              <w:rPr>
                <w:rFonts w:hint="eastAsia"/>
                <w:color w:val="000000"/>
              </w:rPr>
              <w:t>8、工业烟尘排放量</w:t>
            </w:r>
          </w:p>
        </w:tc>
        <w:tc>
          <w:tcPr>
            <w:tcW w:w="1329" w:type="pct"/>
            <w:shd w:val="clear" w:color="auto" w:fill="FFFFFF"/>
            <w:noWrap w:val="0"/>
            <w:tcMar>
              <w:top w:w="28" w:type="dxa"/>
              <w:left w:w="28" w:type="dxa"/>
              <w:bottom w:w="28" w:type="dxa"/>
              <w:right w:w="28" w:type="dxa"/>
            </w:tcMar>
            <w:vAlign w:val="center"/>
          </w:tcPr>
          <w:p w14:paraId="6DF23329">
            <w:pPr>
              <w:pStyle w:val="11"/>
              <w:bidi w:val="0"/>
              <w:jc w:val="center"/>
              <w:rPr>
                <w:rFonts w:hint="eastAsia" w:eastAsia="宋体"/>
                <w:color w:val="000000"/>
                <w:lang w:eastAsia="zh-CN"/>
              </w:rPr>
            </w:pPr>
            <w:r>
              <w:rPr>
                <w:rFonts w:hint="eastAsia"/>
                <w:color w:val="000000"/>
              </w:rPr>
              <w:t>吨</w:t>
            </w:r>
          </w:p>
        </w:tc>
        <w:tc>
          <w:tcPr>
            <w:tcW w:w="1083" w:type="pct"/>
            <w:shd w:val="clear" w:color="auto" w:fill="FFFFFF"/>
            <w:noWrap w:val="0"/>
            <w:tcMar>
              <w:top w:w="28" w:type="dxa"/>
              <w:left w:w="113" w:type="dxa"/>
              <w:bottom w:w="28" w:type="dxa"/>
              <w:right w:w="28" w:type="dxa"/>
            </w:tcMar>
            <w:vAlign w:val="center"/>
          </w:tcPr>
          <w:p w14:paraId="09D2327C">
            <w:pPr>
              <w:pStyle w:val="11"/>
              <w:bidi w:val="0"/>
              <w:jc w:val="center"/>
              <w:rPr>
                <w:rFonts w:hint="eastAsia" w:eastAsia="宋体"/>
                <w:color w:val="000000"/>
                <w:lang w:eastAsia="zh-CN"/>
              </w:rPr>
            </w:pPr>
            <w:r>
              <w:rPr>
                <w:rFonts w:hint="eastAsia"/>
                <w:color w:val="000000"/>
              </w:rPr>
              <w:t>66.7</w:t>
            </w:r>
          </w:p>
        </w:tc>
        <w:tc>
          <w:tcPr>
            <w:tcW w:w="1083" w:type="pct"/>
            <w:shd w:val="clear" w:color="auto" w:fill="FFFFFF"/>
            <w:noWrap w:val="0"/>
            <w:tcMar>
              <w:left w:w="113" w:type="dxa"/>
            </w:tcMar>
            <w:vAlign w:val="center"/>
          </w:tcPr>
          <w:p w14:paraId="3C0C7909">
            <w:pPr>
              <w:pStyle w:val="11"/>
              <w:bidi w:val="0"/>
              <w:jc w:val="center"/>
              <w:rPr>
                <w:rFonts w:hint="eastAsia"/>
                <w:color w:val="000000"/>
              </w:rPr>
            </w:pPr>
            <w:r>
              <w:rPr>
                <w:rFonts w:hint="eastAsia"/>
                <w:color w:val="000000"/>
              </w:rPr>
              <w:t>57.88</w:t>
            </w:r>
          </w:p>
        </w:tc>
      </w:tr>
      <w:tr w14:paraId="3342FAC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5AB579FE">
            <w:pPr>
              <w:pStyle w:val="11"/>
              <w:bidi w:val="0"/>
              <w:jc w:val="both"/>
              <w:rPr>
                <w:rFonts w:hint="eastAsia" w:eastAsia="宋体"/>
                <w:color w:val="000000"/>
                <w:lang w:eastAsia="zh-CN"/>
              </w:rPr>
            </w:pPr>
            <w:r>
              <w:rPr>
                <w:rFonts w:hint="eastAsia"/>
                <w:color w:val="000000"/>
              </w:rPr>
              <w:t>9、工业烟尘排放量达标率</w:t>
            </w:r>
          </w:p>
        </w:tc>
        <w:tc>
          <w:tcPr>
            <w:tcW w:w="1329" w:type="pct"/>
            <w:shd w:val="clear" w:color="auto" w:fill="FFFFFF"/>
            <w:noWrap w:val="0"/>
            <w:tcMar>
              <w:top w:w="28" w:type="dxa"/>
              <w:left w:w="28" w:type="dxa"/>
              <w:bottom w:w="28" w:type="dxa"/>
              <w:right w:w="28" w:type="dxa"/>
            </w:tcMar>
            <w:vAlign w:val="center"/>
          </w:tcPr>
          <w:p w14:paraId="4A036A6E">
            <w:pPr>
              <w:pStyle w:val="11"/>
              <w:bidi w:val="0"/>
              <w:jc w:val="center"/>
              <w:rPr>
                <w:rFonts w:hint="eastAsia" w:eastAsia="宋体"/>
                <w:color w:val="000000"/>
                <w:lang w:eastAsia="zh-CN"/>
              </w:rPr>
            </w:pPr>
            <w:r>
              <w:rPr>
                <w:rFonts w:hint="eastAsia"/>
                <w:color w:val="000000"/>
              </w:rPr>
              <w:t>%</w:t>
            </w:r>
          </w:p>
        </w:tc>
        <w:tc>
          <w:tcPr>
            <w:tcW w:w="1083" w:type="pct"/>
            <w:shd w:val="clear" w:color="auto" w:fill="FFFFFF"/>
            <w:noWrap w:val="0"/>
            <w:tcMar>
              <w:top w:w="28" w:type="dxa"/>
              <w:left w:w="113" w:type="dxa"/>
              <w:bottom w:w="28" w:type="dxa"/>
              <w:right w:w="28" w:type="dxa"/>
            </w:tcMar>
            <w:vAlign w:val="center"/>
          </w:tcPr>
          <w:p w14:paraId="6FD4FADC">
            <w:pPr>
              <w:pStyle w:val="11"/>
              <w:bidi w:val="0"/>
              <w:jc w:val="center"/>
              <w:rPr>
                <w:rFonts w:hint="eastAsia" w:eastAsia="宋体"/>
                <w:color w:val="000000"/>
                <w:lang w:eastAsia="zh-CN"/>
              </w:rPr>
            </w:pPr>
            <w:r>
              <w:rPr>
                <w:rFonts w:hint="eastAsia"/>
                <w:color w:val="000000"/>
              </w:rPr>
              <w:t>91.05</w:t>
            </w:r>
          </w:p>
        </w:tc>
        <w:tc>
          <w:tcPr>
            <w:tcW w:w="1083" w:type="pct"/>
            <w:shd w:val="clear" w:color="auto" w:fill="FFFFFF"/>
            <w:noWrap w:val="0"/>
            <w:tcMar>
              <w:left w:w="113" w:type="dxa"/>
            </w:tcMar>
            <w:vAlign w:val="center"/>
          </w:tcPr>
          <w:p w14:paraId="639DE23B">
            <w:pPr>
              <w:pStyle w:val="11"/>
              <w:bidi w:val="0"/>
              <w:jc w:val="center"/>
              <w:rPr>
                <w:rFonts w:hint="eastAsia" w:eastAsia="宋体"/>
                <w:color w:val="000000"/>
                <w:lang w:eastAsia="zh-CN"/>
              </w:rPr>
            </w:pPr>
            <w:r>
              <w:rPr>
                <w:rFonts w:hint="eastAsia"/>
                <w:color w:val="000000"/>
              </w:rPr>
              <w:t>91.26</w:t>
            </w:r>
          </w:p>
        </w:tc>
      </w:tr>
      <w:tr w14:paraId="62653F0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039F66FE">
            <w:pPr>
              <w:pStyle w:val="11"/>
              <w:bidi w:val="0"/>
              <w:jc w:val="both"/>
              <w:rPr>
                <w:rFonts w:hint="eastAsia" w:eastAsia="宋体"/>
                <w:color w:val="000000"/>
                <w:lang w:eastAsia="zh-CN"/>
              </w:rPr>
            </w:pPr>
            <w:r>
              <w:rPr>
                <w:rFonts w:hint="eastAsia"/>
                <w:color w:val="000000"/>
              </w:rPr>
              <w:t>10、工业固体废物综合利用率</w:t>
            </w:r>
          </w:p>
        </w:tc>
        <w:tc>
          <w:tcPr>
            <w:tcW w:w="1329" w:type="pct"/>
            <w:shd w:val="clear" w:color="auto" w:fill="FFFFFF"/>
            <w:noWrap w:val="0"/>
            <w:tcMar>
              <w:top w:w="28" w:type="dxa"/>
              <w:left w:w="28" w:type="dxa"/>
              <w:bottom w:w="28" w:type="dxa"/>
              <w:right w:w="28" w:type="dxa"/>
            </w:tcMar>
            <w:vAlign w:val="center"/>
          </w:tcPr>
          <w:p w14:paraId="438DB451">
            <w:pPr>
              <w:pStyle w:val="11"/>
              <w:bidi w:val="0"/>
              <w:jc w:val="center"/>
              <w:rPr>
                <w:rFonts w:hint="eastAsia" w:eastAsia="宋体"/>
                <w:color w:val="000000"/>
                <w:lang w:eastAsia="zh-CN"/>
              </w:rPr>
            </w:pPr>
            <w:r>
              <w:rPr>
                <w:rFonts w:hint="eastAsia"/>
                <w:color w:val="000000"/>
              </w:rPr>
              <w:t>%</w:t>
            </w:r>
          </w:p>
        </w:tc>
        <w:tc>
          <w:tcPr>
            <w:tcW w:w="1083" w:type="pct"/>
            <w:shd w:val="clear" w:color="auto" w:fill="FFFFFF"/>
            <w:noWrap w:val="0"/>
            <w:tcMar>
              <w:top w:w="28" w:type="dxa"/>
              <w:left w:w="113" w:type="dxa"/>
              <w:bottom w:w="28" w:type="dxa"/>
              <w:right w:w="28" w:type="dxa"/>
            </w:tcMar>
            <w:vAlign w:val="center"/>
          </w:tcPr>
          <w:p w14:paraId="37CCA71B">
            <w:pPr>
              <w:pStyle w:val="11"/>
              <w:bidi w:val="0"/>
              <w:jc w:val="center"/>
              <w:rPr>
                <w:rFonts w:hint="eastAsia" w:eastAsia="宋体"/>
                <w:color w:val="000000"/>
                <w:lang w:eastAsia="zh-CN"/>
              </w:rPr>
            </w:pPr>
            <w:r>
              <w:rPr>
                <w:rFonts w:hint="eastAsia"/>
                <w:color w:val="000000"/>
              </w:rPr>
              <w:t>47.28</w:t>
            </w:r>
          </w:p>
        </w:tc>
        <w:tc>
          <w:tcPr>
            <w:tcW w:w="1083" w:type="pct"/>
            <w:shd w:val="clear" w:color="auto" w:fill="FFFFFF"/>
            <w:noWrap w:val="0"/>
            <w:tcMar>
              <w:left w:w="113" w:type="dxa"/>
            </w:tcMar>
            <w:vAlign w:val="center"/>
          </w:tcPr>
          <w:p w14:paraId="3BDA5EC3">
            <w:pPr>
              <w:pStyle w:val="11"/>
              <w:bidi w:val="0"/>
              <w:jc w:val="center"/>
              <w:rPr>
                <w:rFonts w:hint="eastAsia" w:eastAsia="宋体"/>
                <w:color w:val="000000"/>
                <w:lang w:eastAsia="zh-CN"/>
              </w:rPr>
            </w:pPr>
            <w:r>
              <w:rPr>
                <w:rFonts w:hint="eastAsia"/>
                <w:color w:val="000000"/>
              </w:rPr>
              <w:t>76.95</w:t>
            </w:r>
          </w:p>
        </w:tc>
      </w:tr>
      <w:tr w14:paraId="42F5D44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27CC8B79">
            <w:pPr>
              <w:pStyle w:val="11"/>
              <w:bidi w:val="0"/>
              <w:jc w:val="both"/>
              <w:rPr>
                <w:rFonts w:hint="eastAsia" w:eastAsia="宋体"/>
                <w:color w:val="000000"/>
                <w:lang w:eastAsia="zh-CN"/>
              </w:rPr>
            </w:pPr>
            <w:r>
              <w:rPr>
                <w:rFonts w:hint="eastAsia"/>
                <w:color w:val="000000"/>
              </w:rPr>
              <w:t>11、环境噪声达标面积</w:t>
            </w:r>
          </w:p>
        </w:tc>
        <w:tc>
          <w:tcPr>
            <w:tcW w:w="1329" w:type="pct"/>
            <w:shd w:val="clear" w:color="auto" w:fill="FFFFFF"/>
            <w:noWrap w:val="0"/>
            <w:tcMar>
              <w:top w:w="28" w:type="dxa"/>
              <w:left w:w="28" w:type="dxa"/>
              <w:bottom w:w="28" w:type="dxa"/>
              <w:right w:w="28" w:type="dxa"/>
            </w:tcMar>
            <w:vAlign w:val="center"/>
          </w:tcPr>
          <w:p w14:paraId="5BF13311">
            <w:pPr>
              <w:pStyle w:val="11"/>
              <w:bidi w:val="0"/>
              <w:jc w:val="center"/>
              <w:rPr>
                <w:rFonts w:hint="eastAsia" w:eastAsia="宋体"/>
                <w:color w:val="000000"/>
                <w:lang w:eastAsia="zh-CN"/>
              </w:rPr>
            </w:pPr>
            <w:r>
              <w:rPr>
                <w:rFonts w:hint="eastAsia"/>
                <w:color w:val="000000"/>
              </w:rPr>
              <w:t>平方千米</w:t>
            </w:r>
          </w:p>
        </w:tc>
        <w:tc>
          <w:tcPr>
            <w:tcW w:w="1083" w:type="pct"/>
            <w:shd w:val="clear" w:color="auto" w:fill="FFFFFF"/>
            <w:noWrap w:val="0"/>
            <w:tcMar>
              <w:top w:w="28" w:type="dxa"/>
              <w:left w:w="113" w:type="dxa"/>
              <w:bottom w:w="28" w:type="dxa"/>
              <w:right w:w="28" w:type="dxa"/>
            </w:tcMar>
            <w:vAlign w:val="center"/>
          </w:tcPr>
          <w:p w14:paraId="23593BEE">
            <w:pPr>
              <w:pStyle w:val="11"/>
              <w:bidi w:val="0"/>
              <w:jc w:val="center"/>
              <w:rPr>
                <w:rFonts w:hint="eastAsia" w:eastAsia="宋体"/>
                <w:color w:val="000000"/>
                <w:lang w:eastAsia="zh-CN"/>
              </w:rPr>
            </w:pPr>
            <w:r>
              <w:rPr>
                <w:rFonts w:hint="eastAsia"/>
                <w:color w:val="000000"/>
              </w:rPr>
              <w:t>12.49</w:t>
            </w:r>
          </w:p>
        </w:tc>
        <w:tc>
          <w:tcPr>
            <w:tcW w:w="1083" w:type="pct"/>
            <w:shd w:val="clear" w:color="auto" w:fill="FFFFFF"/>
            <w:noWrap w:val="0"/>
            <w:tcMar>
              <w:left w:w="113" w:type="dxa"/>
            </w:tcMar>
            <w:vAlign w:val="center"/>
          </w:tcPr>
          <w:p w14:paraId="4A9C4B02">
            <w:pPr>
              <w:pStyle w:val="11"/>
              <w:bidi w:val="0"/>
              <w:jc w:val="center"/>
              <w:rPr>
                <w:rFonts w:hint="eastAsia" w:eastAsia="宋体"/>
                <w:color w:val="000000"/>
                <w:lang w:eastAsia="zh-CN"/>
              </w:rPr>
            </w:pPr>
            <w:r>
              <w:rPr>
                <w:rFonts w:hint="eastAsia"/>
                <w:color w:val="000000"/>
              </w:rPr>
              <w:t>12.49</w:t>
            </w:r>
          </w:p>
        </w:tc>
      </w:tr>
      <w:tr w14:paraId="24F3EF1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1456CB10">
            <w:pPr>
              <w:pStyle w:val="11"/>
              <w:bidi w:val="0"/>
              <w:jc w:val="both"/>
              <w:rPr>
                <w:rFonts w:hint="eastAsia" w:eastAsia="宋体"/>
                <w:color w:val="000000"/>
                <w:lang w:eastAsia="zh-CN"/>
              </w:rPr>
            </w:pPr>
            <w:r>
              <w:rPr>
                <w:rFonts w:hint="eastAsia"/>
                <w:color w:val="000000"/>
              </w:rPr>
              <w:t>12、环境污染治理投资额</w:t>
            </w:r>
          </w:p>
        </w:tc>
        <w:tc>
          <w:tcPr>
            <w:tcW w:w="1329" w:type="pct"/>
            <w:shd w:val="clear" w:color="auto" w:fill="FFFFFF"/>
            <w:noWrap w:val="0"/>
            <w:tcMar>
              <w:top w:w="28" w:type="dxa"/>
              <w:left w:w="28" w:type="dxa"/>
              <w:bottom w:w="28" w:type="dxa"/>
              <w:right w:w="28" w:type="dxa"/>
            </w:tcMar>
            <w:vAlign w:val="center"/>
          </w:tcPr>
          <w:p w14:paraId="6786A315">
            <w:pPr>
              <w:pStyle w:val="11"/>
              <w:bidi w:val="0"/>
              <w:jc w:val="center"/>
              <w:rPr>
                <w:rFonts w:hint="eastAsia" w:eastAsia="宋体"/>
                <w:color w:val="000000"/>
                <w:lang w:eastAsia="zh-CN"/>
              </w:rPr>
            </w:pPr>
            <w:r>
              <w:rPr>
                <w:rFonts w:hint="eastAsia"/>
                <w:color w:val="000000"/>
              </w:rPr>
              <w:t>万元</w:t>
            </w:r>
          </w:p>
        </w:tc>
        <w:tc>
          <w:tcPr>
            <w:tcW w:w="1083" w:type="pct"/>
            <w:shd w:val="clear" w:color="auto" w:fill="FFFFFF"/>
            <w:noWrap w:val="0"/>
            <w:tcMar>
              <w:top w:w="28" w:type="dxa"/>
              <w:left w:w="113" w:type="dxa"/>
              <w:bottom w:w="28" w:type="dxa"/>
              <w:right w:w="28" w:type="dxa"/>
            </w:tcMar>
            <w:vAlign w:val="center"/>
          </w:tcPr>
          <w:p w14:paraId="5E5B8187">
            <w:pPr>
              <w:pStyle w:val="11"/>
              <w:bidi w:val="0"/>
              <w:jc w:val="center"/>
              <w:rPr>
                <w:rFonts w:hint="eastAsia" w:eastAsia="宋体"/>
                <w:color w:val="000000"/>
                <w:lang w:eastAsia="zh-CN"/>
              </w:rPr>
            </w:pPr>
            <w:r>
              <w:rPr>
                <w:rFonts w:hint="eastAsia"/>
                <w:color w:val="000000"/>
              </w:rPr>
              <w:t>2984.5</w:t>
            </w:r>
          </w:p>
        </w:tc>
        <w:tc>
          <w:tcPr>
            <w:tcW w:w="1083" w:type="pct"/>
            <w:shd w:val="clear" w:color="auto" w:fill="FFFFFF"/>
            <w:noWrap w:val="0"/>
            <w:tcMar>
              <w:left w:w="113" w:type="dxa"/>
            </w:tcMar>
            <w:vAlign w:val="center"/>
          </w:tcPr>
          <w:p w14:paraId="15DF385D">
            <w:pPr>
              <w:pStyle w:val="11"/>
              <w:bidi w:val="0"/>
              <w:jc w:val="center"/>
              <w:rPr>
                <w:rFonts w:hint="eastAsia" w:eastAsia="宋体"/>
                <w:color w:val="000000"/>
                <w:lang w:eastAsia="zh-CN"/>
              </w:rPr>
            </w:pPr>
            <w:r>
              <w:rPr>
                <w:rFonts w:hint="eastAsia"/>
                <w:color w:val="000000"/>
              </w:rPr>
              <w:t>389</w:t>
            </w:r>
          </w:p>
        </w:tc>
      </w:tr>
      <w:tr w14:paraId="077584F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3BD4BE73">
            <w:pPr>
              <w:pStyle w:val="11"/>
              <w:bidi w:val="0"/>
              <w:jc w:val="both"/>
              <w:rPr>
                <w:rFonts w:hint="eastAsia" w:eastAsia="宋体"/>
                <w:color w:val="000000"/>
                <w:lang w:eastAsia="zh-CN"/>
              </w:rPr>
            </w:pPr>
            <w:r>
              <w:rPr>
                <w:rFonts w:hint="eastAsia"/>
                <w:color w:val="000000"/>
              </w:rPr>
              <w:t>13、当年安排治理项目</w:t>
            </w:r>
          </w:p>
        </w:tc>
        <w:tc>
          <w:tcPr>
            <w:tcW w:w="1329" w:type="pct"/>
            <w:shd w:val="clear" w:color="auto" w:fill="FFFFFF"/>
            <w:noWrap w:val="0"/>
            <w:tcMar>
              <w:top w:w="28" w:type="dxa"/>
              <w:left w:w="28" w:type="dxa"/>
              <w:bottom w:w="28" w:type="dxa"/>
              <w:right w:w="28" w:type="dxa"/>
            </w:tcMar>
            <w:vAlign w:val="center"/>
          </w:tcPr>
          <w:p w14:paraId="17953748">
            <w:pPr>
              <w:pStyle w:val="11"/>
              <w:bidi w:val="0"/>
              <w:jc w:val="center"/>
              <w:rPr>
                <w:rFonts w:hint="eastAsia" w:eastAsia="宋体"/>
                <w:color w:val="000000"/>
                <w:lang w:eastAsia="zh-CN"/>
              </w:rPr>
            </w:pPr>
            <w:r>
              <w:rPr>
                <w:rFonts w:hint="eastAsia"/>
                <w:color w:val="000000"/>
              </w:rPr>
              <w:t>个</w:t>
            </w:r>
          </w:p>
        </w:tc>
        <w:tc>
          <w:tcPr>
            <w:tcW w:w="1083" w:type="pct"/>
            <w:shd w:val="clear" w:color="auto" w:fill="FFFFFF"/>
            <w:noWrap w:val="0"/>
            <w:tcMar>
              <w:top w:w="28" w:type="dxa"/>
              <w:left w:w="113" w:type="dxa"/>
              <w:bottom w:w="28" w:type="dxa"/>
              <w:right w:w="28" w:type="dxa"/>
            </w:tcMar>
            <w:vAlign w:val="center"/>
          </w:tcPr>
          <w:p w14:paraId="35FEABBB">
            <w:pPr>
              <w:pStyle w:val="11"/>
              <w:bidi w:val="0"/>
              <w:jc w:val="center"/>
              <w:rPr>
                <w:rFonts w:hint="eastAsia" w:eastAsia="宋体"/>
                <w:color w:val="000000"/>
                <w:lang w:eastAsia="zh-CN"/>
              </w:rPr>
            </w:pPr>
            <w:r>
              <w:rPr>
                <w:rFonts w:hint="eastAsia"/>
                <w:color w:val="000000"/>
              </w:rPr>
              <w:t>31</w:t>
            </w:r>
          </w:p>
        </w:tc>
        <w:tc>
          <w:tcPr>
            <w:tcW w:w="1083" w:type="pct"/>
            <w:shd w:val="clear" w:color="auto" w:fill="FFFFFF"/>
            <w:noWrap w:val="0"/>
            <w:tcMar>
              <w:left w:w="113" w:type="dxa"/>
            </w:tcMar>
            <w:vAlign w:val="center"/>
          </w:tcPr>
          <w:p w14:paraId="14647A81">
            <w:pPr>
              <w:pStyle w:val="11"/>
              <w:bidi w:val="0"/>
              <w:jc w:val="center"/>
              <w:rPr>
                <w:rFonts w:hint="eastAsia" w:eastAsia="宋体"/>
                <w:color w:val="000000"/>
                <w:lang w:eastAsia="zh-CN"/>
              </w:rPr>
            </w:pPr>
            <w:r>
              <w:rPr>
                <w:rFonts w:hint="eastAsia"/>
                <w:color w:val="000000"/>
              </w:rPr>
              <w:t>4</w:t>
            </w:r>
          </w:p>
        </w:tc>
      </w:tr>
      <w:tr w14:paraId="47EE82B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57E5ABC8">
            <w:pPr>
              <w:pStyle w:val="11"/>
              <w:bidi w:val="0"/>
              <w:jc w:val="both"/>
              <w:rPr>
                <w:rFonts w:hint="eastAsia" w:eastAsia="宋体"/>
                <w:color w:val="000000"/>
                <w:lang w:eastAsia="zh-CN"/>
              </w:rPr>
            </w:pPr>
            <w:r>
              <w:rPr>
                <w:rFonts w:hint="eastAsia"/>
                <w:color w:val="000000"/>
              </w:rPr>
              <w:t>14、三废综合利用产品产值</w:t>
            </w:r>
          </w:p>
        </w:tc>
        <w:tc>
          <w:tcPr>
            <w:tcW w:w="1329" w:type="pct"/>
            <w:shd w:val="clear" w:color="auto" w:fill="FFFFFF"/>
            <w:noWrap w:val="0"/>
            <w:tcMar>
              <w:top w:w="28" w:type="dxa"/>
              <w:left w:w="28" w:type="dxa"/>
              <w:bottom w:w="28" w:type="dxa"/>
              <w:right w:w="28" w:type="dxa"/>
            </w:tcMar>
            <w:vAlign w:val="center"/>
          </w:tcPr>
          <w:p w14:paraId="186D98C0">
            <w:pPr>
              <w:pStyle w:val="11"/>
              <w:bidi w:val="0"/>
              <w:jc w:val="center"/>
              <w:rPr>
                <w:rFonts w:hint="eastAsia" w:eastAsia="宋体"/>
                <w:color w:val="000000"/>
                <w:lang w:eastAsia="zh-CN"/>
              </w:rPr>
            </w:pPr>
            <w:r>
              <w:rPr>
                <w:rFonts w:hint="eastAsia"/>
                <w:color w:val="000000"/>
              </w:rPr>
              <w:t>万元</w:t>
            </w:r>
          </w:p>
        </w:tc>
        <w:tc>
          <w:tcPr>
            <w:tcW w:w="1083" w:type="pct"/>
            <w:shd w:val="clear" w:color="auto" w:fill="FFFFFF"/>
            <w:noWrap w:val="0"/>
            <w:tcMar>
              <w:top w:w="28" w:type="dxa"/>
              <w:left w:w="113" w:type="dxa"/>
              <w:bottom w:w="28" w:type="dxa"/>
              <w:right w:w="28" w:type="dxa"/>
            </w:tcMar>
            <w:vAlign w:val="center"/>
          </w:tcPr>
          <w:p w14:paraId="268C011E">
            <w:pPr>
              <w:pStyle w:val="11"/>
              <w:bidi w:val="0"/>
              <w:jc w:val="center"/>
              <w:rPr>
                <w:rFonts w:hint="eastAsia" w:eastAsia="宋体"/>
                <w:color w:val="000000"/>
                <w:lang w:eastAsia="zh-CN"/>
              </w:rPr>
            </w:pPr>
            <w:r>
              <w:rPr>
                <w:rFonts w:hint="eastAsia"/>
                <w:color w:val="000000"/>
              </w:rPr>
              <w:t>115</w:t>
            </w:r>
          </w:p>
        </w:tc>
        <w:tc>
          <w:tcPr>
            <w:tcW w:w="1083" w:type="pct"/>
            <w:shd w:val="clear" w:color="auto" w:fill="FFFFFF"/>
            <w:noWrap w:val="0"/>
            <w:tcMar>
              <w:left w:w="113" w:type="dxa"/>
            </w:tcMar>
            <w:vAlign w:val="center"/>
          </w:tcPr>
          <w:p w14:paraId="069DF5D1">
            <w:pPr>
              <w:pStyle w:val="11"/>
              <w:bidi w:val="0"/>
              <w:jc w:val="center"/>
              <w:rPr>
                <w:rFonts w:hint="eastAsia" w:eastAsia="宋体"/>
                <w:color w:val="000000"/>
                <w:lang w:eastAsia="zh-CN"/>
              </w:rPr>
            </w:pPr>
            <w:r>
              <w:rPr>
                <w:rFonts w:hint="eastAsia"/>
                <w:color w:val="000000"/>
              </w:rPr>
              <w:t>120</w:t>
            </w:r>
          </w:p>
        </w:tc>
      </w:tr>
      <w:tr w14:paraId="2007C0C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495B0077">
            <w:pPr>
              <w:pStyle w:val="11"/>
              <w:bidi w:val="0"/>
              <w:jc w:val="both"/>
              <w:rPr>
                <w:rFonts w:hint="eastAsia" w:eastAsia="宋体"/>
                <w:color w:val="000000"/>
                <w:lang w:eastAsia="zh-CN"/>
              </w:rPr>
            </w:pPr>
            <w:r>
              <w:rPr>
                <w:rFonts w:hint="eastAsia"/>
                <w:color w:val="000000"/>
              </w:rPr>
              <w:t>15、烟尘控制面积</w:t>
            </w:r>
          </w:p>
        </w:tc>
        <w:tc>
          <w:tcPr>
            <w:tcW w:w="1329" w:type="pct"/>
            <w:shd w:val="clear" w:color="auto" w:fill="FFFFFF"/>
            <w:noWrap w:val="0"/>
            <w:tcMar>
              <w:top w:w="28" w:type="dxa"/>
              <w:left w:w="28" w:type="dxa"/>
              <w:bottom w:w="28" w:type="dxa"/>
              <w:right w:w="28" w:type="dxa"/>
            </w:tcMar>
            <w:vAlign w:val="center"/>
          </w:tcPr>
          <w:p w14:paraId="5BBA0088">
            <w:pPr>
              <w:pStyle w:val="11"/>
              <w:bidi w:val="0"/>
              <w:jc w:val="center"/>
              <w:rPr>
                <w:rFonts w:hint="eastAsia" w:eastAsia="宋体"/>
                <w:color w:val="000000"/>
                <w:lang w:eastAsia="zh-CN"/>
              </w:rPr>
            </w:pPr>
            <w:r>
              <w:rPr>
                <w:rFonts w:hint="eastAsia"/>
                <w:color w:val="000000"/>
              </w:rPr>
              <w:t>平方千米</w:t>
            </w:r>
          </w:p>
        </w:tc>
        <w:tc>
          <w:tcPr>
            <w:tcW w:w="1083" w:type="pct"/>
            <w:shd w:val="clear" w:color="auto" w:fill="FFFFFF"/>
            <w:noWrap w:val="0"/>
            <w:tcMar>
              <w:top w:w="28" w:type="dxa"/>
              <w:left w:w="113" w:type="dxa"/>
              <w:bottom w:w="28" w:type="dxa"/>
              <w:right w:w="28" w:type="dxa"/>
            </w:tcMar>
            <w:vAlign w:val="center"/>
          </w:tcPr>
          <w:p w14:paraId="771CCD3D">
            <w:pPr>
              <w:pStyle w:val="11"/>
              <w:bidi w:val="0"/>
              <w:jc w:val="center"/>
              <w:rPr>
                <w:rFonts w:hint="eastAsia" w:eastAsia="宋体"/>
                <w:color w:val="000000"/>
                <w:lang w:eastAsia="zh-CN"/>
              </w:rPr>
            </w:pPr>
            <w:r>
              <w:rPr>
                <w:rFonts w:hint="eastAsia"/>
                <w:color w:val="000000"/>
              </w:rPr>
              <w:t>12.49</w:t>
            </w:r>
          </w:p>
        </w:tc>
        <w:tc>
          <w:tcPr>
            <w:tcW w:w="1083" w:type="pct"/>
            <w:shd w:val="clear" w:color="auto" w:fill="FFFFFF"/>
            <w:noWrap w:val="0"/>
            <w:tcMar>
              <w:left w:w="113" w:type="dxa"/>
            </w:tcMar>
            <w:vAlign w:val="center"/>
          </w:tcPr>
          <w:p w14:paraId="6A52BA9E">
            <w:pPr>
              <w:pStyle w:val="11"/>
              <w:bidi w:val="0"/>
              <w:jc w:val="center"/>
              <w:rPr>
                <w:rFonts w:hint="eastAsia" w:eastAsia="宋体"/>
                <w:color w:val="000000"/>
                <w:lang w:eastAsia="zh-CN"/>
              </w:rPr>
            </w:pPr>
            <w:r>
              <w:rPr>
                <w:rFonts w:hint="eastAsia"/>
                <w:color w:val="000000"/>
              </w:rPr>
              <w:t>12.49</w:t>
            </w:r>
          </w:p>
        </w:tc>
      </w:tr>
      <w:tr w14:paraId="5A6E13B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33B85C29">
            <w:pPr>
              <w:pStyle w:val="11"/>
              <w:bidi w:val="0"/>
              <w:jc w:val="both"/>
              <w:rPr>
                <w:rFonts w:hint="eastAsia" w:eastAsia="宋体"/>
                <w:color w:val="000000"/>
                <w:lang w:eastAsia="zh-CN"/>
              </w:rPr>
            </w:pPr>
            <w:r>
              <w:rPr>
                <w:rFonts w:hint="eastAsia"/>
                <w:color w:val="000000"/>
              </w:rPr>
              <w:t>16、烟尘达标排放率</w:t>
            </w:r>
          </w:p>
        </w:tc>
        <w:tc>
          <w:tcPr>
            <w:tcW w:w="1329" w:type="pct"/>
            <w:shd w:val="clear" w:color="auto" w:fill="FFFFFF"/>
            <w:noWrap w:val="0"/>
            <w:tcMar>
              <w:top w:w="28" w:type="dxa"/>
              <w:left w:w="28" w:type="dxa"/>
              <w:bottom w:w="28" w:type="dxa"/>
              <w:right w:w="28" w:type="dxa"/>
            </w:tcMar>
            <w:vAlign w:val="center"/>
          </w:tcPr>
          <w:p w14:paraId="63AD96A3">
            <w:pPr>
              <w:pStyle w:val="11"/>
              <w:bidi w:val="0"/>
              <w:jc w:val="center"/>
              <w:rPr>
                <w:rFonts w:hint="eastAsia" w:eastAsia="宋体"/>
                <w:color w:val="000000"/>
                <w:lang w:eastAsia="zh-CN"/>
              </w:rPr>
            </w:pPr>
            <w:r>
              <w:rPr>
                <w:rFonts w:hint="eastAsia"/>
                <w:color w:val="000000"/>
              </w:rPr>
              <w:t>%</w:t>
            </w:r>
          </w:p>
        </w:tc>
        <w:tc>
          <w:tcPr>
            <w:tcW w:w="1083" w:type="pct"/>
            <w:shd w:val="clear" w:color="auto" w:fill="FFFFFF"/>
            <w:noWrap w:val="0"/>
            <w:tcMar>
              <w:top w:w="28" w:type="dxa"/>
              <w:left w:w="113" w:type="dxa"/>
              <w:bottom w:w="28" w:type="dxa"/>
              <w:right w:w="28" w:type="dxa"/>
            </w:tcMar>
            <w:vAlign w:val="center"/>
          </w:tcPr>
          <w:p w14:paraId="5939BE2B">
            <w:pPr>
              <w:pStyle w:val="11"/>
              <w:bidi w:val="0"/>
              <w:jc w:val="center"/>
              <w:rPr>
                <w:rFonts w:hint="eastAsia"/>
                <w:color w:val="000000"/>
              </w:rPr>
            </w:pPr>
            <w:r>
              <w:rPr>
                <w:rFonts w:hint="eastAsia"/>
                <w:color w:val="000000"/>
              </w:rPr>
              <w:t>92.0</w:t>
            </w:r>
          </w:p>
        </w:tc>
        <w:tc>
          <w:tcPr>
            <w:tcW w:w="1083" w:type="pct"/>
            <w:shd w:val="clear" w:color="auto" w:fill="FFFFFF"/>
            <w:noWrap w:val="0"/>
            <w:tcMar>
              <w:left w:w="113" w:type="dxa"/>
            </w:tcMar>
            <w:vAlign w:val="center"/>
          </w:tcPr>
          <w:p w14:paraId="2AEEB8F8">
            <w:pPr>
              <w:pStyle w:val="11"/>
              <w:bidi w:val="0"/>
              <w:jc w:val="center"/>
              <w:rPr>
                <w:rFonts w:hint="eastAsia"/>
                <w:color w:val="000000"/>
              </w:rPr>
            </w:pPr>
            <w:r>
              <w:rPr>
                <w:rFonts w:hint="eastAsia"/>
                <w:color w:val="000000"/>
              </w:rPr>
              <w:t>93.0</w:t>
            </w:r>
          </w:p>
        </w:tc>
      </w:tr>
      <w:tr w14:paraId="40AD508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0D31E220">
            <w:pPr>
              <w:pStyle w:val="11"/>
              <w:bidi w:val="0"/>
              <w:jc w:val="both"/>
              <w:rPr>
                <w:rFonts w:hint="eastAsia" w:eastAsia="宋体"/>
                <w:color w:val="000000"/>
                <w:lang w:eastAsia="zh-CN"/>
              </w:rPr>
            </w:pPr>
            <w:r>
              <w:rPr>
                <w:rFonts w:hint="eastAsia"/>
                <w:color w:val="000000"/>
              </w:rPr>
              <w:t>17、化学需氧量排放量</w:t>
            </w:r>
          </w:p>
        </w:tc>
        <w:tc>
          <w:tcPr>
            <w:tcW w:w="1329" w:type="pct"/>
            <w:shd w:val="clear" w:color="auto" w:fill="FFFFFF"/>
            <w:noWrap w:val="0"/>
            <w:tcMar>
              <w:top w:w="28" w:type="dxa"/>
              <w:left w:w="28" w:type="dxa"/>
              <w:bottom w:w="28" w:type="dxa"/>
              <w:right w:w="28" w:type="dxa"/>
            </w:tcMar>
            <w:vAlign w:val="center"/>
          </w:tcPr>
          <w:p w14:paraId="396482F0">
            <w:pPr>
              <w:pStyle w:val="11"/>
              <w:bidi w:val="0"/>
              <w:jc w:val="center"/>
              <w:rPr>
                <w:rFonts w:hint="eastAsia" w:eastAsia="宋体"/>
                <w:color w:val="000000"/>
                <w:lang w:eastAsia="zh-CN"/>
              </w:rPr>
            </w:pPr>
            <w:r>
              <w:rPr>
                <w:rFonts w:hint="eastAsia"/>
                <w:color w:val="000000"/>
              </w:rPr>
              <w:t>吨</w:t>
            </w:r>
          </w:p>
        </w:tc>
        <w:tc>
          <w:tcPr>
            <w:tcW w:w="1083" w:type="pct"/>
            <w:shd w:val="clear" w:color="auto" w:fill="FFFFFF"/>
            <w:noWrap w:val="0"/>
            <w:tcMar>
              <w:top w:w="28" w:type="dxa"/>
              <w:left w:w="113" w:type="dxa"/>
              <w:bottom w:w="28" w:type="dxa"/>
              <w:right w:w="28" w:type="dxa"/>
            </w:tcMar>
            <w:vAlign w:val="center"/>
          </w:tcPr>
          <w:p w14:paraId="31219F23">
            <w:pPr>
              <w:pStyle w:val="11"/>
              <w:bidi w:val="0"/>
              <w:jc w:val="center"/>
              <w:rPr>
                <w:rFonts w:hint="eastAsia" w:eastAsia="宋体"/>
                <w:color w:val="000000"/>
                <w:lang w:eastAsia="zh-CN"/>
              </w:rPr>
            </w:pPr>
            <w:r>
              <w:rPr>
                <w:rFonts w:hint="eastAsia"/>
                <w:color w:val="000000"/>
              </w:rPr>
              <w:t>5399</w:t>
            </w:r>
          </w:p>
        </w:tc>
        <w:tc>
          <w:tcPr>
            <w:tcW w:w="1083" w:type="pct"/>
            <w:shd w:val="clear" w:color="auto" w:fill="FFFFFF"/>
            <w:noWrap w:val="0"/>
            <w:tcMar>
              <w:left w:w="113" w:type="dxa"/>
            </w:tcMar>
            <w:vAlign w:val="center"/>
          </w:tcPr>
          <w:p w14:paraId="0498FD69">
            <w:pPr>
              <w:pStyle w:val="11"/>
              <w:bidi w:val="0"/>
              <w:jc w:val="center"/>
              <w:rPr>
                <w:rFonts w:hint="eastAsia" w:eastAsia="宋体"/>
                <w:color w:val="000000"/>
                <w:lang w:eastAsia="zh-CN"/>
              </w:rPr>
            </w:pPr>
            <w:r>
              <w:rPr>
                <w:rFonts w:hint="eastAsia"/>
                <w:color w:val="000000"/>
              </w:rPr>
              <w:t>5481</w:t>
            </w:r>
          </w:p>
        </w:tc>
      </w:tr>
      <w:tr w14:paraId="420F09A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6FAA6FB2">
            <w:pPr>
              <w:pStyle w:val="11"/>
              <w:bidi w:val="0"/>
              <w:jc w:val="both"/>
              <w:rPr>
                <w:rFonts w:hint="eastAsia" w:eastAsia="宋体"/>
                <w:color w:val="000000"/>
                <w:lang w:eastAsia="zh-CN"/>
              </w:rPr>
            </w:pPr>
            <w:r>
              <w:rPr>
                <w:rFonts w:hint="eastAsia"/>
                <w:color w:val="000000"/>
              </w:rPr>
              <w:t>18、二氧化硫排放量</w:t>
            </w:r>
          </w:p>
        </w:tc>
        <w:tc>
          <w:tcPr>
            <w:tcW w:w="1329" w:type="pct"/>
            <w:shd w:val="clear" w:color="auto" w:fill="FFFFFF"/>
            <w:noWrap w:val="0"/>
            <w:tcMar>
              <w:top w:w="28" w:type="dxa"/>
              <w:left w:w="28" w:type="dxa"/>
              <w:bottom w:w="28" w:type="dxa"/>
              <w:right w:w="28" w:type="dxa"/>
            </w:tcMar>
            <w:vAlign w:val="center"/>
          </w:tcPr>
          <w:p w14:paraId="35EB24BE">
            <w:pPr>
              <w:pStyle w:val="11"/>
              <w:bidi w:val="0"/>
              <w:jc w:val="center"/>
              <w:rPr>
                <w:rFonts w:hint="eastAsia" w:eastAsia="宋体"/>
                <w:color w:val="000000"/>
                <w:lang w:eastAsia="zh-CN"/>
              </w:rPr>
            </w:pPr>
            <w:r>
              <w:rPr>
                <w:rFonts w:hint="eastAsia"/>
                <w:color w:val="000000"/>
              </w:rPr>
              <w:t>吨</w:t>
            </w:r>
          </w:p>
        </w:tc>
        <w:tc>
          <w:tcPr>
            <w:tcW w:w="1083" w:type="pct"/>
            <w:shd w:val="clear" w:color="auto" w:fill="FFFFFF"/>
            <w:noWrap w:val="0"/>
            <w:tcMar>
              <w:top w:w="28" w:type="dxa"/>
              <w:left w:w="113" w:type="dxa"/>
              <w:bottom w:w="28" w:type="dxa"/>
              <w:right w:w="28" w:type="dxa"/>
            </w:tcMar>
            <w:vAlign w:val="center"/>
          </w:tcPr>
          <w:p w14:paraId="559E3AD1">
            <w:pPr>
              <w:pStyle w:val="11"/>
              <w:bidi w:val="0"/>
              <w:jc w:val="center"/>
              <w:rPr>
                <w:rFonts w:hint="eastAsia" w:eastAsia="宋体"/>
                <w:color w:val="000000"/>
                <w:lang w:eastAsia="zh-CN"/>
              </w:rPr>
            </w:pPr>
            <w:r>
              <w:rPr>
                <w:rFonts w:hint="eastAsia"/>
                <w:color w:val="000000"/>
              </w:rPr>
              <w:t>440</w:t>
            </w:r>
          </w:p>
        </w:tc>
        <w:tc>
          <w:tcPr>
            <w:tcW w:w="1083" w:type="pct"/>
            <w:shd w:val="clear" w:color="auto" w:fill="FFFFFF"/>
            <w:noWrap w:val="0"/>
            <w:tcMar>
              <w:left w:w="113" w:type="dxa"/>
            </w:tcMar>
            <w:vAlign w:val="center"/>
          </w:tcPr>
          <w:p w14:paraId="5A222E63">
            <w:pPr>
              <w:pStyle w:val="11"/>
              <w:bidi w:val="0"/>
              <w:jc w:val="center"/>
              <w:rPr>
                <w:rFonts w:hint="eastAsia" w:eastAsia="宋体"/>
                <w:color w:val="000000"/>
                <w:lang w:eastAsia="zh-CN"/>
              </w:rPr>
            </w:pPr>
            <w:r>
              <w:rPr>
                <w:rFonts w:hint="eastAsia"/>
                <w:color w:val="000000"/>
              </w:rPr>
              <w:t>788</w:t>
            </w:r>
          </w:p>
        </w:tc>
      </w:tr>
      <w:tr w14:paraId="3E7A230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410FB501">
            <w:pPr>
              <w:pStyle w:val="11"/>
              <w:bidi w:val="0"/>
              <w:jc w:val="both"/>
              <w:rPr>
                <w:rFonts w:hint="eastAsia" w:eastAsia="宋体"/>
                <w:color w:val="000000"/>
                <w:lang w:eastAsia="zh-CN"/>
              </w:rPr>
            </w:pPr>
            <w:r>
              <w:rPr>
                <w:rFonts w:hint="eastAsia"/>
                <w:color w:val="000000"/>
              </w:rPr>
              <w:t>19、氨氮排放量</w:t>
            </w:r>
          </w:p>
        </w:tc>
        <w:tc>
          <w:tcPr>
            <w:tcW w:w="1329" w:type="pct"/>
            <w:shd w:val="clear" w:color="auto" w:fill="FFFFFF"/>
            <w:noWrap w:val="0"/>
            <w:tcMar>
              <w:top w:w="28" w:type="dxa"/>
              <w:left w:w="28" w:type="dxa"/>
              <w:bottom w:w="28" w:type="dxa"/>
              <w:right w:w="28" w:type="dxa"/>
            </w:tcMar>
            <w:vAlign w:val="center"/>
          </w:tcPr>
          <w:p w14:paraId="5DE2A2CF">
            <w:pPr>
              <w:pStyle w:val="11"/>
              <w:bidi w:val="0"/>
              <w:jc w:val="center"/>
              <w:rPr>
                <w:rFonts w:hint="eastAsia" w:eastAsia="宋体"/>
                <w:color w:val="000000"/>
                <w:lang w:eastAsia="zh-CN"/>
              </w:rPr>
            </w:pPr>
            <w:r>
              <w:rPr>
                <w:rFonts w:hint="eastAsia"/>
                <w:color w:val="000000"/>
              </w:rPr>
              <w:t>吨</w:t>
            </w:r>
          </w:p>
        </w:tc>
        <w:tc>
          <w:tcPr>
            <w:tcW w:w="1083" w:type="pct"/>
            <w:shd w:val="clear" w:color="auto" w:fill="FFFFFF"/>
            <w:noWrap w:val="0"/>
            <w:tcMar>
              <w:top w:w="28" w:type="dxa"/>
              <w:left w:w="113" w:type="dxa"/>
              <w:bottom w:w="28" w:type="dxa"/>
              <w:right w:w="28" w:type="dxa"/>
            </w:tcMar>
            <w:vAlign w:val="center"/>
          </w:tcPr>
          <w:p w14:paraId="4BAA6808">
            <w:pPr>
              <w:pStyle w:val="11"/>
              <w:bidi w:val="0"/>
              <w:jc w:val="center"/>
              <w:rPr>
                <w:rFonts w:hint="eastAsia" w:eastAsia="宋体"/>
                <w:color w:val="000000"/>
                <w:lang w:eastAsia="zh-CN"/>
              </w:rPr>
            </w:pPr>
            <w:r>
              <w:rPr>
                <w:rFonts w:hint="eastAsia"/>
                <w:color w:val="000000"/>
              </w:rPr>
              <w:t>788</w:t>
            </w:r>
          </w:p>
        </w:tc>
        <w:tc>
          <w:tcPr>
            <w:tcW w:w="1083" w:type="pct"/>
            <w:shd w:val="clear" w:color="auto" w:fill="FFFFFF"/>
            <w:noWrap w:val="0"/>
            <w:tcMar>
              <w:left w:w="113" w:type="dxa"/>
            </w:tcMar>
            <w:vAlign w:val="center"/>
          </w:tcPr>
          <w:p w14:paraId="54E0FD97">
            <w:pPr>
              <w:pStyle w:val="11"/>
              <w:bidi w:val="0"/>
              <w:jc w:val="center"/>
              <w:rPr>
                <w:rFonts w:hint="eastAsia" w:eastAsia="宋体"/>
                <w:color w:val="000000"/>
                <w:lang w:eastAsia="zh-CN"/>
              </w:rPr>
            </w:pPr>
            <w:r>
              <w:rPr>
                <w:rFonts w:hint="eastAsia"/>
                <w:color w:val="000000"/>
              </w:rPr>
              <w:t>460</w:t>
            </w:r>
          </w:p>
        </w:tc>
      </w:tr>
      <w:tr w14:paraId="6EC1EE5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504" w:type="pct"/>
            <w:shd w:val="clear" w:color="auto" w:fill="FFFFFF"/>
            <w:noWrap w:val="0"/>
            <w:vAlign w:val="center"/>
          </w:tcPr>
          <w:p w14:paraId="7397D514">
            <w:pPr>
              <w:pStyle w:val="11"/>
              <w:bidi w:val="0"/>
              <w:jc w:val="both"/>
              <w:rPr>
                <w:rFonts w:hint="eastAsia" w:eastAsia="宋体"/>
                <w:color w:val="000000"/>
                <w:lang w:eastAsia="zh-CN"/>
              </w:rPr>
            </w:pPr>
            <w:r>
              <w:rPr>
                <w:rFonts w:hint="eastAsia"/>
                <w:color w:val="000000"/>
              </w:rPr>
              <w:t>20、氮氧化物排放量</w:t>
            </w:r>
          </w:p>
        </w:tc>
        <w:tc>
          <w:tcPr>
            <w:tcW w:w="1329" w:type="pct"/>
            <w:shd w:val="clear" w:color="auto" w:fill="FFFFFF"/>
            <w:noWrap w:val="0"/>
            <w:tcMar>
              <w:top w:w="28" w:type="dxa"/>
              <w:left w:w="28" w:type="dxa"/>
              <w:bottom w:w="28" w:type="dxa"/>
              <w:right w:w="28" w:type="dxa"/>
            </w:tcMar>
            <w:vAlign w:val="center"/>
          </w:tcPr>
          <w:p w14:paraId="5549979E">
            <w:pPr>
              <w:pStyle w:val="11"/>
              <w:bidi w:val="0"/>
              <w:jc w:val="center"/>
              <w:rPr>
                <w:rFonts w:hint="eastAsia" w:eastAsia="宋体"/>
                <w:color w:val="000000"/>
                <w:lang w:eastAsia="zh-CN"/>
              </w:rPr>
            </w:pPr>
            <w:r>
              <w:rPr>
                <w:rFonts w:hint="eastAsia"/>
                <w:color w:val="000000"/>
              </w:rPr>
              <w:t>吨</w:t>
            </w:r>
          </w:p>
        </w:tc>
        <w:tc>
          <w:tcPr>
            <w:tcW w:w="1083" w:type="pct"/>
            <w:shd w:val="clear" w:color="auto" w:fill="FFFFFF"/>
            <w:noWrap w:val="0"/>
            <w:tcMar>
              <w:top w:w="28" w:type="dxa"/>
              <w:left w:w="113" w:type="dxa"/>
              <w:bottom w:w="28" w:type="dxa"/>
              <w:right w:w="28" w:type="dxa"/>
            </w:tcMar>
            <w:vAlign w:val="center"/>
          </w:tcPr>
          <w:p w14:paraId="5C826898">
            <w:pPr>
              <w:pStyle w:val="11"/>
              <w:bidi w:val="0"/>
              <w:jc w:val="center"/>
              <w:rPr>
                <w:rFonts w:hint="eastAsia" w:eastAsia="宋体"/>
                <w:color w:val="000000"/>
                <w:lang w:eastAsia="zh-CN"/>
              </w:rPr>
            </w:pPr>
            <w:r>
              <w:rPr>
                <w:rFonts w:hint="eastAsia"/>
                <w:color w:val="000000"/>
              </w:rPr>
              <w:t>436</w:t>
            </w:r>
          </w:p>
        </w:tc>
        <w:tc>
          <w:tcPr>
            <w:tcW w:w="1083" w:type="pct"/>
            <w:shd w:val="clear" w:color="auto" w:fill="FFFFFF"/>
            <w:noWrap w:val="0"/>
            <w:tcMar>
              <w:left w:w="113" w:type="dxa"/>
            </w:tcMar>
            <w:vAlign w:val="center"/>
          </w:tcPr>
          <w:p w14:paraId="591030A2">
            <w:pPr>
              <w:pStyle w:val="11"/>
              <w:bidi w:val="0"/>
              <w:jc w:val="center"/>
              <w:rPr>
                <w:rFonts w:hint="eastAsia" w:eastAsia="宋体"/>
                <w:color w:val="000000"/>
                <w:lang w:eastAsia="zh-CN"/>
              </w:rPr>
            </w:pPr>
            <w:r>
              <w:rPr>
                <w:rFonts w:hint="eastAsia"/>
                <w:color w:val="000000"/>
              </w:rPr>
              <w:t>436</w:t>
            </w:r>
          </w:p>
        </w:tc>
      </w:tr>
    </w:tbl>
    <w:p w14:paraId="6C2CB3F8">
      <w:pPr>
        <w:bidi w:val="0"/>
        <w:ind w:left="0" w:leftChars="0" w:firstLine="0" w:firstLineChars="0"/>
        <w:rPr>
          <w:rFonts w:hint="eastAsia"/>
          <w:b/>
          <w:bCs/>
        </w:rPr>
      </w:pPr>
      <w:r>
        <w:rPr>
          <w:rFonts w:hint="eastAsia"/>
          <w:b/>
          <w:bCs/>
        </w:rPr>
        <w:t>数据提供：市环境保护局</w:t>
      </w:r>
    </w:p>
    <w:p w14:paraId="725006A2">
      <w:pPr>
        <w:pStyle w:val="4"/>
        <w:bidi w:val="0"/>
        <w:rPr>
          <w:rFonts w:hint="eastAsia"/>
        </w:rPr>
      </w:pPr>
      <w:r>
        <w:rPr>
          <w:rFonts w:hint="eastAsia"/>
        </w:rPr>
        <w:t>表37</w:t>
      </w:r>
      <w:r>
        <w:rPr>
          <w:rFonts w:hint="eastAsia"/>
          <w:lang w:val="en-US" w:eastAsia="zh-CN"/>
        </w:rPr>
        <w:t xml:space="preserve">  </w:t>
      </w:r>
      <w:r>
        <w:rPr>
          <w:rFonts w:hint="eastAsia"/>
        </w:rPr>
        <w:t>全市各类市场主体登记情况</w:t>
      </w:r>
    </w:p>
    <w:tbl>
      <w:tblPr>
        <w:tblStyle w:val="8"/>
        <w:tblW w:w="4999"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3829"/>
        <w:gridCol w:w="1552"/>
        <w:gridCol w:w="1351"/>
        <w:gridCol w:w="1743"/>
        <w:gridCol w:w="1485"/>
      </w:tblGrid>
      <w:tr w14:paraId="072D365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46" w:hRule="atLeast"/>
        </w:trPr>
        <w:tc>
          <w:tcPr>
            <w:tcW w:w="1922" w:type="pct"/>
            <w:vMerge w:val="restart"/>
            <w:vAlign w:val="center"/>
          </w:tcPr>
          <w:p w14:paraId="62454C76">
            <w:pPr>
              <w:pStyle w:val="11"/>
              <w:bidi w:val="0"/>
              <w:jc w:val="center"/>
              <w:rPr>
                <w:rFonts w:hint="default"/>
                <w:b/>
                <w:bCs/>
                <w:lang w:val="en-US" w:eastAsia="zh-CN"/>
              </w:rPr>
            </w:pPr>
            <w:r>
              <w:rPr>
                <w:rFonts w:hint="eastAsia"/>
                <w:b/>
                <w:bCs/>
                <w:lang w:val="en-US" w:eastAsia="zh-CN"/>
              </w:rPr>
              <w:t>行业分类</w:t>
            </w:r>
          </w:p>
        </w:tc>
        <w:tc>
          <w:tcPr>
            <w:tcW w:w="3077" w:type="pct"/>
            <w:gridSpan w:val="4"/>
            <w:vAlign w:val="center"/>
          </w:tcPr>
          <w:p w14:paraId="39589E9E">
            <w:pPr>
              <w:pStyle w:val="11"/>
              <w:bidi w:val="0"/>
              <w:jc w:val="center"/>
              <w:rPr>
                <w:rFonts w:hint="default"/>
                <w:b/>
                <w:bCs/>
                <w:lang w:val="en-US" w:eastAsia="zh-CN"/>
              </w:rPr>
            </w:pPr>
            <w:r>
              <w:rPr>
                <w:rFonts w:hint="eastAsia"/>
                <w:b/>
                <w:bCs/>
                <w:lang w:val="en-US" w:eastAsia="zh-CN"/>
              </w:rPr>
              <w:t>期末实有</w:t>
            </w:r>
          </w:p>
        </w:tc>
      </w:tr>
      <w:tr w14:paraId="47C62FB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Merge w:val="continue"/>
            <w:vAlign w:val="center"/>
          </w:tcPr>
          <w:p w14:paraId="7D5D9E6C">
            <w:pPr>
              <w:pStyle w:val="11"/>
              <w:bidi w:val="0"/>
              <w:jc w:val="both"/>
              <w:rPr>
                <w:rFonts w:hint="eastAsia"/>
                <w:b/>
                <w:bCs/>
                <w:lang w:eastAsia="zh-CN"/>
              </w:rPr>
            </w:pPr>
          </w:p>
        </w:tc>
        <w:tc>
          <w:tcPr>
            <w:tcW w:w="779" w:type="pct"/>
            <w:vAlign w:val="center"/>
          </w:tcPr>
          <w:p w14:paraId="13D408FE">
            <w:pPr>
              <w:pStyle w:val="11"/>
              <w:bidi w:val="0"/>
              <w:jc w:val="center"/>
              <w:rPr>
                <w:rFonts w:hint="default"/>
                <w:b/>
                <w:bCs/>
                <w:lang w:val="en-US" w:eastAsia="zh-CN"/>
              </w:rPr>
            </w:pPr>
            <w:r>
              <w:rPr>
                <w:rFonts w:hint="eastAsia"/>
                <w:b/>
                <w:bCs/>
                <w:lang w:val="en-US" w:eastAsia="zh-CN"/>
              </w:rPr>
              <w:t>各类主体</w:t>
            </w:r>
          </w:p>
        </w:tc>
        <w:tc>
          <w:tcPr>
            <w:tcW w:w="2298" w:type="pct"/>
            <w:gridSpan w:val="3"/>
            <w:vAlign w:val="center"/>
          </w:tcPr>
          <w:p w14:paraId="4D8C2CEC">
            <w:pPr>
              <w:pStyle w:val="11"/>
              <w:bidi w:val="0"/>
              <w:jc w:val="center"/>
              <w:rPr>
                <w:rFonts w:hint="default"/>
                <w:b/>
                <w:bCs/>
                <w:lang w:val="en-US" w:eastAsia="zh-CN"/>
              </w:rPr>
            </w:pPr>
            <w:r>
              <w:rPr>
                <w:rFonts w:hint="eastAsia"/>
                <w:b/>
                <w:bCs/>
                <w:lang w:val="en-US" w:eastAsia="zh-CN"/>
              </w:rPr>
              <w:t>内资（非私营）企业</w:t>
            </w:r>
          </w:p>
        </w:tc>
      </w:tr>
      <w:tr w14:paraId="6AA49C3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9" w:hRule="atLeast"/>
        </w:trPr>
        <w:tc>
          <w:tcPr>
            <w:tcW w:w="1922" w:type="pct"/>
            <w:vMerge w:val="continue"/>
            <w:vAlign w:val="center"/>
          </w:tcPr>
          <w:p w14:paraId="5E20B1F5">
            <w:pPr>
              <w:pStyle w:val="11"/>
              <w:bidi w:val="0"/>
              <w:jc w:val="both"/>
              <w:rPr>
                <w:rFonts w:hint="eastAsia"/>
                <w:b/>
                <w:bCs/>
                <w:lang w:eastAsia="zh-CN"/>
              </w:rPr>
            </w:pPr>
          </w:p>
        </w:tc>
        <w:tc>
          <w:tcPr>
            <w:tcW w:w="779" w:type="pct"/>
            <w:vMerge w:val="restart"/>
            <w:vAlign w:val="center"/>
          </w:tcPr>
          <w:p w14:paraId="1D4C0E75">
            <w:pPr>
              <w:pStyle w:val="11"/>
              <w:bidi w:val="0"/>
              <w:jc w:val="center"/>
              <w:rPr>
                <w:rFonts w:hint="default"/>
                <w:b/>
                <w:bCs/>
                <w:lang w:val="en-US" w:eastAsia="zh-CN"/>
              </w:rPr>
            </w:pPr>
            <w:r>
              <w:rPr>
                <w:rFonts w:hint="eastAsia"/>
                <w:b/>
                <w:bCs/>
                <w:lang w:val="en-US" w:eastAsia="zh-CN"/>
              </w:rPr>
              <w:t>户数</w:t>
            </w:r>
          </w:p>
        </w:tc>
        <w:tc>
          <w:tcPr>
            <w:tcW w:w="678" w:type="pct"/>
            <w:vMerge w:val="restart"/>
            <w:tcBorders>
              <w:right w:val="nil"/>
            </w:tcBorders>
            <w:vAlign w:val="center"/>
          </w:tcPr>
          <w:p w14:paraId="449FAD17">
            <w:pPr>
              <w:pStyle w:val="11"/>
              <w:bidi w:val="0"/>
              <w:jc w:val="center"/>
              <w:rPr>
                <w:rFonts w:hint="default"/>
                <w:b/>
                <w:bCs/>
                <w:lang w:val="en-US" w:eastAsia="zh-CN"/>
              </w:rPr>
            </w:pPr>
            <w:r>
              <w:rPr>
                <w:rFonts w:hint="eastAsia"/>
                <w:b/>
                <w:bCs/>
                <w:lang w:val="en-US" w:eastAsia="zh-CN"/>
              </w:rPr>
              <w:t>户数</w:t>
            </w:r>
          </w:p>
        </w:tc>
        <w:tc>
          <w:tcPr>
            <w:tcW w:w="875" w:type="pct"/>
            <w:tcBorders>
              <w:left w:val="nil"/>
            </w:tcBorders>
            <w:vAlign w:val="center"/>
          </w:tcPr>
          <w:p w14:paraId="4D54E995">
            <w:pPr>
              <w:pStyle w:val="11"/>
              <w:bidi w:val="0"/>
              <w:jc w:val="center"/>
              <w:rPr>
                <w:rFonts w:hint="eastAsia"/>
                <w:b/>
                <w:bCs/>
                <w:lang w:eastAsia="zh-CN"/>
              </w:rPr>
            </w:pPr>
          </w:p>
        </w:tc>
        <w:tc>
          <w:tcPr>
            <w:tcW w:w="744" w:type="pct"/>
            <w:vMerge w:val="restart"/>
            <w:vAlign w:val="center"/>
          </w:tcPr>
          <w:p w14:paraId="752C31B9">
            <w:pPr>
              <w:pStyle w:val="11"/>
              <w:bidi w:val="0"/>
              <w:jc w:val="center"/>
              <w:rPr>
                <w:rFonts w:hint="default"/>
                <w:b/>
                <w:bCs/>
                <w:lang w:val="en-US" w:eastAsia="zh-CN"/>
              </w:rPr>
            </w:pPr>
            <w:r>
              <w:rPr>
                <w:rFonts w:hint="eastAsia"/>
                <w:b/>
                <w:bCs/>
                <w:lang w:val="en-US" w:eastAsia="zh-CN"/>
              </w:rPr>
              <w:t>注册资金</w:t>
            </w:r>
          </w:p>
        </w:tc>
      </w:tr>
      <w:tr w14:paraId="04594B2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9" w:hRule="atLeast"/>
        </w:trPr>
        <w:tc>
          <w:tcPr>
            <w:tcW w:w="1922" w:type="pct"/>
            <w:vMerge w:val="continue"/>
            <w:vAlign w:val="center"/>
          </w:tcPr>
          <w:p w14:paraId="222E19BD">
            <w:pPr>
              <w:pStyle w:val="11"/>
              <w:bidi w:val="0"/>
              <w:jc w:val="both"/>
            </w:pPr>
          </w:p>
        </w:tc>
        <w:tc>
          <w:tcPr>
            <w:tcW w:w="779" w:type="pct"/>
            <w:vMerge w:val="continue"/>
            <w:vAlign w:val="center"/>
          </w:tcPr>
          <w:p w14:paraId="7B846B4B">
            <w:pPr>
              <w:pStyle w:val="11"/>
              <w:bidi w:val="0"/>
              <w:jc w:val="center"/>
            </w:pPr>
          </w:p>
        </w:tc>
        <w:tc>
          <w:tcPr>
            <w:tcW w:w="678" w:type="pct"/>
            <w:vMerge w:val="continue"/>
            <w:vAlign w:val="center"/>
          </w:tcPr>
          <w:p w14:paraId="74CDA67E">
            <w:pPr>
              <w:pStyle w:val="11"/>
              <w:bidi w:val="0"/>
              <w:jc w:val="center"/>
              <w:rPr>
                <w:b/>
                <w:bCs/>
              </w:rPr>
            </w:pPr>
          </w:p>
        </w:tc>
        <w:tc>
          <w:tcPr>
            <w:tcW w:w="875" w:type="pct"/>
            <w:vAlign w:val="center"/>
          </w:tcPr>
          <w:p w14:paraId="5ED05048">
            <w:pPr>
              <w:pStyle w:val="11"/>
              <w:bidi w:val="0"/>
              <w:jc w:val="center"/>
              <w:rPr>
                <w:rFonts w:hint="default"/>
                <w:b/>
                <w:bCs/>
                <w:lang w:val="en-US" w:eastAsia="zh-CN"/>
              </w:rPr>
            </w:pPr>
            <w:r>
              <w:rPr>
                <w:rFonts w:hint="eastAsia"/>
                <w:b/>
                <w:bCs/>
                <w:lang w:val="en-US" w:eastAsia="zh-CN"/>
              </w:rPr>
              <w:t>其中：企业法人</w:t>
            </w:r>
          </w:p>
        </w:tc>
        <w:tc>
          <w:tcPr>
            <w:tcW w:w="744" w:type="pct"/>
            <w:vMerge w:val="continue"/>
            <w:vAlign w:val="center"/>
          </w:tcPr>
          <w:p w14:paraId="7489D5CE">
            <w:pPr>
              <w:pStyle w:val="11"/>
              <w:bidi w:val="0"/>
              <w:jc w:val="center"/>
              <w:rPr>
                <w:rFonts w:hint="eastAsia"/>
                <w:lang w:eastAsia="zh-CN"/>
              </w:rPr>
            </w:pPr>
          </w:p>
        </w:tc>
      </w:tr>
      <w:tr w14:paraId="0380255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022EAEC0">
            <w:pPr>
              <w:pStyle w:val="11"/>
              <w:bidi w:val="0"/>
              <w:jc w:val="both"/>
              <w:rPr>
                <w:rFonts w:hint="eastAsia"/>
                <w:lang w:eastAsia="zh-CN"/>
              </w:rPr>
            </w:pPr>
            <w:r>
              <w:rPr>
                <w:rFonts w:hint="eastAsia"/>
              </w:rPr>
              <w:t>合计</w:t>
            </w:r>
          </w:p>
        </w:tc>
        <w:tc>
          <w:tcPr>
            <w:tcW w:w="779" w:type="pct"/>
            <w:vAlign w:val="center"/>
          </w:tcPr>
          <w:p w14:paraId="663829F3">
            <w:pPr>
              <w:pStyle w:val="11"/>
              <w:bidi w:val="0"/>
              <w:jc w:val="center"/>
              <w:rPr>
                <w:rFonts w:hint="eastAsia"/>
                <w:lang w:eastAsia="zh-CN"/>
              </w:rPr>
            </w:pPr>
            <w:r>
              <w:rPr>
                <w:rFonts w:hint="eastAsia"/>
              </w:rPr>
              <w:t>16813</w:t>
            </w:r>
          </w:p>
        </w:tc>
        <w:tc>
          <w:tcPr>
            <w:tcW w:w="678" w:type="pct"/>
            <w:vAlign w:val="center"/>
          </w:tcPr>
          <w:p w14:paraId="5B69A61D">
            <w:pPr>
              <w:pStyle w:val="11"/>
              <w:bidi w:val="0"/>
              <w:jc w:val="center"/>
              <w:rPr>
                <w:rFonts w:hint="eastAsia"/>
                <w:lang w:eastAsia="zh-CN"/>
              </w:rPr>
            </w:pPr>
            <w:r>
              <w:rPr>
                <w:rFonts w:hint="eastAsia"/>
              </w:rPr>
              <w:t>625</w:t>
            </w:r>
          </w:p>
        </w:tc>
        <w:tc>
          <w:tcPr>
            <w:tcW w:w="875" w:type="pct"/>
            <w:vAlign w:val="center"/>
          </w:tcPr>
          <w:p w14:paraId="30BE8C93">
            <w:pPr>
              <w:pStyle w:val="11"/>
              <w:bidi w:val="0"/>
              <w:jc w:val="center"/>
              <w:rPr>
                <w:rFonts w:hint="eastAsia"/>
                <w:lang w:eastAsia="zh-CN"/>
              </w:rPr>
            </w:pPr>
            <w:r>
              <w:rPr>
                <w:rFonts w:hint="eastAsia"/>
              </w:rPr>
              <w:t>228</w:t>
            </w:r>
          </w:p>
        </w:tc>
        <w:tc>
          <w:tcPr>
            <w:tcW w:w="744" w:type="pct"/>
            <w:vAlign w:val="center"/>
          </w:tcPr>
          <w:p w14:paraId="0F58743B">
            <w:pPr>
              <w:pStyle w:val="11"/>
              <w:bidi w:val="0"/>
              <w:jc w:val="center"/>
              <w:rPr>
                <w:rFonts w:hint="eastAsia"/>
                <w:lang w:eastAsia="zh-CN"/>
              </w:rPr>
            </w:pPr>
            <w:r>
              <w:rPr>
                <w:rFonts w:hint="eastAsia"/>
              </w:rPr>
              <w:t>624986</w:t>
            </w:r>
          </w:p>
        </w:tc>
      </w:tr>
      <w:tr w14:paraId="287AAB3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6B4055E6">
            <w:pPr>
              <w:pStyle w:val="11"/>
              <w:bidi w:val="0"/>
              <w:jc w:val="both"/>
              <w:rPr>
                <w:rFonts w:hint="eastAsia"/>
                <w:lang w:eastAsia="zh-CN"/>
              </w:rPr>
            </w:pPr>
            <w:r>
              <w:rPr>
                <w:rFonts w:hint="eastAsia"/>
              </w:rPr>
              <w:t>农、林、牧、渔业</w:t>
            </w:r>
          </w:p>
        </w:tc>
        <w:tc>
          <w:tcPr>
            <w:tcW w:w="779" w:type="pct"/>
            <w:vAlign w:val="center"/>
          </w:tcPr>
          <w:p w14:paraId="6C5B8BA6">
            <w:pPr>
              <w:pStyle w:val="11"/>
              <w:bidi w:val="0"/>
              <w:jc w:val="center"/>
              <w:rPr>
                <w:rFonts w:hint="eastAsia"/>
                <w:lang w:eastAsia="zh-CN"/>
              </w:rPr>
            </w:pPr>
            <w:r>
              <w:rPr>
                <w:rFonts w:hint="eastAsia"/>
              </w:rPr>
              <w:t>1767</w:t>
            </w:r>
          </w:p>
        </w:tc>
        <w:tc>
          <w:tcPr>
            <w:tcW w:w="678" w:type="pct"/>
            <w:vAlign w:val="center"/>
          </w:tcPr>
          <w:p w14:paraId="760F2011">
            <w:pPr>
              <w:pStyle w:val="11"/>
              <w:bidi w:val="0"/>
              <w:jc w:val="center"/>
              <w:rPr>
                <w:rFonts w:hint="eastAsia"/>
                <w:lang w:eastAsia="zh-CN"/>
              </w:rPr>
            </w:pPr>
            <w:r>
              <w:rPr>
                <w:rFonts w:hint="eastAsia"/>
              </w:rPr>
              <w:t>31</w:t>
            </w:r>
          </w:p>
        </w:tc>
        <w:tc>
          <w:tcPr>
            <w:tcW w:w="875" w:type="pct"/>
            <w:vAlign w:val="center"/>
          </w:tcPr>
          <w:p w14:paraId="79EE9628">
            <w:pPr>
              <w:pStyle w:val="11"/>
              <w:bidi w:val="0"/>
              <w:jc w:val="center"/>
              <w:rPr>
                <w:rFonts w:hint="eastAsia"/>
                <w:lang w:eastAsia="zh-CN"/>
              </w:rPr>
            </w:pPr>
            <w:r>
              <w:rPr>
                <w:rFonts w:hint="eastAsia"/>
              </w:rPr>
              <w:t>24</w:t>
            </w:r>
          </w:p>
        </w:tc>
        <w:tc>
          <w:tcPr>
            <w:tcW w:w="744" w:type="pct"/>
            <w:vAlign w:val="center"/>
          </w:tcPr>
          <w:p w14:paraId="73FBF767">
            <w:pPr>
              <w:pStyle w:val="11"/>
              <w:bidi w:val="0"/>
              <w:jc w:val="center"/>
              <w:rPr>
                <w:rFonts w:hint="eastAsia"/>
                <w:lang w:eastAsia="zh-CN"/>
              </w:rPr>
            </w:pPr>
            <w:r>
              <w:rPr>
                <w:rFonts w:hint="eastAsia"/>
              </w:rPr>
              <w:t>28710</w:t>
            </w:r>
          </w:p>
        </w:tc>
      </w:tr>
      <w:tr w14:paraId="24A7539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3E222DB6">
            <w:pPr>
              <w:pStyle w:val="11"/>
              <w:bidi w:val="0"/>
              <w:ind w:leftChars="100"/>
              <w:jc w:val="both"/>
              <w:rPr>
                <w:rFonts w:hint="eastAsia"/>
                <w:lang w:eastAsia="zh-CN"/>
              </w:rPr>
            </w:pPr>
            <w:r>
              <w:rPr>
                <w:rFonts w:hint="eastAsia"/>
              </w:rPr>
              <w:t>其中：农、林、牧、渔服务业</w:t>
            </w:r>
          </w:p>
        </w:tc>
        <w:tc>
          <w:tcPr>
            <w:tcW w:w="779" w:type="pct"/>
            <w:vAlign w:val="center"/>
          </w:tcPr>
          <w:p w14:paraId="5C61FEB9">
            <w:pPr>
              <w:pStyle w:val="11"/>
              <w:bidi w:val="0"/>
              <w:jc w:val="center"/>
              <w:rPr>
                <w:rFonts w:hint="eastAsia"/>
                <w:lang w:eastAsia="zh-CN"/>
              </w:rPr>
            </w:pPr>
            <w:r>
              <w:rPr>
                <w:rFonts w:hint="eastAsia"/>
              </w:rPr>
              <w:t>247</w:t>
            </w:r>
          </w:p>
        </w:tc>
        <w:tc>
          <w:tcPr>
            <w:tcW w:w="678" w:type="pct"/>
            <w:vAlign w:val="center"/>
          </w:tcPr>
          <w:p w14:paraId="3653EB9E">
            <w:pPr>
              <w:pStyle w:val="11"/>
              <w:bidi w:val="0"/>
              <w:jc w:val="center"/>
              <w:rPr>
                <w:rFonts w:hint="eastAsia"/>
                <w:lang w:eastAsia="zh-CN"/>
              </w:rPr>
            </w:pPr>
            <w:r>
              <w:rPr>
                <w:rFonts w:hint="eastAsia"/>
              </w:rPr>
              <w:t>3</w:t>
            </w:r>
          </w:p>
        </w:tc>
        <w:tc>
          <w:tcPr>
            <w:tcW w:w="875" w:type="pct"/>
            <w:vAlign w:val="center"/>
          </w:tcPr>
          <w:p w14:paraId="643023BA">
            <w:pPr>
              <w:pStyle w:val="11"/>
              <w:bidi w:val="0"/>
              <w:jc w:val="center"/>
              <w:rPr>
                <w:rFonts w:hint="eastAsia"/>
                <w:lang w:eastAsia="zh-CN"/>
              </w:rPr>
            </w:pPr>
            <w:r>
              <w:rPr>
                <w:rFonts w:hint="eastAsia"/>
              </w:rPr>
              <w:t>2</w:t>
            </w:r>
          </w:p>
        </w:tc>
        <w:tc>
          <w:tcPr>
            <w:tcW w:w="744" w:type="pct"/>
            <w:vAlign w:val="center"/>
          </w:tcPr>
          <w:p w14:paraId="44AFAB4C">
            <w:pPr>
              <w:pStyle w:val="11"/>
              <w:bidi w:val="0"/>
              <w:jc w:val="center"/>
              <w:rPr>
                <w:rFonts w:hint="eastAsia"/>
                <w:lang w:eastAsia="zh-CN"/>
              </w:rPr>
            </w:pPr>
            <w:r>
              <w:rPr>
                <w:rFonts w:hint="eastAsia"/>
              </w:rPr>
              <w:t>1100</w:t>
            </w:r>
          </w:p>
        </w:tc>
      </w:tr>
      <w:tr w14:paraId="4200B03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73FDB4E2">
            <w:pPr>
              <w:pStyle w:val="11"/>
              <w:bidi w:val="0"/>
              <w:jc w:val="both"/>
              <w:rPr>
                <w:rFonts w:hint="eastAsia"/>
                <w:lang w:eastAsia="zh-CN"/>
              </w:rPr>
            </w:pPr>
            <w:r>
              <w:rPr>
                <w:rFonts w:hint="eastAsia"/>
              </w:rPr>
              <w:t>采矿业</w:t>
            </w:r>
          </w:p>
        </w:tc>
        <w:tc>
          <w:tcPr>
            <w:tcW w:w="779" w:type="pct"/>
            <w:vAlign w:val="center"/>
          </w:tcPr>
          <w:p w14:paraId="7B49322F">
            <w:pPr>
              <w:pStyle w:val="11"/>
              <w:bidi w:val="0"/>
              <w:jc w:val="center"/>
              <w:rPr>
                <w:rFonts w:hint="eastAsia"/>
                <w:lang w:eastAsia="zh-CN"/>
              </w:rPr>
            </w:pPr>
            <w:r>
              <w:rPr>
                <w:rFonts w:hint="eastAsia"/>
              </w:rPr>
              <w:t>18</w:t>
            </w:r>
          </w:p>
        </w:tc>
        <w:tc>
          <w:tcPr>
            <w:tcW w:w="678" w:type="pct"/>
            <w:vAlign w:val="center"/>
          </w:tcPr>
          <w:p w14:paraId="674BFF7A">
            <w:pPr>
              <w:pStyle w:val="11"/>
              <w:bidi w:val="0"/>
              <w:jc w:val="center"/>
              <w:rPr>
                <w:rFonts w:hint="eastAsia"/>
                <w:lang w:eastAsia="zh-CN"/>
              </w:rPr>
            </w:pPr>
            <w:r>
              <w:rPr>
                <w:rFonts w:hint="eastAsia"/>
              </w:rPr>
              <w:t>2</w:t>
            </w:r>
          </w:p>
        </w:tc>
        <w:tc>
          <w:tcPr>
            <w:tcW w:w="875" w:type="pct"/>
            <w:vAlign w:val="center"/>
          </w:tcPr>
          <w:p w14:paraId="33862C3D">
            <w:pPr>
              <w:pStyle w:val="11"/>
              <w:bidi w:val="0"/>
              <w:jc w:val="center"/>
              <w:rPr>
                <w:rFonts w:hint="eastAsia"/>
                <w:lang w:eastAsia="zh-CN"/>
              </w:rPr>
            </w:pPr>
            <w:r>
              <w:rPr>
                <w:rFonts w:hint="eastAsia"/>
              </w:rPr>
              <w:t>2</w:t>
            </w:r>
          </w:p>
        </w:tc>
        <w:tc>
          <w:tcPr>
            <w:tcW w:w="744" w:type="pct"/>
            <w:vAlign w:val="center"/>
          </w:tcPr>
          <w:p w14:paraId="796313CE">
            <w:pPr>
              <w:pStyle w:val="11"/>
              <w:bidi w:val="0"/>
              <w:jc w:val="center"/>
              <w:rPr>
                <w:rFonts w:hint="eastAsia"/>
                <w:lang w:eastAsia="zh-CN"/>
              </w:rPr>
            </w:pPr>
            <w:r>
              <w:rPr>
                <w:rFonts w:hint="eastAsia"/>
              </w:rPr>
              <w:t>700</w:t>
            </w:r>
          </w:p>
        </w:tc>
      </w:tr>
      <w:tr w14:paraId="4B46C59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4323513E">
            <w:pPr>
              <w:pStyle w:val="11"/>
              <w:bidi w:val="0"/>
              <w:jc w:val="both"/>
              <w:rPr>
                <w:rFonts w:hint="eastAsia"/>
                <w:lang w:eastAsia="zh-CN"/>
              </w:rPr>
            </w:pPr>
            <w:r>
              <w:rPr>
                <w:rFonts w:hint="eastAsia"/>
              </w:rPr>
              <w:t>开采辅助活动</w:t>
            </w:r>
          </w:p>
        </w:tc>
        <w:tc>
          <w:tcPr>
            <w:tcW w:w="779" w:type="pct"/>
            <w:vAlign w:val="center"/>
          </w:tcPr>
          <w:p w14:paraId="191D2855">
            <w:pPr>
              <w:pStyle w:val="11"/>
              <w:bidi w:val="0"/>
              <w:jc w:val="center"/>
              <w:rPr>
                <w:rFonts w:hint="eastAsia"/>
                <w:lang w:eastAsia="zh-CN"/>
              </w:rPr>
            </w:pPr>
            <w:r>
              <w:rPr>
                <w:rFonts w:hint="eastAsia"/>
              </w:rPr>
              <w:t>0</w:t>
            </w:r>
          </w:p>
        </w:tc>
        <w:tc>
          <w:tcPr>
            <w:tcW w:w="678" w:type="pct"/>
            <w:vAlign w:val="center"/>
          </w:tcPr>
          <w:p w14:paraId="0CF1F24B">
            <w:pPr>
              <w:pStyle w:val="11"/>
              <w:bidi w:val="0"/>
              <w:jc w:val="center"/>
              <w:rPr>
                <w:rFonts w:hint="eastAsia"/>
                <w:lang w:eastAsia="zh-CN"/>
              </w:rPr>
            </w:pPr>
            <w:r>
              <w:rPr>
                <w:rFonts w:hint="eastAsia"/>
              </w:rPr>
              <w:t>0</w:t>
            </w:r>
          </w:p>
        </w:tc>
        <w:tc>
          <w:tcPr>
            <w:tcW w:w="875" w:type="pct"/>
            <w:vAlign w:val="center"/>
          </w:tcPr>
          <w:p w14:paraId="278DD279">
            <w:pPr>
              <w:pStyle w:val="11"/>
              <w:bidi w:val="0"/>
              <w:jc w:val="center"/>
              <w:rPr>
                <w:rFonts w:hint="eastAsia"/>
                <w:lang w:eastAsia="zh-CN"/>
              </w:rPr>
            </w:pPr>
            <w:r>
              <w:rPr>
                <w:rFonts w:hint="eastAsia"/>
              </w:rPr>
              <w:t>0</w:t>
            </w:r>
          </w:p>
        </w:tc>
        <w:tc>
          <w:tcPr>
            <w:tcW w:w="744" w:type="pct"/>
            <w:vAlign w:val="center"/>
          </w:tcPr>
          <w:p w14:paraId="043C5A2D">
            <w:pPr>
              <w:pStyle w:val="11"/>
              <w:bidi w:val="0"/>
              <w:jc w:val="center"/>
              <w:rPr>
                <w:rFonts w:hint="eastAsia"/>
                <w:lang w:eastAsia="zh-CN"/>
              </w:rPr>
            </w:pPr>
            <w:r>
              <w:rPr>
                <w:rFonts w:hint="eastAsia"/>
              </w:rPr>
              <w:t>0</w:t>
            </w:r>
          </w:p>
        </w:tc>
      </w:tr>
      <w:tr w14:paraId="4DA5AF2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53D12E8E">
            <w:pPr>
              <w:pStyle w:val="11"/>
              <w:bidi w:val="0"/>
              <w:jc w:val="both"/>
              <w:rPr>
                <w:rFonts w:hint="eastAsia"/>
                <w:lang w:eastAsia="zh-CN"/>
              </w:rPr>
            </w:pPr>
            <w:r>
              <w:rPr>
                <w:rFonts w:hint="eastAsia"/>
              </w:rPr>
              <w:t>制造业</w:t>
            </w:r>
          </w:p>
        </w:tc>
        <w:tc>
          <w:tcPr>
            <w:tcW w:w="779" w:type="pct"/>
            <w:vAlign w:val="center"/>
          </w:tcPr>
          <w:p w14:paraId="4E8EFEF1">
            <w:pPr>
              <w:pStyle w:val="11"/>
              <w:bidi w:val="0"/>
              <w:jc w:val="center"/>
              <w:rPr>
                <w:rFonts w:hint="eastAsia"/>
                <w:lang w:eastAsia="zh-CN"/>
              </w:rPr>
            </w:pPr>
            <w:r>
              <w:rPr>
                <w:rFonts w:hint="eastAsia"/>
              </w:rPr>
              <w:t>1278</w:t>
            </w:r>
          </w:p>
        </w:tc>
        <w:tc>
          <w:tcPr>
            <w:tcW w:w="678" w:type="pct"/>
            <w:vAlign w:val="center"/>
          </w:tcPr>
          <w:p w14:paraId="665E110F">
            <w:pPr>
              <w:pStyle w:val="11"/>
              <w:bidi w:val="0"/>
              <w:jc w:val="center"/>
              <w:rPr>
                <w:rFonts w:hint="eastAsia"/>
                <w:lang w:eastAsia="zh-CN"/>
              </w:rPr>
            </w:pPr>
            <w:r>
              <w:rPr>
                <w:rFonts w:hint="eastAsia"/>
              </w:rPr>
              <w:t>33</w:t>
            </w:r>
          </w:p>
        </w:tc>
        <w:tc>
          <w:tcPr>
            <w:tcW w:w="875" w:type="pct"/>
            <w:vAlign w:val="center"/>
          </w:tcPr>
          <w:p w14:paraId="41ECDE97">
            <w:pPr>
              <w:pStyle w:val="11"/>
              <w:bidi w:val="0"/>
              <w:jc w:val="center"/>
              <w:rPr>
                <w:rFonts w:hint="eastAsia"/>
                <w:lang w:eastAsia="zh-CN"/>
              </w:rPr>
            </w:pPr>
            <w:r>
              <w:rPr>
                <w:rFonts w:hint="eastAsia"/>
              </w:rPr>
              <w:t>28</w:t>
            </w:r>
          </w:p>
        </w:tc>
        <w:tc>
          <w:tcPr>
            <w:tcW w:w="744" w:type="pct"/>
            <w:vAlign w:val="center"/>
          </w:tcPr>
          <w:p w14:paraId="438D97ED">
            <w:pPr>
              <w:pStyle w:val="11"/>
              <w:bidi w:val="0"/>
              <w:jc w:val="center"/>
              <w:rPr>
                <w:rFonts w:hint="eastAsia"/>
                <w:lang w:eastAsia="zh-CN"/>
              </w:rPr>
            </w:pPr>
            <w:r>
              <w:rPr>
                <w:rFonts w:hint="eastAsia"/>
              </w:rPr>
              <w:t>71107</w:t>
            </w:r>
          </w:p>
        </w:tc>
      </w:tr>
      <w:tr w14:paraId="4B4BEF7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0CC1785B">
            <w:pPr>
              <w:pStyle w:val="11"/>
              <w:bidi w:val="0"/>
              <w:jc w:val="both"/>
              <w:rPr>
                <w:rFonts w:hint="eastAsia"/>
              </w:rPr>
            </w:pPr>
            <w:r>
              <w:rPr>
                <w:rFonts w:hint="eastAsia"/>
              </w:rPr>
              <w:t>金属制品、机械和设备修理业</w:t>
            </w:r>
          </w:p>
        </w:tc>
        <w:tc>
          <w:tcPr>
            <w:tcW w:w="779" w:type="pct"/>
            <w:vAlign w:val="center"/>
          </w:tcPr>
          <w:p w14:paraId="05D87C92">
            <w:pPr>
              <w:pStyle w:val="11"/>
              <w:bidi w:val="0"/>
              <w:jc w:val="center"/>
              <w:rPr>
                <w:rFonts w:hint="eastAsia"/>
              </w:rPr>
            </w:pPr>
            <w:r>
              <w:rPr>
                <w:rFonts w:hint="eastAsia"/>
              </w:rPr>
              <w:t>14</w:t>
            </w:r>
          </w:p>
        </w:tc>
        <w:tc>
          <w:tcPr>
            <w:tcW w:w="678" w:type="pct"/>
            <w:vAlign w:val="center"/>
          </w:tcPr>
          <w:p w14:paraId="68D8E879">
            <w:pPr>
              <w:pStyle w:val="11"/>
              <w:bidi w:val="0"/>
              <w:jc w:val="center"/>
              <w:rPr>
                <w:rFonts w:hint="eastAsia"/>
              </w:rPr>
            </w:pPr>
            <w:r>
              <w:rPr>
                <w:rFonts w:hint="eastAsia"/>
              </w:rPr>
              <w:t>0</w:t>
            </w:r>
          </w:p>
        </w:tc>
        <w:tc>
          <w:tcPr>
            <w:tcW w:w="875" w:type="pct"/>
            <w:vAlign w:val="center"/>
          </w:tcPr>
          <w:p w14:paraId="29034B5C">
            <w:pPr>
              <w:pStyle w:val="11"/>
              <w:bidi w:val="0"/>
              <w:jc w:val="center"/>
              <w:rPr>
                <w:rFonts w:hint="eastAsia"/>
              </w:rPr>
            </w:pPr>
            <w:r>
              <w:rPr>
                <w:rFonts w:hint="eastAsia"/>
              </w:rPr>
              <w:t>0</w:t>
            </w:r>
          </w:p>
        </w:tc>
        <w:tc>
          <w:tcPr>
            <w:tcW w:w="744" w:type="pct"/>
            <w:vAlign w:val="center"/>
          </w:tcPr>
          <w:p w14:paraId="3202921A">
            <w:pPr>
              <w:pStyle w:val="11"/>
              <w:bidi w:val="0"/>
              <w:jc w:val="center"/>
              <w:rPr>
                <w:rFonts w:hint="eastAsia"/>
              </w:rPr>
            </w:pPr>
            <w:r>
              <w:rPr>
                <w:rFonts w:hint="eastAsia"/>
              </w:rPr>
              <w:t>0</w:t>
            </w:r>
          </w:p>
        </w:tc>
      </w:tr>
      <w:tr w14:paraId="52751C5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5B33957E">
            <w:pPr>
              <w:pStyle w:val="11"/>
              <w:bidi w:val="0"/>
              <w:jc w:val="both"/>
              <w:rPr>
                <w:rFonts w:hint="eastAsia"/>
              </w:rPr>
            </w:pPr>
            <w:r>
              <w:rPr>
                <w:rFonts w:hint="eastAsia"/>
              </w:rPr>
              <w:t>电力、热力、燃气及水生产和供应业</w:t>
            </w:r>
          </w:p>
        </w:tc>
        <w:tc>
          <w:tcPr>
            <w:tcW w:w="779" w:type="pct"/>
            <w:vAlign w:val="center"/>
          </w:tcPr>
          <w:p w14:paraId="6C9FD3E1">
            <w:pPr>
              <w:pStyle w:val="11"/>
              <w:bidi w:val="0"/>
              <w:jc w:val="center"/>
              <w:rPr>
                <w:rFonts w:hint="eastAsia"/>
              </w:rPr>
            </w:pPr>
            <w:r>
              <w:rPr>
                <w:rFonts w:hint="eastAsia"/>
              </w:rPr>
              <w:t>211</w:t>
            </w:r>
          </w:p>
        </w:tc>
        <w:tc>
          <w:tcPr>
            <w:tcW w:w="678" w:type="pct"/>
            <w:vAlign w:val="center"/>
          </w:tcPr>
          <w:p w14:paraId="262F3127">
            <w:pPr>
              <w:pStyle w:val="11"/>
              <w:bidi w:val="0"/>
              <w:jc w:val="center"/>
              <w:rPr>
                <w:rFonts w:hint="eastAsia"/>
              </w:rPr>
            </w:pPr>
            <w:r>
              <w:rPr>
                <w:rFonts w:hint="eastAsia"/>
              </w:rPr>
              <w:t>59</w:t>
            </w:r>
          </w:p>
        </w:tc>
        <w:tc>
          <w:tcPr>
            <w:tcW w:w="875" w:type="pct"/>
            <w:vAlign w:val="center"/>
          </w:tcPr>
          <w:p w14:paraId="450A25D7">
            <w:pPr>
              <w:pStyle w:val="11"/>
              <w:bidi w:val="0"/>
              <w:jc w:val="center"/>
              <w:rPr>
                <w:rFonts w:hint="eastAsia"/>
              </w:rPr>
            </w:pPr>
            <w:r>
              <w:rPr>
                <w:rFonts w:hint="eastAsia"/>
              </w:rPr>
              <w:t>31</w:t>
            </w:r>
          </w:p>
        </w:tc>
        <w:tc>
          <w:tcPr>
            <w:tcW w:w="744" w:type="pct"/>
            <w:vAlign w:val="center"/>
          </w:tcPr>
          <w:p w14:paraId="291BF217">
            <w:pPr>
              <w:pStyle w:val="11"/>
              <w:bidi w:val="0"/>
              <w:jc w:val="center"/>
              <w:rPr>
                <w:rFonts w:hint="eastAsia"/>
              </w:rPr>
            </w:pPr>
            <w:r>
              <w:rPr>
                <w:rFonts w:hint="eastAsia"/>
              </w:rPr>
              <w:t>78772</w:t>
            </w:r>
          </w:p>
        </w:tc>
      </w:tr>
      <w:tr w14:paraId="6D6E4C1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1075828C">
            <w:pPr>
              <w:pStyle w:val="11"/>
              <w:bidi w:val="0"/>
              <w:jc w:val="both"/>
              <w:rPr>
                <w:rFonts w:hint="eastAsia"/>
              </w:rPr>
            </w:pPr>
            <w:r>
              <w:rPr>
                <w:rFonts w:hint="eastAsia"/>
              </w:rPr>
              <w:t>建筑业</w:t>
            </w:r>
          </w:p>
        </w:tc>
        <w:tc>
          <w:tcPr>
            <w:tcW w:w="779" w:type="pct"/>
            <w:vAlign w:val="center"/>
          </w:tcPr>
          <w:p w14:paraId="3C8F270E">
            <w:pPr>
              <w:pStyle w:val="11"/>
              <w:bidi w:val="0"/>
              <w:jc w:val="center"/>
              <w:rPr>
                <w:rFonts w:hint="eastAsia"/>
              </w:rPr>
            </w:pPr>
            <w:r>
              <w:rPr>
                <w:rFonts w:hint="eastAsia"/>
              </w:rPr>
              <w:t>376</w:t>
            </w:r>
          </w:p>
        </w:tc>
        <w:tc>
          <w:tcPr>
            <w:tcW w:w="678" w:type="pct"/>
            <w:vAlign w:val="center"/>
          </w:tcPr>
          <w:p w14:paraId="27B82605">
            <w:pPr>
              <w:pStyle w:val="11"/>
              <w:bidi w:val="0"/>
              <w:jc w:val="center"/>
              <w:rPr>
                <w:rFonts w:hint="eastAsia"/>
              </w:rPr>
            </w:pPr>
            <w:r>
              <w:rPr>
                <w:rFonts w:hint="eastAsia"/>
              </w:rPr>
              <w:t>17</w:t>
            </w:r>
          </w:p>
        </w:tc>
        <w:tc>
          <w:tcPr>
            <w:tcW w:w="875" w:type="pct"/>
            <w:vAlign w:val="center"/>
          </w:tcPr>
          <w:p w14:paraId="4702EF83">
            <w:pPr>
              <w:pStyle w:val="11"/>
              <w:bidi w:val="0"/>
              <w:jc w:val="center"/>
              <w:rPr>
                <w:rFonts w:hint="eastAsia"/>
              </w:rPr>
            </w:pPr>
            <w:r>
              <w:rPr>
                <w:rFonts w:hint="eastAsia"/>
              </w:rPr>
              <w:t>8</w:t>
            </w:r>
          </w:p>
        </w:tc>
        <w:tc>
          <w:tcPr>
            <w:tcW w:w="744" w:type="pct"/>
            <w:vAlign w:val="center"/>
          </w:tcPr>
          <w:p w14:paraId="69C2CD5E">
            <w:pPr>
              <w:pStyle w:val="11"/>
              <w:bidi w:val="0"/>
              <w:jc w:val="center"/>
              <w:rPr>
                <w:rFonts w:hint="eastAsia"/>
              </w:rPr>
            </w:pPr>
            <w:r>
              <w:rPr>
                <w:rFonts w:hint="eastAsia"/>
              </w:rPr>
              <w:t>25517</w:t>
            </w:r>
          </w:p>
        </w:tc>
      </w:tr>
      <w:tr w14:paraId="5F945FF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4DEFEE3B">
            <w:pPr>
              <w:pStyle w:val="11"/>
              <w:bidi w:val="0"/>
              <w:jc w:val="both"/>
              <w:rPr>
                <w:rFonts w:hint="eastAsia"/>
              </w:rPr>
            </w:pPr>
            <w:r>
              <w:rPr>
                <w:rFonts w:hint="eastAsia"/>
              </w:rPr>
              <w:t>批发和零售业</w:t>
            </w:r>
          </w:p>
        </w:tc>
        <w:tc>
          <w:tcPr>
            <w:tcW w:w="779" w:type="pct"/>
            <w:vAlign w:val="center"/>
          </w:tcPr>
          <w:p w14:paraId="58D8337C">
            <w:pPr>
              <w:pStyle w:val="11"/>
              <w:bidi w:val="0"/>
              <w:jc w:val="center"/>
              <w:rPr>
                <w:rFonts w:hint="eastAsia"/>
              </w:rPr>
            </w:pPr>
            <w:r>
              <w:rPr>
                <w:rFonts w:hint="eastAsia"/>
              </w:rPr>
              <w:t>9014</w:t>
            </w:r>
          </w:p>
        </w:tc>
        <w:tc>
          <w:tcPr>
            <w:tcW w:w="678" w:type="pct"/>
            <w:vAlign w:val="center"/>
          </w:tcPr>
          <w:p w14:paraId="09F3BBCA">
            <w:pPr>
              <w:pStyle w:val="11"/>
              <w:bidi w:val="0"/>
              <w:jc w:val="center"/>
              <w:rPr>
                <w:rFonts w:hint="eastAsia"/>
              </w:rPr>
            </w:pPr>
            <w:r>
              <w:rPr>
                <w:rFonts w:hint="eastAsia"/>
              </w:rPr>
              <w:t>244</w:t>
            </w:r>
          </w:p>
        </w:tc>
        <w:tc>
          <w:tcPr>
            <w:tcW w:w="875" w:type="pct"/>
            <w:vAlign w:val="center"/>
          </w:tcPr>
          <w:p w14:paraId="0B877CE7">
            <w:pPr>
              <w:pStyle w:val="11"/>
              <w:bidi w:val="0"/>
              <w:jc w:val="center"/>
              <w:rPr>
                <w:rFonts w:hint="eastAsia"/>
              </w:rPr>
            </w:pPr>
            <w:r>
              <w:rPr>
                <w:rFonts w:hint="eastAsia"/>
              </w:rPr>
              <w:t>42</w:t>
            </w:r>
          </w:p>
        </w:tc>
        <w:tc>
          <w:tcPr>
            <w:tcW w:w="744" w:type="pct"/>
            <w:vAlign w:val="center"/>
          </w:tcPr>
          <w:p w14:paraId="06F1188E">
            <w:pPr>
              <w:pStyle w:val="11"/>
              <w:bidi w:val="0"/>
              <w:jc w:val="center"/>
              <w:rPr>
                <w:rFonts w:hint="eastAsia"/>
              </w:rPr>
            </w:pPr>
            <w:r>
              <w:rPr>
                <w:rFonts w:hint="eastAsia"/>
              </w:rPr>
              <w:t>11356</w:t>
            </w:r>
          </w:p>
        </w:tc>
      </w:tr>
      <w:tr w14:paraId="7B36594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32E40266">
            <w:pPr>
              <w:pStyle w:val="11"/>
              <w:bidi w:val="0"/>
              <w:jc w:val="both"/>
              <w:rPr>
                <w:rFonts w:hint="eastAsia"/>
              </w:rPr>
            </w:pPr>
            <w:r>
              <w:rPr>
                <w:rFonts w:hint="eastAsia"/>
              </w:rPr>
              <w:t>交通运输、仓储和邮政业</w:t>
            </w:r>
          </w:p>
        </w:tc>
        <w:tc>
          <w:tcPr>
            <w:tcW w:w="779" w:type="pct"/>
            <w:vAlign w:val="center"/>
          </w:tcPr>
          <w:p w14:paraId="42D9C6E9">
            <w:pPr>
              <w:pStyle w:val="11"/>
              <w:bidi w:val="0"/>
              <w:jc w:val="center"/>
              <w:rPr>
                <w:rFonts w:hint="eastAsia"/>
              </w:rPr>
            </w:pPr>
            <w:r>
              <w:rPr>
                <w:rFonts w:hint="eastAsia"/>
              </w:rPr>
              <w:t>134</w:t>
            </w:r>
          </w:p>
        </w:tc>
        <w:tc>
          <w:tcPr>
            <w:tcW w:w="678" w:type="pct"/>
            <w:vAlign w:val="center"/>
          </w:tcPr>
          <w:p w14:paraId="0FFF64B4">
            <w:pPr>
              <w:pStyle w:val="11"/>
              <w:bidi w:val="0"/>
              <w:jc w:val="center"/>
              <w:rPr>
                <w:rFonts w:hint="eastAsia"/>
              </w:rPr>
            </w:pPr>
            <w:r>
              <w:rPr>
                <w:rFonts w:hint="eastAsia"/>
              </w:rPr>
              <w:t>34</w:t>
            </w:r>
          </w:p>
        </w:tc>
        <w:tc>
          <w:tcPr>
            <w:tcW w:w="875" w:type="pct"/>
            <w:vAlign w:val="center"/>
          </w:tcPr>
          <w:p w14:paraId="27B98961">
            <w:pPr>
              <w:pStyle w:val="11"/>
              <w:bidi w:val="0"/>
              <w:jc w:val="center"/>
              <w:rPr>
                <w:rFonts w:hint="eastAsia"/>
              </w:rPr>
            </w:pPr>
            <w:r>
              <w:rPr>
                <w:rFonts w:hint="eastAsia"/>
              </w:rPr>
              <w:t>6</w:t>
            </w:r>
          </w:p>
        </w:tc>
        <w:tc>
          <w:tcPr>
            <w:tcW w:w="744" w:type="pct"/>
            <w:vAlign w:val="center"/>
          </w:tcPr>
          <w:p w14:paraId="727E50E9">
            <w:pPr>
              <w:pStyle w:val="11"/>
              <w:bidi w:val="0"/>
              <w:jc w:val="center"/>
              <w:rPr>
                <w:rFonts w:hint="eastAsia"/>
              </w:rPr>
            </w:pPr>
            <w:r>
              <w:rPr>
                <w:rFonts w:hint="eastAsia"/>
              </w:rPr>
              <w:t>2732</w:t>
            </w:r>
          </w:p>
        </w:tc>
      </w:tr>
      <w:tr w14:paraId="57418FF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6C08EC1F">
            <w:pPr>
              <w:pStyle w:val="11"/>
              <w:bidi w:val="0"/>
              <w:jc w:val="both"/>
              <w:rPr>
                <w:rFonts w:hint="eastAsia"/>
              </w:rPr>
            </w:pPr>
            <w:r>
              <w:rPr>
                <w:rFonts w:hint="eastAsia"/>
              </w:rPr>
              <w:t>住宿和餐饮业</w:t>
            </w:r>
          </w:p>
        </w:tc>
        <w:tc>
          <w:tcPr>
            <w:tcW w:w="779" w:type="pct"/>
            <w:vAlign w:val="center"/>
          </w:tcPr>
          <w:p w14:paraId="65CEC360">
            <w:pPr>
              <w:pStyle w:val="11"/>
              <w:bidi w:val="0"/>
              <w:jc w:val="center"/>
              <w:rPr>
                <w:rFonts w:hint="eastAsia"/>
              </w:rPr>
            </w:pPr>
            <w:r>
              <w:rPr>
                <w:rFonts w:hint="eastAsia"/>
              </w:rPr>
              <w:t>1449</w:t>
            </w:r>
          </w:p>
        </w:tc>
        <w:tc>
          <w:tcPr>
            <w:tcW w:w="678" w:type="pct"/>
            <w:vAlign w:val="center"/>
          </w:tcPr>
          <w:p w14:paraId="058636A3">
            <w:pPr>
              <w:pStyle w:val="11"/>
              <w:bidi w:val="0"/>
              <w:jc w:val="center"/>
              <w:rPr>
                <w:rFonts w:hint="eastAsia"/>
              </w:rPr>
            </w:pPr>
            <w:r>
              <w:rPr>
                <w:rFonts w:hint="eastAsia"/>
              </w:rPr>
              <w:t>9</w:t>
            </w:r>
          </w:p>
        </w:tc>
        <w:tc>
          <w:tcPr>
            <w:tcW w:w="875" w:type="pct"/>
            <w:vAlign w:val="center"/>
          </w:tcPr>
          <w:p w14:paraId="66FEDCD5">
            <w:pPr>
              <w:pStyle w:val="11"/>
              <w:bidi w:val="0"/>
              <w:jc w:val="center"/>
              <w:rPr>
                <w:rFonts w:hint="eastAsia"/>
              </w:rPr>
            </w:pPr>
            <w:r>
              <w:rPr>
                <w:rFonts w:hint="eastAsia"/>
              </w:rPr>
              <w:t>7</w:t>
            </w:r>
          </w:p>
        </w:tc>
        <w:tc>
          <w:tcPr>
            <w:tcW w:w="744" w:type="pct"/>
            <w:vAlign w:val="center"/>
          </w:tcPr>
          <w:p w14:paraId="45EB2B32">
            <w:pPr>
              <w:pStyle w:val="11"/>
              <w:bidi w:val="0"/>
              <w:jc w:val="center"/>
              <w:rPr>
                <w:rFonts w:hint="eastAsia"/>
              </w:rPr>
            </w:pPr>
            <w:r>
              <w:rPr>
                <w:rFonts w:hint="eastAsia"/>
              </w:rPr>
              <w:t>1710</w:t>
            </w:r>
          </w:p>
        </w:tc>
      </w:tr>
      <w:tr w14:paraId="7761243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5D4D0784">
            <w:pPr>
              <w:pStyle w:val="11"/>
              <w:bidi w:val="0"/>
              <w:jc w:val="both"/>
              <w:rPr>
                <w:rFonts w:hint="eastAsia"/>
              </w:rPr>
            </w:pPr>
            <w:r>
              <w:rPr>
                <w:rFonts w:hint="eastAsia"/>
              </w:rPr>
              <w:t>信息传输、软件和信息技术服务业</w:t>
            </w:r>
          </w:p>
        </w:tc>
        <w:tc>
          <w:tcPr>
            <w:tcW w:w="779" w:type="pct"/>
            <w:vAlign w:val="center"/>
          </w:tcPr>
          <w:p w14:paraId="2F317A14">
            <w:pPr>
              <w:pStyle w:val="11"/>
              <w:bidi w:val="0"/>
              <w:jc w:val="center"/>
              <w:rPr>
                <w:rFonts w:hint="eastAsia"/>
              </w:rPr>
            </w:pPr>
            <w:r>
              <w:rPr>
                <w:rFonts w:hint="eastAsia"/>
              </w:rPr>
              <w:t>173</w:t>
            </w:r>
          </w:p>
        </w:tc>
        <w:tc>
          <w:tcPr>
            <w:tcW w:w="678" w:type="pct"/>
            <w:vAlign w:val="center"/>
          </w:tcPr>
          <w:p w14:paraId="575F27EA">
            <w:pPr>
              <w:pStyle w:val="11"/>
              <w:bidi w:val="0"/>
              <w:jc w:val="center"/>
              <w:rPr>
                <w:rFonts w:hint="eastAsia"/>
              </w:rPr>
            </w:pPr>
            <w:r>
              <w:rPr>
                <w:rFonts w:hint="eastAsia"/>
              </w:rPr>
              <w:t>33</w:t>
            </w:r>
          </w:p>
        </w:tc>
        <w:tc>
          <w:tcPr>
            <w:tcW w:w="875" w:type="pct"/>
            <w:vAlign w:val="center"/>
          </w:tcPr>
          <w:p w14:paraId="2CF56ED8">
            <w:pPr>
              <w:pStyle w:val="11"/>
              <w:bidi w:val="0"/>
              <w:jc w:val="center"/>
              <w:rPr>
                <w:rFonts w:hint="eastAsia"/>
              </w:rPr>
            </w:pPr>
            <w:r>
              <w:rPr>
                <w:rFonts w:hint="eastAsia"/>
              </w:rPr>
              <w:t>1</w:t>
            </w:r>
          </w:p>
        </w:tc>
        <w:tc>
          <w:tcPr>
            <w:tcW w:w="744" w:type="pct"/>
            <w:vAlign w:val="center"/>
          </w:tcPr>
          <w:p w14:paraId="6188F292">
            <w:pPr>
              <w:pStyle w:val="11"/>
              <w:bidi w:val="0"/>
              <w:jc w:val="center"/>
              <w:rPr>
                <w:rFonts w:hint="eastAsia"/>
              </w:rPr>
            </w:pPr>
            <w:r>
              <w:rPr>
                <w:rFonts w:hint="eastAsia"/>
              </w:rPr>
              <w:t>50</w:t>
            </w:r>
          </w:p>
        </w:tc>
      </w:tr>
      <w:tr w14:paraId="3EEFD1C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7DFE6A34">
            <w:pPr>
              <w:pStyle w:val="11"/>
              <w:bidi w:val="0"/>
              <w:jc w:val="both"/>
              <w:rPr>
                <w:rFonts w:hint="eastAsia"/>
              </w:rPr>
            </w:pPr>
            <w:r>
              <w:rPr>
                <w:rFonts w:hint="eastAsia"/>
              </w:rPr>
              <w:t>金融业</w:t>
            </w:r>
          </w:p>
        </w:tc>
        <w:tc>
          <w:tcPr>
            <w:tcW w:w="779" w:type="pct"/>
            <w:vAlign w:val="center"/>
          </w:tcPr>
          <w:p w14:paraId="353F5223">
            <w:pPr>
              <w:pStyle w:val="11"/>
              <w:bidi w:val="0"/>
              <w:jc w:val="center"/>
              <w:rPr>
                <w:rFonts w:hint="eastAsia"/>
              </w:rPr>
            </w:pPr>
            <w:r>
              <w:rPr>
                <w:rFonts w:hint="eastAsia"/>
              </w:rPr>
              <w:t>78</w:t>
            </w:r>
          </w:p>
        </w:tc>
        <w:tc>
          <w:tcPr>
            <w:tcW w:w="678" w:type="pct"/>
            <w:vAlign w:val="center"/>
          </w:tcPr>
          <w:p w14:paraId="6B357DBC">
            <w:pPr>
              <w:pStyle w:val="11"/>
              <w:bidi w:val="0"/>
              <w:jc w:val="center"/>
              <w:rPr>
                <w:rFonts w:hint="eastAsia"/>
              </w:rPr>
            </w:pPr>
            <w:r>
              <w:rPr>
                <w:rFonts w:hint="eastAsia"/>
              </w:rPr>
              <w:t>70</w:t>
            </w:r>
          </w:p>
        </w:tc>
        <w:tc>
          <w:tcPr>
            <w:tcW w:w="875" w:type="pct"/>
            <w:vAlign w:val="center"/>
          </w:tcPr>
          <w:p w14:paraId="2B296C03">
            <w:pPr>
              <w:pStyle w:val="11"/>
              <w:bidi w:val="0"/>
              <w:jc w:val="center"/>
              <w:rPr>
                <w:rFonts w:hint="eastAsia"/>
              </w:rPr>
            </w:pPr>
            <w:r>
              <w:rPr>
                <w:rFonts w:hint="eastAsia"/>
              </w:rPr>
              <w:t>3</w:t>
            </w:r>
          </w:p>
        </w:tc>
        <w:tc>
          <w:tcPr>
            <w:tcW w:w="744" w:type="pct"/>
            <w:vAlign w:val="center"/>
          </w:tcPr>
          <w:p w14:paraId="39222901">
            <w:pPr>
              <w:pStyle w:val="11"/>
              <w:bidi w:val="0"/>
              <w:jc w:val="center"/>
              <w:rPr>
                <w:rFonts w:hint="eastAsia"/>
              </w:rPr>
            </w:pPr>
            <w:r>
              <w:rPr>
                <w:rFonts w:hint="eastAsia"/>
              </w:rPr>
              <w:t>19591</w:t>
            </w:r>
          </w:p>
        </w:tc>
      </w:tr>
      <w:tr w14:paraId="25BB3D1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19CEAACA">
            <w:pPr>
              <w:pStyle w:val="11"/>
              <w:bidi w:val="0"/>
              <w:jc w:val="both"/>
              <w:rPr>
                <w:rFonts w:hint="eastAsia"/>
              </w:rPr>
            </w:pPr>
            <w:r>
              <w:rPr>
                <w:rFonts w:hint="eastAsia"/>
              </w:rPr>
              <w:t>房地产业</w:t>
            </w:r>
          </w:p>
        </w:tc>
        <w:tc>
          <w:tcPr>
            <w:tcW w:w="779" w:type="pct"/>
            <w:vAlign w:val="center"/>
          </w:tcPr>
          <w:p w14:paraId="68EEDB37">
            <w:pPr>
              <w:pStyle w:val="11"/>
              <w:bidi w:val="0"/>
              <w:jc w:val="center"/>
              <w:rPr>
                <w:rFonts w:hint="eastAsia"/>
              </w:rPr>
            </w:pPr>
            <w:r>
              <w:rPr>
                <w:rFonts w:hint="eastAsia"/>
              </w:rPr>
              <w:t>118</w:t>
            </w:r>
          </w:p>
        </w:tc>
        <w:tc>
          <w:tcPr>
            <w:tcW w:w="678" w:type="pct"/>
            <w:vAlign w:val="center"/>
          </w:tcPr>
          <w:p w14:paraId="4EEFAF49">
            <w:pPr>
              <w:pStyle w:val="11"/>
              <w:bidi w:val="0"/>
              <w:jc w:val="center"/>
              <w:rPr>
                <w:rFonts w:hint="eastAsia"/>
              </w:rPr>
            </w:pPr>
            <w:r>
              <w:rPr>
                <w:rFonts w:hint="eastAsia"/>
              </w:rPr>
              <w:t>7</w:t>
            </w:r>
          </w:p>
        </w:tc>
        <w:tc>
          <w:tcPr>
            <w:tcW w:w="875" w:type="pct"/>
            <w:vAlign w:val="center"/>
          </w:tcPr>
          <w:p w14:paraId="734EEB13">
            <w:pPr>
              <w:pStyle w:val="11"/>
              <w:bidi w:val="0"/>
              <w:jc w:val="center"/>
              <w:rPr>
                <w:rFonts w:hint="eastAsia"/>
              </w:rPr>
            </w:pPr>
            <w:r>
              <w:rPr>
                <w:rFonts w:hint="eastAsia"/>
              </w:rPr>
              <w:t>6</w:t>
            </w:r>
          </w:p>
        </w:tc>
        <w:tc>
          <w:tcPr>
            <w:tcW w:w="744" w:type="pct"/>
            <w:vAlign w:val="center"/>
          </w:tcPr>
          <w:p w14:paraId="48F587BA">
            <w:pPr>
              <w:pStyle w:val="11"/>
              <w:bidi w:val="0"/>
              <w:jc w:val="center"/>
              <w:rPr>
                <w:rFonts w:hint="eastAsia"/>
              </w:rPr>
            </w:pPr>
            <w:r>
              <w:rPr>
                <w:rFonts w:hint="eastAsia"/>
              </w:rPr>
              <w:t>12291</w:t>
            </w:r>
          </w:p>
        </w:tc>
      </w:tr>
      <w:tr w14:paraId="1CD50D6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5E337132">
            <w:pPr>
              <w:pStyle w:val="11"/>
              <w:bidi w:val="0"/>
              <w:jc w:val="both"/>
              <w:rPr>
                <w:rFonts w:hint="eastAsia"/>
              </w:rPr>
            </w:pPr>
            <w:r>
              <w:rPr>
                <w:rFonts w:hint="eastAsia"/>
              </w:rPr>
              <w:t>租赁和商务服务业</w:t>
            </w:r>
          </w:p>
        </w:tc>
        <w:tc>
          <w:tcPr>
            <w:tcW w:w="779" w:type="pct"/>
            <w:vAlign w:val="center"/>
          </w:tcPr>
          <w:p w14:paraId="0B1C8851">
            <w:pPr>
              <w:pStyle w:val="11"/>
              <w:bidi w:val="0"/>
              <w:jc w:val="center"/>
              <w:rPr>
                <w:rFonts w:hint="eastAsia"/>
              </w:rPr>
            </w:pPr>
            <w:r>
              <w:rPr>
                <w:rFonts w:hint="eastAsia"/>
              </w:rPr>
              <w:t>373</w:t>
            </w:r>
          </w:p>
        </w:tc>
        <w:tc>
          <w:tcPr>
            <w:tcW w:w="678" w:type="pct"/>
            <w:vAlign w:val="center"/>
          </w:tcPr>
          <w:p w14:paraId="5A18682A">
            <w:pPr>
              <w:pStyle w:val="11"/>
              <w:bidi w:val="0"/>
              <w:jc w:val="center"/>
              <w:rPr>
                <w:rFonts w:hint="eastAsia"/>
              </w:rPr>
            </w:pPr>
            <w:r>
              <w:rPr>
                <w:rFonts w:hint="eastAsia"/>
              </w:rPr>
              <w:t>36</w:t>
            </w:r>
          </w:p>
        </w:tc>
        <w:tc>
          <w:tcPr>
            <w:tcW w:w="875" w:type="pct"/>
            <w:vAlign w:val="center"/>
          </w:tcPr>
          <w:p w14:paraId="7C5D16EB">
            <w:pPr>
              <w:pStyle w:val="11"/>
              <w:bidi w:val="0"/>
              <w:jc w:val="center"/>
              <w:rPr>
                <w:rFonts w:hint="eastAsia"/>
              </w:rPr>
            </w:pPr>
            <w:r>
              <w:rPr>
                <w:rFonts w:hint="eastAsia"/>
              </w:rPr>
              <w:t>28</w:t>
            </w:r>
          </w:p>
        </w:tc>
        <w:tc>
          <w:tcPr>
            <w:tcW w:w="744" w:type="pct"/>
            <w:vAlign w:val="center"/>
          </w:tcPr>
          <w:p w14:paraId="4EEE2368">
            <w:pPr>
              <w:pStyle w:val="11"/>
              <w:bidi w:val="0"/>
              <w:jc w:val="center"/>
              <w:rPr>
                <w:rFonts w:hint="eastAsia"/>
              </w:rPr>
            </w:pPr>
            <w:r>
              <w:rPr>
                <w:rFonts w:hint="eastAsia"/>
              </w:rPr>
              <w:t>287946</w:t>
            </w:r>
          </w:p>
        </w:tc>
      </w:tr>
      <w:tr w14:paraId="4FFEE77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2C6D54DE">
            <w:pPr>
              <w:pStyle w:val="11"/>
              <w:bidi w:val="0"/>
              <w:jc w:val="both"/>
              <w:rPr>
                <w:rFonts w:hint="eastAsia"/>
                <w:lang w:eastAsia="zh-CN"/>
              </w:rPr>
            </w:pPr>
            <w:r>
              <w:rPr>
                <w:rFonts w:hint="eastAsia"/>
              </w:rPr>
              <w:t>科学研究和技术服务业</w:t>
            </w:r>
          </w:p>
        </w:tc>
        <w:tc>
          <w:tcPr>
            <w:tcW w:w="779" w:type="pct"/>
            <w:vAlign w:val="center"/>
          </w:tcPr>
          <w:p w14:paraId="114D5F42">
            <w:pPr>
              <w:pStyle w:val="11"/>
              <w:bidi w:val="0"/>
              <w:jc w:val="center"/>
              <w:rPr>
                <w:rFonts w:hint="eastAsia"/>
                <w:lang w:eastAsia="zh-CN"/>
              </w:rPr>
            </w:pPr>
            <w:r>
              <w:rPr>
                <w:rFonts w:hint="eastAsia"/>
              </w:rPr>
              <w:t>107</w:t>
            </w:r>
          </w:p>
        </w:tc>
        <w:tc>
          <w:tcPr>
            <w:tcW w:w="678" w:type="pct"/>
            <w:vAlign w:val="center"/>
          </w:tcPr>
          <w:p w14:paraId="78B33BC6">
            <w:pPr>
              <w:pStyle w:val="11"/>
              <w:bidi w:val="0"/>
              <w:jc w:val="center"/>
              <w:rPr>
                <w:rFonts w:hint="eastAsia"/>
                <w:lang w:eastAsia="zh-CN"/>
              </w:rPr>
            </w:pPr>
            <w:r>
              <w:rPr>
                <w:rFonts w:hint="eastAsia"/>
              </w:rPr>
              <w:t>27</w:t>
            </w:r>
          </w:p>
        </w:tc>
        <w:tc>
          <w:tcPr>
            <w:tcW w:w="875" w:type="pct"/>
            <w:vAlign w:val="center"/>
          </w:tcPr>
          <w:p w14:paraId="59C0A23A">
            <w:pPr>
              <w:pStyle w:val="11"/>
              <w:bidi w:val="0"/>
              <w:jc w:val="center"/>
              <w:rPr>
                <w:rFonts w:hint="eastAsia"/>
                <w:lang w:eastAsia="zh-CN"/>
              </w:rPr>
            </w:pPr>
            <w:r>
              <w:rPr>
                <w:rFonts w:hint="eastAsia"/>
              </w:rPr>
              <w:t>23</w:t>
            </w:r>
          </w:p>
        </w:tc>
        <w:tc>
          <w:tcPr>
            <w:tcW w:w="744" w:type="pct"/>
            <w:vAlign w:val="center"/>
          </w:tcPr>
          <w:p w14:paraId="0374C8D2">
            <w:pPr>
              <w:pStyle w:val="11"/>
              <w:bidi w:val="0"/>
              <w:jc w:val="center"/>
              <w:rPr>
                <w:rFonts w:hint="eastAsia"/>
              </w:rPr>
            </w:pPr>
            <w:r>
              <w:rPr>
                <w:rFonts w:hint="eastAsia"/>
              </w:rPr>
              <w:t>80179</w:t>
            </w:r>
          </w:p>
        </w:tc>
      </w:tr>
      <w:tr w14:paraId="27AC2BD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023B629D">
            <w:pPr>
              <w:pStyle w:val="11"/>
              <w:bidi w:val="0"/>
              <w:jc w:val="both"/>
              <w:rPr>
                <w:rFonts w:hint="eastAsia"/>
                <w:lang w:eastAsia="zh-CN"/>
              </w:rPr>
            </w:pPr>
            <w:r>
              <w:rPr>
                <w:rFonts w:hint="eastAsia"/>
              </w:rPr>
              <w:t>水利、环境和公共设施管理业</w:t>
            </w:r>
          </w:p>
        </w:tc>
        <w:tc>
          <w:tcPr>
            <w:tcW w:w="779" w:type="pct"/>
            <w:vAlign w:val="center"/>
          </w:tcPr>
          <w:p w14:paraId="5A2DCB40">
            <w:pPr>
              <w:pStyle w:val="11"/>
              <w:bidi w:val="0"/>
              <w:jc w:val="center"/>
              <w:rPr>
                <w:rFonts w:hint="eastAsia"/>
                <w:lang w:eastAsia="zh-CN"/>
              </w:rPr>
            </w:pPr>
            <w:r>
              <w:rPr>
                <w:rFonts w:hint="eastAsia"/>
              </w:rPr>
              <w:t>27</w:t>
            </w:r>
          </w:p>
        </w:tc>
        <w:tc>
          <w:tcPr>
            <w:tcW w:w="678" w:type="pct"/>
            <w:vAlign w:val="center"/>
          </w:tcPr>
          <w:p w14:paraId="373117AC">
            <w:pPr>
              <w:pStyle w:val="11"/>
              <w:bidi w:val="0"/>
              <w:jc w:val="center"/>
              <w:rPr>
                <w:rFonts w:hint="eastAsia"/>
                <w:lang w:eastAsia="zh-CN"/>
              </w:rPr>
            </w:pPr>
            <w:r>
              <w:rPr>
                <w:rFonts w:hint="eastAsia"/>
              </w:rPr>
              <w:t>5</w:t>
            </w:r>
          </w:p>
        </w:tc>
        <w:tc>
          <w:tcPr>
            <w:tcW w:w="875" w:type="pct"/>
            <w:vAlign w:val="center"/>
          </w:tcPr>
          <w:p w14:paraId="0D5F9988">
            <w:pPr>
              <w:pStyle w:val="11"/>
              <w:bidi w:val="0"/>
              <w:jc w:val="center"/>
              <w:rPr>
                <w:rFonts w:hint="eastAsia"/>
                <w:lang w:eastAsia="zh-CN"/>
              </w:rPr>
            </w:pPr>
            <w:r>
              <w:rPr>
                <w:rFonts w:hint="eastAsia"/>
              </w:rPr>
              <w:t>5</w:t>
            </w:r>
          </w:p>
        </w:tc>
        <w:tc>
          <w:tcPr>
            <w:tcW w:w="744" w:type="pct"/>
            <w:vAlign w:val="center"/>
          </w:tcPr>
          <w:p w14:paraId="220E3312">
            <w:pPr>
              <w:pStyle w:val="11"/>
              <w:bidi w:val="0"/>
              <w:jc w:val="center"/>
              <w:rPr>
                <w:rFonts w:hint="eastAsia"/>
              </w:rPr>
            </w:pPr>
            <w:r>
              <w:rPr>
                <w:rFonts w:hint="eastAsia"/>
              </w:rPr>
              <w:t>2847</w:t>
            </w:r>
          </w:p>
        </w:tc>
      </w:tr>
      <w:tr w14:paraId="1941E5E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11BE9AFB">
            <w:pPr>
              <w:pStyle w:val="11"/>
              <w:bidi w:val="0"/>
              <w:jc w:val="both"/>
              <w:rPr>
                <w:rFonts w:hint="eastAsia"/>
                <w:lang w:eastAsia="zh-CN"/>
              </w:rPr>
            </w:pPr>
            <w:r>
              <w:rPr>
                <w:rFonts w:hint="eastAsia"/>
              </w:rPr>
              <w:t>居民服务、修理和其他服务业</w:t>
            </w:r>
          </w:p>
        </w:tc>
        <w:tc>
          <w:tcPr>
            <w:tcW w:w="779" w:type="pct"/>
            <w:vAlign w:val="center"/>
          </w:tcPr>
          <w:p w14:paraId="4E9959BD">
            <w:pPr>
              <w:pStyle w:val="11"/>
              <w:bidi w:val="0"/>
              <w:jc w:val="center"/>
              <w:rPr>
                <w:rFonts w:hint="eastAsia"/>
                <w:lang w:eastAsia="zh-CN"/>
              </w:rPr>
            </w:pPr>
            <w:r>
              <w:rPr>
                <w:rFonts w:hint="eastAsia"/>
              </w:rPr>
              <w:t>1573</w:t>
            </w:r>
          </w:p>
        </w:tc>
        <w:tc>
          <w:tcPr>
            <w:tcW w:w="678" w:type="pct"/>
            <w:vAlign w:val="center"/>
          </w:tcPr>
          <w:p w14:paraId="14FF5BF7">
            <w:pPr>
              <w:pStyle w:val="11"/>
              <w:bidi w:val="0"/>
              <w:jc w:val="center"/>
              <w:rPr>
                <w:rFonts w:hint="eastAsia"/>
                <w:lang w:eastAsia="zh-CN"/>
              </w:rPr>
            </w:pPr>
            <w:r>
              <w:rPr>
                <w:rFonts w:hint="eastAsia"/>
              </w:rPr>
              <w:t>14</w:t>
            </w:r>
          </w:p>
        </w:tc>
        <w:tc>
          <w:tcPr>
            <w:tcW w:w="875" w:type="pct"/>
            <w:vAlign w:val="center"/>
          </w:tcPr>
          <w:p w14:paraId="10BB7058">
            <w:pPr>
              <w:pStyle w:val="11"/>
              <w:bidi w:val="0"/>
              <w:jc w:val="center"/>
              <w:rPr>
                <w:rFonts w:hint="eastAsia"/>
                <w:lang w:eastAsia="zh-CN"/>
              </w:rPr>
            </w:pPr>
            <w:r>
              <w:rPr>
                <w:rFonts w:hint="eastAsia"/>
              </w:rPr>
              <w:t>11</w:t>
            </w:r>
          </w:p>
        </w:tc>
        <w:tc>
          <w:tcPr>
            <w:tcW w:w="744" w:type="pct"/>
            <w:vAlign w:val="center"/>
          </w:tcPr>
          <w:p w14:paraId="5D8E8B6D">
            <w:pPr>
              <w:pStyle w:val="11"/>
              <w:bidi w:val="0"/>
              <w:jc w:val="center"/>
              <w:rPr>
                <w:rFonts w:hint="eastAsia"/>
              </w:rPr>
            </w:pPr>
            <w:r>
              <w:rPr>
                <w:rFonts w:hint="eastAsia"/>
              </w:rPr>
              <w:t>1307</w:t>
            </w:r>
          </w:p>
        </w:tc>
      </w:tr>
      <w:tr w14:paraId="287B36D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5231195B">
            <w:pPr>
              <w:pStyle w:val="11"/>
              <w:bidi w:val="0"/>
              <w:jc w:val="both"/>
              <w:rPr>
                <w:rFonts w:hint="eastAsia"/>
                <w:lang w:eastAsia="zh-CN"/>
              </w:rPr>
            </w:pPr>
            <w:r>
              <w:rPr>
                <w:rFonts w:hint="eastAsia"/>
              </w:rPr>
              <w:t>教育</w:t>
            </w:r>
          </w:p>
        </w:tc>
        <w:tc>
          <w:tcPr>
            <w:tcW w:w="779" w:type="pct"/>
            <w:vAlign w:val="center"/>
          </w:tcPr>
          <w:p w14:paraId="2DE5EB4F">
            <w:pPr>
              <w:pStyle w:val="11"/>
              <w:bidi w:val="0"/>
              <w:jc w:val="center"/>
              <w:rPr>
                <w:rFonts w:hint="eastAsia"/>
                <w:lang w:eastAsia="zh-CN"/>
              </w:rPr>
            </w:pPr>
            <w:r>
              <w:rPr>
                <w:rFonts w:hint="eastAsia"/>
              </w:rPr>
              <w:t>45</w:t>
            </w:r>
          </w:p>
        </w:tc>
        <w:tc>
          <w:tcPr>
            <w:tcW w:w="678" w:type="pct"/>
            <w:vAlign w:val="center"/>
          </w:tcPr>
          <w:p w14:paraId="111C2591">
            <w:pPr>
              <w:pStyle w:val="11"/>
              <w:bidi w:val="0"/>
              <w:jc w:val="center"/>
              <w:rPr>
                <w:rFonts w:hint="eastAsia"/>
                <w:lang w:eastAsia="zh-CN"/>
              </w:rPr>
            </w:pPr>
            <w:r>
              <w:rPr>
                <w:rFonts w:hint="eastAsia"/>
              </w:rPr>
              <w:t>1</w:t>
            </w:r>
          </w:p>
        </w:tc>
        <w:tc>
          <w:tcPr>
            <w:tcW w:w="875" w:type="pct"/>
            <w:vAlign w:val="center"/>
          </w:tcPr>
          <w:p w14:paraId="74C4E19E">
            <w:pPr>
              <w:pStyle w:val="11"/>
              <w:bidi w:val="0"/>
              <w:jc w:val="center"/>
              <w:rPr>
                <w:rFonts w:hint="eastAsia"/>
                <w:lang w:eastAsia="zh-CN"/>
              </w:rPr>
            </w:pPr>
            <w:r>
              <w:rPr>
                <w:rFonts w:hint="eastAsia"/>
              </w:rPr>
              <w:t>1</w:t>
            </w:r>
          </w:p>
        </w:tc>
        <w:tc>
          <w:tcPr>
            <w:tcW w:w="744" w:type="pct"/>
            <w:vAlign w:val="center"/>
          </w:tcPr>
          <w:p w14:paraId="71D0EE4D">
            <w:pPr>
              <w:pStyle w:val="11"/>
              <w:bidi w:val="0"/>
              <w:jc w:val="center"/>
              <w:rPr>
                <w:rFonts w:hint="eastAsia"/>
              </w:rPr>
            </w:pPr>
            <w:r>
              <w:rPr>
                <w:rFonts w:hint="eastAsia"/>
              </w:rPr>
              <w:t>66</w:t>
            </w:r>
          </w:p>
        </w:tc>
      </w:tr>
      <w:tr w14:paraId="0B37754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14BD6B34">
            <w:pPr>
              <w:pStyle w:val="11"/>
              <w:bidi w:val="0"/>
              <w:jc w:val="both"/>
              <w:rPr>
                <w:rFonts w:hint="eastAsia"/>
                <w:lang w:eastAsia="zh-CN"/>
              </w:rPr>
            </w:pPr>
            <w:r>
              <w:rPr>
                <w:rFonts w:hint="eastAsia"/>
              </w:rPr>
              <w:t>卫生和社会工作</w:t>
            </w:r>
          </w:p>
        </w:tc>
        <w:tc>
          <w:tcPr>
            <w:tcW w:w="779" w:type="pct"/>
            <w:vAlign w:val="center"/>
          </w:tcPr>
          <w:p w14:paraId="15835540">
            <w:pPr>
              <w:pStyle w:val="11"/>
              <w:bidi w:val="0"/>
              <w:jc w:val="center"/>
              <w:rPr>
                <w:rFonts w:hint="eastAsia"/>
                <w:lang w:eastAsia="zh-CN"/>
              </w:rPr>
            </w:pPr>
            <w:r>
              <w:rPr>
                <w:rFonts w:hint="eastAsia"/>
              </w:rPr>
              <w:t>27</w:t>
            </w:r>
          </w:p>
        </w:tc>
        <w:tc>
          <w:tcPr>
            <w:tcW w:w="678" w:type="pct"/>
            <w:vAlign w:val="center"/>
          </w:tcPr>
          <w:p w14:paraId="75607A26">
            <w:pPr>
              <w:pStyle w:val="11"/>
              <w:bidi w:val="0"/>
              <w:jc w:val="center"/>
              <w:rPr>
                <w:rFonts w:hint="eastAsia"/>
                <w:lang w:eastAsia="zh-CN"/>
              </w:rPr>
            </w:pPr>
            <w:r>
              <w:rPr>
                <w:rFonts w:hint="eastAsia"/>
              </w:rPr>
              <w:t>0</w:t>
            </w:r>
          </w:p>
        </w:tc>
        <w:tc>
          <w:tcPr>
            <w:tcW w:w="875" w:type="pct"/>
            <w:vAlign w:val="center"/>
          </w:tcPr>
          <w:p w14:paraId="0012AACE">
            <w:pPr>
              <w:pStyle w:val="11"/>
              <w:bidi w:val="0"/>
              <w:jc w:val="center"/>
              <w:rPr>
                <w:rFonts w:hint="eastAsia"/>
                <w:lang w:eastAsia="zh-CN"/>
              </w:rPr>
            </w:pPr>
            <w:r>
              <w:rPr>
                <w:rFonts w:hint="eastAsia"/>
              </w:rPr>
              <w:t>0</w:t>
            </w:r>
          </w:p>
        </w:tc>
        <w:tc>
          <w:tcPr>
            <w:tcW w:w="744" w:type="pct"/>
            <w:vAlign w:val="center"/>
          </w:tcPr>
          <w:p w14:paraId="6C307184">
            <w:pPr>
              <w:pStyle w:val="11"/>
              <w:bidi w:val="0"/>
              <w:jc w:val="center"/>
              <w:rPr>
                <w:rFonts w:hint="eastAsia"/>
              </w:rPr>
            </w:pPr>
            <w:r>
              <w:rPr>
                <w:rFonts w:hint="eastAsia"/>
              </w:rPr>
              <w:t>0</w:t>
            </w:r>
          </w:p>
        </w:tc>
      </w:tr>
      <w:tr w14:paraId="75164EE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1F195602">
            <w:pPr>
              <w:pStyle w:val="11"/>
              <w:bidi w:val="0"/>
              <w:jc w:val="both"/>
              <w:rPr>
                <w:rFonts w:hint="eastAsia"/>
                <w:lang w:eastAsia="zh-CN"/>
              </w:rPr>
            </w:pPr>
            <w:r>
              <w:rPr>
                <w:rFonts w:hint="eastAsia"/>
              </w:rPr>
              <w:t>文化、体育和娱乐业</w:t>
            </w:r>
          </w:p>
        </w:tc>
        <w:tc>
          <w:tcPr>
            <w:tcW w:w="779" w:type="pct"/>
            <w:vAlign w:val="center"/>
          </w:tcPr>
          <w:p w14:paraId="6D6ED594">
            <w:pPr>
              <w:pStyle w:val="11"/>
              <w:bidi w:val="0"/>
              <w:jc w:val="center"/>
              <w:rPr>
                <w:rFonts w:hint="eastAsia"/>
                <w:lang w:eastAsia="zh-CN"/>
              </w:rPr>
            </w:pPr>
            <w:r>
              <w:rPr>
                <w:rFonts w:hint="eastAsia"/>
              </w:rPr>
              <w:t>44</w:t>
            </w:r>
          </w:p>
        </w:tc>
        <w:tc>
          <w:tcPr>
            <w:tcW w:w="678" w:type="pct"/>
            <w:vAlign w:val="center"/>
          </w:tcPr>
          <w:p w14:paraId="4B3A3B87">
            <w:pPr>
              <w:pStyle w:val="11"/>
              <w:bidi w:val="0"/>
              <w:jc w:val="center"/>
              <w:rPr>
                <w:rFonts w:hint="eastAsia"/>
                <w:lang w:eastAsia="zh-CN"/>
              </w:rPr>
            </w:pPr>
            <w:r>
              <w:rPr>
                <w:rFonts w:hint="eastAsia"/>
              </w:rPr>
              <w:t>3</w:t>
            </w:r>
          </w:p>
        </w:tc>
        <w:tc>
          <w:tcPr>
            <w:tcW w:w="875" w:type="pct"/>
            <w:vAlign w:val="center"/>
          </w:tcPr>
          <w:p w14:paraId="04215FB9">
            <w:pPr>
              <w:pStyle w:val="11"/>
              <w:bidi w:val="0"/>
              <w:jc w:val="center"/>
              <w:rPr>
                <w:rFonts w:hint="eastAsia"/>
                <w:lang w:eastAsia="zh-CN"/>
              </w:rPr>
            </w:pPr>
            <w:r>
              <w:rPr>
                <w:rFonts w:hint="eastAsia"/>
              </w:rPr>
              <w:t>2</w:t>
            </w:r>
          </w:p>
        </w:tc>
        <w:tc>
          <w:tcPr>
            <w:tcW w:w="744" w:type="pct"/>
            <w:vAlign w:val="center"/>
          </w:tcPr>
          <w:p w14:paraId="5ED221FC">
            <w:pPr>
              <w:pStyle w:val="11"/>
              <w:bidi w:val="0"/>
              <w:jc w:val="center"/>
              <w:rPr>
                <w:rFonts w:hint="eastAsia"/>
              </w:rPr>
            </w:pPr>
            <w:r>
              <w:rPr>
                <w:rFonts w:hint="eastAsia"/>
              </w:rPr>
              <w:t>106</w:t>
            </w:r>
          </w:p>
        </w:tc>
      </w:tr>
      <w:tr w14:paraId="65F8E7D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922" w:type="pct"/>
            <w:vAlign w:val="center"/>
          </w:tcPr>
          <w:p w14:paraId="1FA2C8B8">
            <w:pPr>
              <w:pStyle w:val="11"/>
              <w:bidi w:val="0"/>
              <w:jc w:val="both"/>
              <w:rPr>
                <w:rFonts w:hint="eastAsia"/>
                <w:lang w:eastAsia="zh-CN"/>
              </w:rPr>
            </w:pPr>
            <w:r>
              <w:rPr>
                <w:rFonts w:hint="eastAsia"/>
              </w:rPr>
              <w:t>其他</w:t>
            </w:r>
          </w:p>
        </w:tc>
        <w:tc>
          <w:tcPr>
            <w:tcW w:w="779" w:type="pct"/>
            <w:vAlign w:val="center"/>
          </w:tcPr>
          <w:p w14:paraId="52027FEA">
            <w:pPr>
              <w:pStyle w:val="11"/>
              <w:bidi w:val="0"/>
              <w:jc w:val="center"/>
              <w:rPr>
                <w:rFonts w:hint="eastAsia"/>
                <w:lang w:eastAsia="zh-CN"/>
              </w:rPr>
            </w:pPr>
            <w:r>
              <w:rPr>
                <w:rFonts w:hint="eastAsia"/>
              </w:rPr>
              <w:t>1</w:t>
            </w:r>
          </w:p>
        </w:tc>
        <w:tc>
          <w:tcPr>
            <w:tcW w:w="678" w:type="pct"/>
            <w:vAlign w:val="center"/>
          </w:tcPr>
          <w:p w14:paraId="70D36E01">
            <w:pPr>
              <w:pStyle w:val="11"/>
              <w:bidi w:val="0"/>
              <w:jc w:val="center"/>
              <w:rPr>
                <w:rFonts w:hint="eastAsia"/>
                <w:lang w:eastAsia="zh-CN"/>
              </w:rPr>
            </w:pPr>
            <w:r>
              <w:rPr>
                <w:rFonts w:hint="eastAsia"/>
              </w:rPr>
              <w:t>0</w:t>
            </w:r>
          </w:p>
        </w:tc>
        <w:tc>
          <w:tcPr>
            <w:tcW w:w="875" w:type="pct"/>
            <w:vAlign w:val="center"/>
          </w:tcPr>
          <w:p w14:paraId="3660CEB7">
            <w:pPr>
              <w:pStyle w:val="11"/>
              <w:bidi w:val="0"/>
              <w:jc w:val="center"/>
              <w:rPr>
                <w:rFonts w:hint="eastAsia"/>
                <w:lang w:eastAsia="zh-CN"/>
              </w:rPr>
            </w:pPr>
            <w:r>
              <w:rPr>
                <w:rFonts w:hint="eastAsia"/>
              </w:rPr>
              <w:t>0</w:t>
            </w:r>
          </w:p>
        </w:tc>
        <w:tc>
          <w:tcPr>
            <w:tcW w:w="744" w:type="pct"/>
            <w:vAlign w:val="center"/>
          </w:tcPr>
          <w:p w14:paraId="2C2B94AA">
            <w:pPr>
              <w:pStyle w:val="11"/>
              <w:bidi w:val="0"/>
              <w:jc w:val="center"/>
              <w:rPr>
                <w:rFonts w:hint="eastAsia"/>
              </w:rPr>
            </w:pPr>
            <w:r>
              <w:rPr>
                <w:rFonts w:hint="eastAsia"/>
              </w:rPr>
              <w:t>0</w:t>
            </w:r>
          </w:p>
        </w:tc>
      </w:tr>
    </w:tbl>
    <w:p w14:paraId="0F9E68DB">
      <w:pPr>
        <w:rPr>
          <w:rFonts w:hint="eastAsia"/>
        </w:rPr>
      </w:pPr>
    </w:p>
    <w:tbl>
      <w:tblPr>
        <w:tblStyle w:val="8"/>
        <w:tblW w:w="4973"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45"/>
        <w:gridCol w:w="1200"/>
        <w:gridCol w:w="1211"/>
        <w:gridCol w:w="808"/>
        <w:gridCol w:w="868"/>
        <w:gridCol w:w="1220"/>
        <w:gridCol w:w="757"/>
      </w:tblGrid>
      <w:tr w14:paraId="3C669E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1940" w:type="pct"/>
            <w:vMerge w:val="restart"/>
            <w:vAlign w:val="center"/>
          </w:tcPr>
          <w:p w14:paraId="048760DE">
            <w:pPr>
              <w:pStyle w:val="11"/>
              <w:bidi w:val="0"/>
              <w:jc w:val="center"/>
              <w:rPr>
                <w:rFonts w:hint="default"/>
                <w:b/>
                <w:bCs/>
                <w:lang w:val="en-US" w:eastAsia="zh-CN"/>
              </w:rPr>
            </w:pPr>
            <w:r>
              <w:rPr>
                <w:rFonts w:hint="eastAsia"/>
                <w:b/>
                <w:bCs/>
                <w:lang w:val="en-US" w:eastAsia="zh-CN"/>
              </w:rPr>
              <w:t>行业分类</w:t>
            </w:r>
          </w:p>
        </w:tc>
        <w:tc>
          <w:tcPr>
            <w:tcW w:w="3059" w:type="pct"/>
            <w:gridSpan w:val="6"/>
            <w:vAlign w:val="center"/>
          </w:tcPr>
          <w:p w14:paraId="3677FF83">
            <w:pPr>
              <w:pStyle w:val="11"/>
              <w:bidi w:val="0"/>
              <w:jc w:val="center"/>
              <w:rPr>
                <w:rFonts w:hint="default"/>
                <w:b/>
                <w:bCs/>
                <w:lang w:val="en-US" w:eastAsia="zh-CN"/>
              </w:rPr>
            </w:pPr>
            <w:r>
              <w:rPr>
                <w:rFonts w:hint="eastAsia"/>
                <w:b/>
                <w:bCs/>
                <w:lang w:val="en-US" w:eastAsia="zh-CN"/>
              </w:rPr>
              <w:t>期末实有</w:t>
            </w:r>
          </w:p>
        </w:tc>
      </w:tr>
      <w:tr w14:paraId="7BC1A2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Merge w:val="continue"/>
            <w:vAlign w:val="center"/>
          </w:tcPr>
          <w:p w14:paraId="26C25E5F">
            <w:pPr>
              <w:pStyle w:val="11"/>
              <w:bidi w:val="0"/>
              <w:jc w:val="both"/>
              <w:rPr>
                <w:rFonts w:hint="eastAsia"/>
                <w:b/>
                <w:bCs/>
                <w:lang w:eastAsia="zh-CN"/>
              </w:rPr>
            </w:pPr>
          </w:p>
        </w:tc>
        <w:tc>
          <w:tcPr>
            <w:tcW w:w="1624" w:type="pct"/>
            <w:gridSpan w:val="3"/>
            <w:vAlign w:val="center"/>
          </w:tcPr>
          <w:p w14:paraId="265EA13F">
            <w:pPr>
              <w:pStyle w:val="11"/>
              <w:bidi w:val="0"/>
              <w:jc w:val="center"/>
              <w:rPr>
                <w:rFonts w:hint="default"/>
                <w:b/>
                <w:bCs/>
                <w:lang w:val="en-US" w:eastAsia="zh-CN"/>
              </w:rPr>
            </w:pPr>
            <w:r>
              <w:rPr>
                <w:rFonts w:hint="eastAsia"/>
                <w:b/>
                <w:bCs/>
                <w:lang w:val="en-US" w:eastAsia="zh-CN"/>
              </w:rPr>
              <w:t>私营企业</w:t>
            </w:r>
          </w:p>
        </w:tc>
        <w:tc>
          <w:tcPr>
            <w:tcW w:w="1435" w:type="pct"/>
            <w:gridSpan w:val="3"/>
            <w:vAlign w:val="center"/>
          </w:tcPr>
          <w:p w14:paraId="37A59C1C">
            <w:pPr>
              <w:pStyle w:val="11"/>
              <w:bidi w:val="0"/>
              <w:jc w:val="center"/>
              <w:rPr>
                <w:rFonts w:hint="default"/>
                <w:b/>
                <w:bCs/>
                <w:lang w:val="en-US" w:eastAsia="zh-CN"/>
              </w:rPr>
            </w:pPr>
            <w:r>
              <w:rPr>
                <w:rFonts w:hint="eastAsia"/>
                <w:b/>
                <w:bCs/>
                <w:lang w:val="en-US" w:eastAsia="zh-CN"/>
              </w:rPr>
              <w:t>外资投资企业</w:t>
            </w:r>
          </w:p>
        </w:tc>
      </w:tr>
      <w:tr w14:paraId="621F5C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1940" w:type="pct"/>
            <w:vMerge w:val="continue"/>
            <w:vAlign w:val="center"/>
          </w:tcPr>
          <w:p w14:paraId="4835009A">
            <w:pPr>
              <w:pStyle w:val="11"/>
              <w:bidi w:val="0"/>
              <w:jc w:val="both"/>
              <w:rPr>
                <w:rFonts w:hint="eastAsia"/>
                <w:b/>
                <w:bCs/>
                <w:lang w:eastAsia="zh-CN"/>
              </w:rPr>
            </w:pPr>
          </w:p>
        </w:tc>
        <w:tc>
          <w:tcPr>
            <w:tcW w:w="605" w:type="pct"/>
            <w:vMerge w:val="restart"/>
            <w:tcBorders>
              <w:right w:val="nil"/>
            </w:tcBorders>
            <w:vAlign w:val="center"/>
          </w:tcPr>
          <w:p w14:paraId="26487566">
            <w:pPr>
              <w:pStyle w:val="11"/>
              <w:bidi w:val="0"/>
              <w:jc w:val="center"/>
              <w:rPr>
                <w:rFonts w:hint="default"/>
                <w:b/>
                <w:bCs/>
                <w:lang w:val="en-US" w:eastAsia="zh-CN"/>
              </w:rPr>
            </w:pPr>
            <w:r>
              <w:rPr>
                <w:rFonts w:hint="eastAsia"/>
                <w:b/>
                <w:bCs/>
                <w:lang w:val="en-US" w:eastAsia="zh-CN"/>
              </w:rPr>
              <w:t>户数</w:t>
            </w:r>
          </w:p>
        </w:tc>
        <w:tc>
          <w:tcPr>
            <w:tcW w:w="611" w:type="pct"/>
            <w:tcBorders>
              <w:left w:val="nil"/>
            </w:tcBorders>
            <w:vAlign w:val="center"/>
          </w:tcPr>
          <w:p w14:paraId="0A912A48">
            <w:pPr>
              <w:pStyle w:val="11"/>
              <w:bidi w:val="0"/>
              <w:jc w:val="center"/>
              <w:rPr>
                <w:rFonts w:hint="eastAsia"/>
                <w:b/>
                <w:bCs/>
                <w:lang w:val="en-US" w:eastAsia="zh-CN"/>
              </w:rPr>
            </w:pPr>
          </w:p>
        </w:tc>
        <w:tc>
          <w:tcPr>
            <w:tcW w:w="407" w:type="pct"/>
            <w:vMerge w:val="restart"/>
            <w:vAlign w:val="center"/>
          </w:tcPr>
          <w:p w14:paraId="33791CA8">
            <w:pPr>
              <w:pStyle w:val="11"/>
              <w:bidi w:val="0"/>
              <w:jc w:val="center"/>
              <w:rPr>
                <w:rFonts w:hint="default"/>
                <w:b/>
                <w:bCs/>
                <w:lang w:val="en-US" w:eastAsia="zh-CN"/>
              </w:rPr>
            </w:pPr>
            <w:r>
              <w:rPr>
                <w:rFonts w:hint="eastAsia"/>
                <w:b/>
                <w:bCs/>
                <w:lang w:val="en-US" w:eastAsia="zh-CN"/>
              </w:rPr>
              <w:t>注册资金</w:t>
            </w:r>
          </w:p>
        </w:tc>
        <w:tc>
          <w:tcPr>
            <w:tcW w:w="437" w:type="pct"/>
            <w:vMerge w:val="restart"/>
            <w:tcBorders>
              <w:right w:val="nil"/>
            </w:tcBorders>
            <w:vAlign w:val="center"/>
          </w:tcPr>
          <w:p w14:paraId="54852330">
            <w:pPr>
              <w:pStyle w:val="11"/>
              <w:bidi w:val="0"/>
              <w:jc w:val="center"/>
              <w:rPr>
                <w:rFonts w:hint="default"/>
                <w:b/>
                <w:bCs/>
                <w:lang w:val="en-US" w:eastAsia="zh-CN"/>
              </w:rPr>
            </w:pPr>
            <w:r>
              <w:rPr>
                <w:rFonts w:hint="eastAsia"/>
                <w:b/>
                <w:bCs/>
                <w:lang w:val="en-US" w:eastAsia="zh-CN"/>
              </w:rPr>
              <w:t>户数</w:t>
            </w:r>
          </w:p>
        </w:tc>
        <w:tc>
          <w:tcPr>
            <w:tcW w:w="615" w:type="pct"/>
            <w:tcBorders>
              <w:left w:val="nil"/>
            </w:tcBorders>
            <w:vAlign w:val="center"/>
          </w:tcPr>
          <w:p w14:paraId="63BFA7B0">
            <w:pPr>
              <w:pStyle w:val="11"/>
              <w:bidi w:val="0"/>
              <w:jc w:val="center"/>
              <w:rPr>
                <w:rFonts w:hint="eastAsia"/>
                <w:b/>
                <w:bCs/>
                <w:lang w:eastAsia="zh-CN"/>
              </w:rPr>
            </w:pPr>
          </w:p>
        </w:tc>
        <w:tc>
          <w:tcPr>
            <w:tcW w:w="381" w:type="pct"/>
            <w:vMerge w:val="restart"/>
            <w:vAlign w:val="center"/>
          </w:tcPr>
          <w:p w14:paraId="04E9C23C">
            <w:pPr>
              <w:pStyle w:val="11"/>
              <w:bidi w:val="0"/>
              <w:jc w:val="center"/>
              <w:rPr>
                <w:rFonts w:hint="default"/>
                <w:b/>
                <w:bCs/>
                <w:lang w:val="en-US" w:eastAsia="zh-CN"/>
              </w:rPr>
            </w:pPr>
            <w:r>
              <w:rPr>
                <w:rFonts w:hint="eastAsia"/>
                <w:b/>
                <w:bCs/>
                <w:lang w:val="en-US" w:eastAsia="zh-CN"/>
              </w:rPr>
              <w:t>注册资金</w:t>
            </w:r>
          </w:p>
        </w:tc>
      </w:tr>
      <w:tr w14:paraId="171EEC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1940" w:type="pct"/>
            <w:vMerge w:val="continue"/>
            <w:vAlign w:val="center"/>
          </w:tcPr>
          <w:p w14:paraId="37A53F4F">
            <w:pPr>
              <w:pStyle w:val="11"/>
              <w:bidi w:val="0"/>
              <w:jc w:val="both"/>
            </w:pPr>
          </w:p>
        </w:tc>
        <w:tc>
          <w:tcPr>
            <w:tcW w:w="605" w:type="pct"/>
            <w:vMerge w:val="continue"/>
            <w:vAlign w:val="center"/>
          </w:tcPr>
          <w:p w14:paraId="63D5A2FE">
            <w:pPr>
              <w:pStyle w:val="11"/>
              <w:bidi w:val="0"/>
              <w:jc w:val="center"/>
            </w:pPr>
          </w:p>
        </w:tc>
        <w:tc>
          <w:tcPr>
            <w:tcW w:w="611" w:type="pct"/>
            <w:vAlign w:val="center"/>
          </w:tcPr>
          <w:p w14:paraId="7DEA3CF5">
            <w:pPr>
              <w:pStyle w:val="11"/>
              <w:bidi w:val="0"/>
              <w:jc w:val="center"/>
              <w:rPr>
                <w:b/>
                <w:bCs/>
              </w:rPr>
            </w:pPr>
            <w:r>
              <w:rPr>
                <w:rFonts w:hint="eastAsia"/>
                <w:b/>
                <w:bCs/>
                <w:lang w:val="en-US" w:eastAsia="zh-CN"/>
              </w:rPr>
              <w:t>其中：分支机构</w:t>
            </w:r>
          </w:p>
        </w:tc>
        <w:tc>
          <w:tcPr>
            <w:tcW w:w="407" w:type="pct"/>
            <w:vMerge w:val="continue"/>
            <w:vAlign w:val="center"/>
          </w:tcPr>
          <w:p w14:paraId="5CCF96B5">
            <w:pPr>
              <w:pStyle w:val="11"/>
              <w:bidi w:val="0"/>
              <w:jc w:val="center"/>
              <w:rPr>
                <w:b/>
                <w:bCs/>
              </w:rPr>
            </w:pPr>
          </w:p>
        </w:tc>
        <w:tc>
          <w:tcPr>
            <w:tcW w:w="437" w:type="pct"/>
            <w:vMerge w:val="continue"/>
            <w:vAlign w:val="center"/>
          </w:tcPr>
          <w:p w14:paraId="60527DB2">
            <w:pPr>
              <w:pStyle w:val="11"/>
              <w:bidi w:val="0"/>
              <w:jc w:val="center"/>
              <w:rPr>
                <w:b/>
                <w:bCs/>
              </w:rPr>
            </w:pPr>
          </w:p>
        </w:tc>
        <w:tc>
          <w:tcPr>
            <w:tcW w:w="615" w:type="pct"/>
            <w:vAlign w:val="center"/>
          </w:tcPr>
          <w:p w14:paraId="5642364B">
            <w:pPr>
              <w:pStyle w:val="11"/>
              <w:bidi w:val="0"/>
              <w:jc w:val="center"/>
              <w:rPr>
                <w:rFonts w:hint="default"/>
                <w:b/>
                <w:bCs/>
                <w:lang w:val="en-US" w:eastAsia="zh-CN"/>
              </w:rPr>
            </w:pPr>
            <w:r>
              <w:rPr>
                <w:rFonts w:hint="eastAsia"/>
                <w:b/>
                <w:bCs/>
                <w:lang w:val="en-US" w:eastAsia="zh-CN"/>
              </w:rPr>
              <w:t>其中：分支机构</w:t>
            </w:r>
          </w:p>
        </w:tc>
        <w:tc>
          <w:tcPr>
            <w:tcW w:w="381" w:type="pct"/>
            <w:vMerge w:val="continue"/>
            <w:vAlign w:val="center"/>
          </w:tcPr>
          <w:p w14:paraId="54BAD4B4">
            <w:pPr>
              <w:pStyle w:val="11"/>
              <w:bidi w:val="0"/>
              <w:jc w:val="center"/>
              <w:rPr>
                <w:rFonts w:hint="eastAsia"/>
                <w:lang w:eastAsia="zh-CN"/>
              </w:rPr>
            </w:pPr>
          </w:p>
        </w:tc>
      </w:tr>
      <w:tr w14:paraId="46D8B0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4FFE3AAB">
            <w:pPr>
              <w:pStyle w:val="11"/>
              <w:bidi w:val="0"/>
              <w:jc w:val="both"/>
              <w:rPr>
                <w:rFonts w:hint="eastAsia"/>
                <w:lang w:eastAsia="zh-CN"/>
              </w:rPr>
            </w:pPr>
            <w:r>
              <w:rPr>
                <w:rFonts w:hint="eastAsia"/>
              </w:rPr>
              <w:t>合计</w:t>
            </w:r>
          </w:p>
        </w:tc>
        <w:tc>
          <w:tcPr>
            <w:tcW w:w="605" w:type="pct"/>
            <w:vAlign w:val="center"/>
          </w:tcPr>
          <w:p w14:paraId="122AD164">
            <w:pPr>
              <w:pStyle w:val="11"/>
              <w:bidi w:val="0"/>
              <w:jc w:val="center"/>
              <w:rPr>
                <w:rFonts w:hint="eastAsia"/>
                <w:lang w:eastAsia="zh-CN"/>
              </w:rPr>
            </w:pPr>
            <w:r>
              <w:t>1720</w:t>
            </w:r>
          </w:p>
        </w:tc>
        <w:tc>
          <w:tcPr>
            <w:tcW w:w="611" w:type="pct"/>
            <w:vAlign w:val="center"/>
          </w:tcPr>
          <w:p w14:paraId="4131C84A">
            <w:pPr>
              <w:pStyle w:val="11"/>
              <w:bidi w:val="0"/>
              <w:jc w:val="center"/>
              <w:rPr>
                <w:rFonts w:hint="eastAsia"/>
                <w:lang w:eastAsia="zh-CN"/>
              </w:rPr>
            </w:pPr>
            <w:r>
              <w:t>157</w:t>
            </w:r>
          </w:p>
        </w:tc>
        <w:tc>
          <w:tcPr>
            <w:tcW w:w="407" w:type="pct"/>
            <w:vAlign w:val="center"/>
          </w:tcPr>
          <w:p w14:paraId="533F3984">
            <w:pPr>
              <w:pStyle w:val="11"/>
              <w:bidi w:val="0"/>
              <w:jc w:val="center"/>
              <w:rPr>
                <w:rFonts w:hint="eastAsia" w:eastAsia="宋体"/>
                <w:lang w:eastAsia="zh-CN"/>
              </w:rPr>
            </w:pPr>
            <w:r>
              <w:t>511184</w:t>
            </w:r>
          </w:p>
        </w:tc>
        <w:tc>
          <w:tcPr>
            <w:tcW w:w="437" w:type="pct"/>
            <w:vAlign w:val="center"/>
          </w:tcPr>
          <w:p w14:paraId="275C8192">
            <w:pPr>
              <w:pStyle w:val="11"/>
              <w:bidi w:val="0"/>
              <w:jc w:val="center"/>
              <w:rPr>
                <w:rFonts w:hint="eastAsia"/>
                <w:lang w:eastAsia="zh-CN"/>
              </w:rPr>
            </w:pPr>
            <w:r>
              <w:t>0</w:t>
            </w:r>
          </w:p>
        </w:tc>
        <w:tc>
          <w:tcPr>
            <w:tcW w:w="615" w:type="pct"/>
            <w:vAlign w:val="center"/>
          </w:tcPr>
          <w:p w14:paraId="1AE82308">
            <w:pPr>
              <w:pStyle w:val="11"/>
              <w:bidi w:val="0"/>
              <w:jc w:val="center"/>
              <w:rPr>
                <w:rFonts w:hint="eastAsia"/>
                <w:lang w:eastAsia="zh-CN"/>
              </w:rPr>
            </w:pPr>
            <w:r>
              <w:t>0</w:t>
            </w:r>
          </w:p>
        </w:tc>
        <w:tc>
          <w:tcPr>
            <w:tcW w:w="381" w:type="pct"/>
            <w:vAlign w:val="center"/>
          </w:tcPr>
          <w:p w14:paraId="02C62AE4">
            <w:pPr>
              <w:pStyle w:val="11"/>
              <w:bidi w:val="0"/>
              <w:jc w:val="center"/>
              <w:rPr>
                <w:rFonts w:hint="eastAsia" w:eastAsia="宋体"/>
                <w:lang w:eastAsia="zh-CN"/>
              </w:rPr>
            </w:pPr>
            <w:r>
              <w:t>0.00</w:t>
            </w:r>
          </w:p>
        </w:tc>
      </w:tr>
      <w:tr w14:paraId="585335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940" w:type="pct"/>
            <w:vAlign w:val="center"/>
          </w:tcPr>
          <w:p w14:paraId="20ECE667">
            <w:pPr>
              <w:pStyle w:val="11"/>
              <w:bidi w:val="0"/>
              <w:jc w:val="both"/>
              <w:rPr>
                <w:rFonts w:hint="eastAsia"/>
                <w:lang w:eastAsia="zh-CN"/>
              </w:rPr>
            </w:pPr>
            <w:r>
              <w:rPr>
                <w:rFonts w:hint="eastAsia"/>
              </w:rPr>
              <w:t>农、林、牧、渔业</w:t>
            </w:r>
          </w:p>
        </w:tc>
        <w:tc>
          <w:tcPr>
            <w:tcW w:w="605" w:type="pct"/>
            <w:vAlign w:val="center"/>
          </w:tcPr>
          <w:p w14:paraId="1A8BB049">
            <w:pPr>
              <w:pStyle w:val="11"/>
              <w:bidi w:val="0"/>
              <w:jc w:val="center"/>
              <w:rPr>
                <w:rFonts w:hint="eastAsia"/>
                <w:lang w:eastAsia="zh-CN"/>
              </w:rPr>
            </w:pPr>
            <w:r>
              <w:t>200</w:t>
            </w:r>
          </w:p>
        </w:tc>
        <w:tc>
          <w:tcPr>
            <w:tcW w:w="611" w:type="pct"/>
            <w:vAlign w:val="center"/>
          </w:tcPr>
          <w:p w14:paraId="3E2C86BF">
            <w:pPr>
              <w:pStyle w:val="11"/>
              <w:bidi w:val="0"/>
              <w:jc w:val="center"/>
              <w:rPr>
                <w:rFonts w:hint="eastAsia"/>
                <w:lang w:eastAsia="zh-CN"/>
              </w:rPr>
            </w:pPr>
            <w:r>
              <w:t>5</w:t>
            </w:r>
          </w:p>
        </w:tc>
        <w:tc>
          <w:tcPr>
            <w:tcW w:w="407" w:type="pct"/>
            <w:vAlign w:val="center"/>
          </w:tcPr>
          <w:p w14:paraId="0DAD4E71">
            <w:pPr>
              <w:pStyle w:val="11"/>
              <w:bidi w:val="0"/>
              <w:jc w:val="center"/>
              <w:rPr>
                <w:rFonts w:hint="eastAsia" w:eastAsia="宋体"/>
                <w:lang w:eastAsia="zh-CN"/>
              </w:rPr>
            </w:pPr>
            <w:r>
              <w:t>62917</w:t>
            </w:r>
          </w:p>
        </w:tc>
        <w:tc>
          <w:tcPr>
            <w:tcW w:w="437" w:type="pct"/>
            <w:vAlign w:val="center"/>
          </w:tcPr>
          <w:p w14:paraId="6A290252">
            <w:pPr>
              <w:pStyle w:val="11"/>
              <w:bidi w:val="0"/>
              <w:jc w:val="center"/>
              <w:rPr>
                <w:rFonts w:hint="eastAsia"/>
                <w:lang w:eastAsia="zh-CN"/>
              </w:rPr>
            </w:pPr>
            <w:r>
              <w:t>0</w:t>
            </w:r>
          </w:p>
        </w:tc>
        <w:tc>
          <w:tcPr>
            <w:tcW w:w="615" w:type="pct"/>
            <w:vAlign w:val="center"/>
          </w:tcPr>
          <w:p w14:paraId="0D03C6CB">
            <w:pPr>
              <w:pStyle w:val="11"/>
              <w:bidi w:val="0"/>
              <w:jc w:val="center"/>
              <w:rPr>
                <w:rFonts w:hint="eastAsia"/>
                <w:lang w:eastAsia="zh-CN"/>
              </w:rPr>
            </w:pPr>
            <w:r>
              <w:t>0</w:t>
            </w:r>
          </w:p>
        </w:tc>
        <w:tc>
          <w:tcPr>
            <w:tcW w:w="381" w:type="pct"/>
            <w:vAlign w:val="center"/>
          </w:tcPr>
          <w:p w14:paraId="2E058F6E">
            <w:pPr>
              <w:pStyle w:val="11"/>
              <w:bidi w:val="0"/>
              <w:jc w:val="center"/>
              <w:rPr>
                <w:rFonts w:hint="eastAsia" w:eastAsia="宋体"/>
                <w:lang w:eastAsia="zh-CN"/>
              </w:rPr>
            </w:pPr>
            <w:r>
              <w:t>0.00</w:t>
            </w:r>
          </w:p>
        </w:tc>
      </w:tr>
      <w:tr w14:paraId="106773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133EFF53">
            <w:pPr>
              <w:pStyle w:val="11"/>
              <w:bidi w:val="0"/>
              <w:jc w:val="both"/>
              <w:rPr>
                <w:rFonts w:hint="eastAsia"/>
                <w:lang w:eastAsia="zh-CN"/>
              </w:rPr>
            </w:pPr>
            <w:r>
              <w:rPr>
                <w:rFonts w:hint="eastAsia"/>
              </w:rPr>
              <w:t>其中：农、林、牧、渔服务业</w:t>
            </w:r>
          </w:p>
        </w:tc>
        <w:tc>
          <w:tcPr>
            <w:tcW w:w="605" w:type="pct"/>
            <w:vAlign w:val="center"/>
          </w:tcPr>
          <w:p w14:paraId="02A0E9AE">
            <w:pPr>
              <w:pStyle w:val="11"/>
              <w:bidi w:val="0"/>
              <w:jc w:val="center"/>
              <w:rPr>
                <w:rFonts w:hint="eastAsia"/>
                <w:lang w:eastAsia="zh-CN"/>
              </w:rPr>
            </w:pPr>
            <w:r>
              <w:t>30</w:t>
            </w:r>
          </w:p>
        </w:tc>
        <w:tc>
          <w:tcPr>
            <w:tcW w:w="611" w:type="pct"/>
            <w:vAlign w:val="center"/>
          </w:tcPr>
          <w:p w14:paraId="410DE65A">
            <w:pPr>
              <w:pStyle w:val="11"/>
              <w:bidi w:val="0"/>
              <w:jc w:val="center"/>
              <w:rPr>
                <w:rFonts w:hint="eastAsia"/>
                <w:lang w:eastAsia="zh-CN"/>
              </w:rPr>
            </w:pPr>
            <w:r>
              <w:t>1</w:t>
            </w:r>
          </w:p>
        </w:tc>
        <w:tc>
          <w:tcPr>
            <w:tcW w:w="407" w:type="pct"/>
            <w:vAlign w:val="center"/>
          </w:tcPr>
          <w:p w14:paraId="3F2F02E6">
            <w:pPr>
              <w:pStyle w:val="11"/>
              <w:bidi w:val="0"/>
              <w:jc w:val="center"/>
              <w:rPr>
                <w:rFonts w:hint="eastAsia" w:eastAsia="宋体"/>
                <w:lang w:eastAsia="zh-CN"/>
              </w:rPr>
            </w:pPr>
            <w:r>
              <w:t>11478</w:t>
            </w:r>
          </w:p>
        </w:tc>
        <w:tc>
          <w:tcPr>
            <w:tcW w:w="437" w:type="pct"/>
            <w:vAlign w:val="center"/>
          </w:tcPr>
          <w:p w14:paraId="656153F8">
            <w:pPr>
              <w:pStyle w:val="11"/>
              <w:bidi w:val="0"/>
              <w:jc w:val="center"/>
              <w:rPr>
                <w:rFonts w:hint="eastAsia"/>
                <w:lang w:eastAsia="zh-CN"/>
              </w:rPr>
            </w:pPr>
            <w:r>
              <w:t>0</w:t>
            </w:r>
          </w:p>
        </w:tc>
        <w:tc>
          <w:tcPr>
            <w:tcW w:w="615" w:type="pct"/>
            <w:vAlign w:val="center"/>
          </w:tcPr>
          <w:p w14:paraId="15F56D1C">
            <w:pPr>
              <w:pStyle w:val="11"/>
              <w:bidi w:val="0"/>
              <w:jc w:val="center"/>
              <w:rPr>
                <w:rFonts w:hint="eastAsia"/>
                <w:lang w:eastAsia="zh-CN"/>
              </w:rPr>
            </w:pPr>
            <w:r>
              <w:t>0</w:t>
            </w:r>
          </w:p>
        </w:tc>
        <w:tc>
          <w:tcPr>
            <w:tcW w:w="381" w:type="pct"/>
            <w:vAlign w:val="center"/>
          </w:tcPr>
          <w:p w14:paraId="4F704330">
            <w:pPr>
              <w:pStyle w:val="11"/>
              <w:bidi w:val="0"/>
              <w:jc w:val="center"/>
              <w:rPr>
                <w:rFonts w:hint="eastAsia" w:eastAsia="宋体"/>
                <w:lang w:eastAsia="zh-CN"/>
              </w:rPr>
            </w:pPr>
            <w:r>
              <w:t>0.00</w:t>
            </w:r>
          </w:p>
        </w:tc>
      </w:tr>
      <w:tr w14:paraId="422EC5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0EB56723">
            <w:pPr>
              <w:pStyle w:val="11"/>
              <w:bidi w:val="0"/>
              <w:jc w:val="both"/>
              <w:rPr>
                <w:rFonts w:hint="eastAsia"/>
                <w:lang w:eastAsia="zh-CN"/>
              </w:rPr>
            </w:pPr>
            <w:r>
              <w:rPr>
                <w:rFonts w:hint="eastAsia"/>
              </w:rPr>
              <w:t>采矿业</w:t>
            </w:r>
          </w:p>
        </w:tc>
        <w:tc>
          <w:tcPr>
            <w:tcW w:w="605" w:type="pct"/>
            <w:vAlign w:val="center"/>
          </w:tcPr>
          <w:p w14:paraId="52C5FDCD">
            <w:pPr>
              <w:pStyle w:val="11"/>
              <w:bidi w:val="0"/>
              <w:jc w:val="center"/>
              <w:rPr>
                <w:rFonts w:hint="eastAsia"/>
                <w:lang w:eastAsia="zh-CN"/>
              </w:rPr>
            </w:pPr>
            <w:r>
              <w:t>13</w:t>
            </w:r>
          </w:p>
        </w:tc>
        <w:tc>
          <w:tcPr>
            <w:tcW w:w="611" w:type="pct"/>
            <w:vAlign w:val="center"/>
          </w:tcPr>
          <w:p w14:paraId="4DB41B33">
            <w:pPr>
              <w:pStyle w:val="11"/>
              <w:bidi w:val="0"/>
              <w:jc w:val="center"/>
              <w:rPr>
                <w:rFonts w:hint="eastAsia"/>
                <w:lang w:eastAsia="zh-CN"/>
              </w:rPr>
            </w:pPr>
            <w:r>
              <w:t>1</w:t>
            </w:r>
          </w:p>
        </w:tc>
        <w:tc>
          <w:tcPr>
            <w:tcW w:w="407" w:type="pct"/>
            <w:vAlign w:val="center"/>
          </w:tcPr>
          <w:p w14:paraId="3794311D">
            <w:pPr>
              <w:pStyle w:val="11"/>
              <w:bidi w:val="0"/>
              <w:jc w:val="center"/>
              <w:rPr>
                <w:rFonts w:hint="eastAsia" w:eastAsia="宋体"/>
                <w:lang w:eastAsia="zh-CN"/>
              </w:rPr>
            </w:pPr>
            <w:r>
              <w:t>4777</w:t>
            </w:r>
          </w:p>
        </w:tc>
        <w:tc>
          <w:tcPr>
            <w:tcW w:w="437" w:type="pct"/>
            <w:vAlign w:val="center"/>
          </w:tcPr>
          <w:p w14:paraId="7CFC33A5">
            <w:pPr>
              <w:pStyle w:val="11"/>
              <w:bidi w:val="0"/>
              <w:jc w:val="center"/>
              <w:rPr>
                <w:rFonts w:hint="eastAsia"/>
                <w:lang w:eastAsia="zh-CN"/>
              </w:rPr>
            </w:pPr>
            <w:r>
              <w:t>0</w:t>
            </w:r>
          </w:p>
        </w:tc>
        <w:tc>
          <w:tcPr>
            <w:tcW w:w="615" w:type="pct"/>
            <w:vAlign w:val="center"/>
          </w:tcPr>
          <w:p w14:paraId="54B36DE7">
            <w:pPr>
              <w:pStyle w:val="11"/>
              <w:bidi w:val="0"/>
              <w:jc w:val="center"/>
              <w:rPr>
                <w:rFonts w:hint="eastAsia"/>
                <w:lang w:eastAsia="zh-CN"/>
              </w:rPr>
            </w:pPr>
            <w:r>
              <w:t>0</w:t>
            </w:r>
          </w:p>
        </w:tc>
        <w:tc>
          <w:tcPr>
            <w:tcW w:w="381" w:type="pct"/>
            <w:vAlign w:val="center"/>
          </w:tcPr>
          <w:p w14:paraId="6919ABD0">
            <w:pPr>
              <w:pStyle w:val="11"/>
              <w:bidi w:val="0"/>
              <w:jc w:val="center"/>
              <w:rPr>
                <w:rFonts w:hint="eastAsia" w:eastAsia="宋体"/>
                <w:lang w:eastAsia="zh-CN"/>
              </w:rPr>
            </w:pPr>
            <w:r>
              <w:t>0.00</w:t>
            </w:r>
          </w:p>
        </w:tc>
      </w:tr>
      <w:tr w14:paraId="776E81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0D843B1D">
            <w:pPr>
              <w:pStyle w:val="11"/>
              <w:bidi w:val="0"/>
              <w:jc w:val="both"/>
              <w:rPr>
                <w:rFonts w:hint="eastAsia"/>
                <w:lang w:eastAsia="zh-CN"/>
              </w:rPr>
            </w:pPr>
            <w:r>
              <w:rPr>
                <w:rFonts w:hint="eastAsia"/>
              </w:rPr>
              <w:t>开采辅助活动</w:t>
            </w:r>
          </w:p>
        </w:tc>
        <w:tc>
          <w:tcPr>
            <w:tcW w:w="605" w:type="pct"/>
            <w:vAlign w:val="center"/>
          </w:tcPr>
          <w:p w14:paraId="33E01F04">
            <w:pPr>
              <w:pStyle w:val="11"/>
              <w:bidi w:val="0"/>
              <w:jc w:val="center"/>
              <w:rPr>
                <w:rFonts w:hint="eastAsia"/>
                <w:lang w:eastAsia="zh-CN"/>
              </w:rPr>
            </w:pPr>
            <w:r>
              <w:t>0</w:t>
            </w:r>
          </w:p>
        </w:tc>
        <w:tc>
          <w:tcPr>
            <w:tcW w:w="611" w:type="pct"/>
            <w:vAlign w:val="center"/>
          </w:tcPr>
          <w:p w14:paraId="52F95BF4">
            <w:pPr>
              <w:pStyle w:val="11"/>
              <w:bidi w:val="0"/>
              <w:jc w:val="center"/>
              <w:rPr>
                <w:rFonts w:hint="eastAsia"/>
                <w:lang w:eastAsia="zh-CN"/>
              </w:rPr>
            </w:pPr>
            <w:r>
              <w:t>0</w:t>
            </w:r>
          </w:p>
        </w:tc>
        <w:tc>
          <w:tcPr>
            <w:tcW w:w="407" w:type="pct"/>
            <w:vAlign w:val="center"/>
          </w:tcPr>
          <w:p w14:paraId="5F26FCE0">
            <w:pPr>
              <w:pStyle w:val="11"/>
              <w:bidi w:val="0"/>
              <w:jc w:val="center"/>
              <w:rPr>
                <w:rFonts w:hint="eastAsia" w:eastAsia="宋体"/>
                <w:lang w:eastAsia="zh-CN"/>
              </w:rPr>
            </w:pPr>
            <w:r>
              <w:t>0</w:t>
            </w:r>
          </w:p>
        </w:tc>
        <w:tc>
          <w:tcPr>
            <w:tcW w:w="437" w:type="pct"/>
            <w:vAlign w:val="center"/>
          </w:tcPr>
          <w:p w14:paraId="4F4E8544">
            <w:pPr>
              <w:pStyle w:val="11"/>
              <w:bidi w:val="0"/>
              <w:jc w:val="center"/>
              <w:rPr>
                <w:rFonts w:hint="eastAsia"/>
                <w:lang w:eastAsia="zh-CN"/>
              </w:rPr>
            </w:pPr>
            <w:r>
              <w:t>0</w:t>
            </w:r>
          </w:p>
        </w:tc>
        <w:tc>
          <w:tcPr>
            <w:tcW w:w="615" w:type="pct"/>
            <w:vAlign w:val="center"/>
          </w:tcPr>
          <w:p w14:paraId="22F7C9EF">
            <w:pPr>
              <w:pStyle w:val="11"/>
              <w:bidi w:val="0"/>
              <w:jc w:val="center"/>
              <w:rPr>
                <w:rFonts w:hint="eastAsia"/>
                <w:lang w:eastAsia="zh-CN"/>
              </w:rPr>
            </w:pPr>
            <w:r>
              <w:t>0</w:t>
            </w:r>
          </w:p>
        </w:tc>
        <w:tc>
          <w:tcPr>
            <w:tcW w:w="381" w:type="pct"/>
            <w:vAlign w:val="center"/>
          </w:tcPr>
          <w:p w14:paraId="5088915C">
            <w:pPr>
              <w:pStyle w:val="11"/>
              <w:bidi w:val="0"/>
              <w:jc w:val="center"/>
              <w:rPr>
                <w:rFonts w:hint="eastAsia" w:eastAsia="宋体"/>
                <w:lang w:eastAsia="zh-CN"/>
              </w:rPr>
            </w:pPr>
            <w:r>
              <w:t>0.00</w:t>
            </w:r>
          </w:p>
        </w:tc>
      </w:tr>
      <w:tr w14:paraId="34E459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613E93DB">
            <w:pPr>
              <w:pStyle w:val="11"/>
              <w:bidi w:val="0"/>
              <w:jc w:val="both"/>
              <w:rPr>
                <w:rFonts w:hint="eastAsia"/>
                <w:lang w:eastAsia="zh-CN"/>
              </w:rPr>
            </w:pPr>
            <w:r>
              <w:rPr>
                <w:rFonts w:hint="eastAsia"/>
              </w:rPr>
              <w:t>制造业</w:t>
            </w:r>
          </w:p>
        </w:tc>
        <w:tc>
          <w:tcPr>
            <w:tcW w:w="605" w:type="pct"/>
            <w:vAlign w:val="center"/>
          </w:tcPr>
          <w:p w14:paraId="0B543CEB">
            <w:pPr>
              <w:pStyle w:val="11"/>
              <w:bidi w:val="0"/>
              <w:jc w:val="center"/>
              <w:rPr>
                <w:rFonts w:hint="eastAsia"/>
                <w:lang w:eastAsia="zh-CN"/>
              </w:rPr>
            </w:pPr>
            <w:r>
              <w:t>219</w:t>
            </w:r>
          </w:p>
        </w:tc>
        <w:tc>
          <w:tcPr>
            <w:tcW w:w="611" w:type="pct"/>
            <w:vAlign w:val="center"/>
          </w:tcPr>
          <w:p w14:paraId="4AC1AAC8">
            <w:pPr>
              <w:pStyle w:val="11"/>
              <w:bidi w:val="0"/>
              <w:jc w:val="center"/>
              <w:rPr>
                <w:rFonts w:hint="eastAsia"/>
                <w:lang w:eastAsia="zh-CN"/>
              </w:rPr>
            </w:pPr>
            <w:r>
              <w:t>3</w:t>
            </w:r>
          </w:p>
        </w:tc>
        <w:tc>
          <w:tcPr>
            <w:tcW w:w="407" w:type="pct"/>
            <w:vAlign w:val="center"/>
          </w:tcPr>
          <w:p w14:paraId="05B66BB6">
            <w:pPr>
              <w:pStyle w:val="11"/>
              <w:bidi w:val="0"/>
              <w:jc w:val="center"/>
              <w:rPr>
                <w:rFonts w:hint="eastAsia" w:eastAsia="宋体"/>
                <w:lang w:eastAsia="zh-CN"/>
              </w:rPr>
            </w:pPr>
            <w:r>
              <w:t>92730</w:t>
            </w:r>
          </w:p>
        </w:tc>
        <w:tc>
          <w:tcPr>
            <w:tcW w:w="437" w:type="pct"/>
            <w:vAlign w:val="center"/>
          </w:tcPr>
          <w:p w14:paraId="7FB457E2">
            <w:pPr>
              <w:pStyle w:val="11"/>
              <w:bidi w:val="0"/>
              <w:jc w:val="center"/>
              <w:rPr>
                <w:rFonts w:hint="eastAsia"/>
                <w:lang w:eastAsia="zh-CN"/>
              </w:rPr>
            </w:pPr>
            <w:r>
              <w:t>0</w:t>
            </w:r>
          </w:p>
        </w:tc>
        <w:tc>
          <w:tcPr>
            <w:tcW w:w="615" w:type="pct"/>
            <w:vAlign w:val="center"/>
          </w:tcPr>
          <w:p w14:paraId="474C698F">
            <w:pPr>
              <w:pStyle w:val="11"/>
              <w:bidi w:val="0"/>
              <w:jc w:val="center"/>
              <w:rPr>
                <w:rFonts w:hint="eastAsia"/>
                <w:lang w:eastAsia="zh-CN"/>
              </w:rPr>
            </w:pPr>
            <w:r>
              <w:t>0</w:t>
            </w:r>
          </w:p>
        </w:tc>
        <w:tc>
          <w:tcPr>
            <w:tcW w:w="381" w:type="pct"/>
            <w:vAlign w:val="center"/>
          </w:tcPr>
          <w:p w14:paraId="71F75E18">
            <w:pPr>
              <w:pStyle w:val="11"/>
              <w:bidi w:val="0"/>
              <w:jc w:val="center"/>
              <w:rPr>
                <w:rFonts w:hint="eastAsia" w:eastAsia="宋体"/>
                <w:lang w:eastAsia="zh-CN"/>
              </w:rPr>
            </w:pPr>
            <w:r>
              <w:t>0.00</w:t>
            </w:r>
          </w:p>
        </w:tc>
      </w:tr>
      <w:tr w14:paraId="7F01B5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67A88585">
            <w:pPr>
              <w:pStyle w:val="11"/>
              <w:bidi w:val="0"/>
              <w:jc w:val="both"/>
              <w:rPr>
                <w:rFonts w:hint="eastAsia"/>
                <w:lang w:eastAsia="zh-CN"/>
              </w:rPr>
            </w:pPr>
            <w:r>
              <w:rPr>
                <w:rFonts w:hint="eastAsia"/>
              </w:rPr>
              <w:t>金属制品、机械和设备修理业</w:t>
            </w:r>
          </w:p>
        </w:tc>
        <w:tc>
          <w:tcPr>
            <w:tcW w:w="605" w:type="pct"/>
            <w:vAlign w:val="center"/>
          </w:tcPr>
          <w:p w14:paraId="001C5A8A">
            <w:pPr>
              <w:pStyle w:val="11"/>
              <w:bidi w:val="0"/>
              <w:jc w:val="center"/>
              <w:rPr>
                <w:rFonts w:hint="eastAsia"/>
                <w:lang w:eastAsia="zh-CN"/>
              </w:rPr>
            </w:pPr>
            <w:r>
              <w:t>1</w:t>
            </w:r>
          </w:p>
        </w:tc>
        <w:tc>
          <w:tcPr>
            <w:tcW w:w="611" w:type="pct"/>
            <w:vAlign w:val="center"/>
          </w:tcPr>
          <w:p w14:paraId="1BC03296">
            <w:pPr>
              <w:pStyle w:val="11"/>
              <w:bidi w:val="0"/>
              <w:jc w:val="center"/>
              <w:rPr>
                <w:rFonts w:hint="eastAsia"/>
                <w:lang w:eastAsia="zh-CN"/>
              </w:rPr>
            </w:pPr>
            <w:r>
              <w:t>0</w:t>
            </w:r>
          </w:p>
        </w:tc>
        <w:tc>
          <w:tcPr>
            <w:tcW w:w="407" w:type="pct"/>
            <w:vAlign w:val="center"/>
          </w:tcPr>
          <w:p w14:paraId="3DFB7BA6">
            <w:pPr>
              <w:pStyle w:val="11"/>
              <w:bidi w:val="0"/>
              <w:jc w:val="center"/>
              <w:rPr>
                <w:rFonts w:hint="eastAsia" w:eastAsia="宋体"/>
                <w:lang w:eastAsia="zh-CN"/>
              </w:rPr>
            </w:pPr>
            <w:r>
              <w:t>100</w:t>
            </w:r>
          </w:p>
        </w:tc>
        <w:tc>
          <w:tcPr>
            <w:tcW w:w="437" w:type="pct"/>
            <w:vAlign w:val="center"/>
          </w:tcPr>
          <w:p w14:paraId="4EC154AD">
            <w:pPr>
              <w:pStyle w:val="11"/>
              <w:bidi w:val="0"/>
              <w:jc w:val="center"/>
              <w:rPr>
                <w:rFonts w:hint="eastAsia"/>
                <w:lang w:eastAsia="zh-CN"/>
              </w:rPr>
            </w:pPr>
            <w:r>
              <w:t>0</w:t>
            </w:r>
          </w:p>
        </w:tc>
        <w:tc>
          <w:tcPr>
            <w:tcW w:w="615" w:type="pct"/>
            <w:vAlign w:val="center"/>
          </w:tcPr>
          <w:p w14:paraId="4CF8FE9D">
            <w:pPr>
              <w:pStyle w:val="11"/>
              <w:bidi w:val="0"/>
              <w:jc w:val="center"/>
              <w:rPr>
                <w:rFonts w:hint="eastAsia"/>
                <w:lang w:eastAsia="zh-CN"/>
              </w:rPr>
            </w:pPr>
            <w:r>
              <w:t>0</w:t>
            </w:r>
          </w:p>
        </w:tc>
        <w:tc>
          <w:tcPr>
            <w:tcW w:w="381" w:type="pct"/>
            <w:vAlign w:val="center"/>
          </w:tcPr>
          <w:p w14:paraId="59F7854D">
            <w:pPr>
              <w:pStyle w:val="11"/>
              <w:bidi w:val="0"/>
              <w:jc w:val="center"/>
              <w:rPr>
                <w:rFonts w:hint="eastAsia" w:eastAsia="宋体"/>
                <w:lang w:eastAsia="zh-CN"/>
              </w:rPr>
            </w:pPr>
            <w:r>
              <w:t>0.00</w:t>
            </w:r>
          </w:p>
        </w:tc>
      </w:tr>
      <w:tr w14:paraId="10FC43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061CBE8E">
            <w:pPr>
              <w:pStyle w:val="11"/>
              <w:bidi w:val="0"/>
              <w:jc w:val="both"/>
              <w:rPr>
                <w:rFonts w:hint="eastAsia"/>
                <w:lang w:eastAsia="zh-CN"/>
              </w:rPr>
            </w:pPr>
            <w:r>
              <w:rPr>
                <w:rFonts w:hint="eastAsia"/>
              </w:rPr>
              <w:t>电力、热力、燃气及水生产和供应业</w:t>
            </w:r>
          </w:p>
        </w:tc>
        <w:tc>
          <w:tcPr>
            <w:tcW w:w="605" w:type="pct"/>
            <w:vAlign w:val="center"/>
          </w:tcPr>
          <w:p w14:paraId="6C21EC50">
            <w:pPr>
              <w:pStyle w:val="11"/>
              <w:bidi w:val="0"/>
              <w:jc w:val="center"/>
              <w:rPr>
                <w:rFonts w:hint="eastAsia"/>
                <w:lang w:eastAsia="zh-CN"/>
              </w:rPr>
            </w:pPr>
            <w:r>
              <w:t>147</w:t>
            </w:r>
          </w:p>
        </w:tc>
        <w:tc>
          <w:tcPr>
            <w:tcW w:w="611" w:type="pct"/>
            <w:vAlign w:val="center"/>
          </w:tcPr>
          <w:p w14:paraId="278EBC9E">
            <w:pPr>
              <w:pStyle w:val="11"/>
              <w:bidi w:val="0"/>
              <w:jc w:val="center"/>
              <w:rPr>
                <w:rFonts w:hint="eastAsia"/>
                <w:lang w:eastAsia="zh-CN"/>
              </w:rPr>
            </w:pPr>
            <w:r>
              <w:t>2</w:t>
            </w:r>
          </w:p>
        </w:tc>
        <w:tc>
          <w:tcPr>
            <w:tcW w:w="407" w:type="pct"/>
            <w:vAlign w:val="center"/>
          </w:tcPr>
          <w:p w14:paraId="1214C5FA">
            <w:pPr>
              <w:pStyle w:val="11"/>
              <w:bidi w:val="0"/>
              <w:jc w:val="center"/>
              <w:rPr>
                <w:rFonts w:hint="eastAsia" w:eastAsia="宋体"/>
                <w:lang w:eastAsia="zh-CN"/>
              </w:rPr>
            </w:pPr>
            <w:r>
              <w:t>28308</w:t>
            </w:r>
          </w:p>
        </w:tc>
        <w:tc>
          <w:tcPr>
            <w:tcW w:w="437" w:type="pct"/>
            <w:vAlign w:val="center"/>
          </w:tcPr>
          <w:p w14:paraId="66B747FB">
            <w:pPr>
              <w:pStyle w:val="11"/>
              <w:bidi w:val="0"/>
              <w:jc w:val="center"/>
              <w:rPr>
                <w:rFonts w:hint="eastAsia"/>
                <w:lang w:eastAsia="zh-CN"/>
              </w:rPr>
            </w:pPr>
            <w:r>
              <w:t>0</w:t>
            </w:r>
          </w:p>
        </w:tc>
        <w:tc>
          <w:tcPr>
            <w:tcW w:w="615" w:type="pct"/>
            <w:vAlign w:val="center"/>
          </w:tcPr>
          <w:p w14:paraId="21E71C2A">
            <w:pPr>
              <w:pStyle w:val="11"/>
              <w:bidi w:val="0"/>
              <w:jc w:val="center"/>
              <w:rPr>
                <w:rFonts w:hint="eastAsia"/>
                <w:lang w:eastAsia="zh-CN"/>
              </w:rPr>
            </w:pPr>
            <w:r>
              <w:t>0</w:t>
            </w:r>
          </w:p>
        </w:tc>
        <w:tc>
          <w:tcPr>
            <w:tcW w:w="381" w:type="pct"/>
            <w:vAlign w:val="center"/>
          </w:tcPr>
          <w:p w14:paraId="45D6960E">
            <w:pPr>
              <w:pStyle w:val="11"/>
              <w:bidi w:val="0"/>
              <w:jc w:val="center"/>
              <w:rPr>
                <w:rFonts w:hint="eastAsia" w:eastAsia="宋体"/>
                <w:lang w:eastAsia="zh-CN"/>
              </w:rPr>
            </w:pPr>
            <w:r>
              <w:t>0.00</w:t>
            </w:r>
          </w:p>
        </w:tc>
      </w:tr>
      <w:tr w14:paraId="42E231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591BC113">
            <w:pPr>
              <w:pStyle w:val="11"/>
              <w:bidi w:val="0"/>
              <w:jc w:val="both"/>
              <w:rPr>
                <w:rFonts w:hint="eastAsia"/>
                <w:lang w:eastAsia="zh-CN"/>
              </w:rPr>
            </w:pPr>
            <w:r>
              <w:rPr>
                <w:rFonts w:hint="eastAsia"/>
              </w:rPr>
              <w:t>建筑业</w:t>
            </w:r>
          </w:p>
        </w:tc>
        <w:tc>
          <w:tcPr>
            <w:tcW w:w="605" w:type="pct"/>
            <w:vAlign w:val="center"/>
          </w:tcPr>
          <w:p w14:paraId="4092C3F1">
            <w:pPr>
              <w:pStyle w:val="11"/>
              <w:bidi w:val="0"/>
              <w:jc w:val="center"/>
              <w:rPr>
                <w:rFonts w:hint="eastAsia"/>
                <w:lang w:eastAsia="zh-CN"/>
              </w:rPr>
            </w:pPr>
            <w:r>
              <w:t>139</w:t>
            </w:r>
          </w:p>
        </w:tc>
        <w:tc>
          <w:tcPr>
            <w:tcW w:w="611" w:type="pct"/>
            <w:vAlign w:val="center"/>
          </w:tcPr>
          <w:p w14:paraId="517490D4">
            <w:pPr>
              <w:pStyle w:val="11"/>
              <w:bidi w:val="0"/>
              <w:jc w:val="center"/>
              <w:rPr>
                <w:rFonts w:hint="eastAsia"/>
                <w:lang w:eastAsia="zh-CN"/>
              </w:rPr>
            </w:pPr>
            <w:r>
              <w:t>17</w:t>
            </w:r>
          </w:p>
        </w:tc>
        <w:tc>
          <w:tcPr>
            <w:tcW w:w="407" w:type="pct"/>
            <w:vAlign w:val="center"/>
          </w:tcPr>
          <w:p w14:paraId="33F654D0">
            <w:pPr>
              <w:pStyle w:val="11"/>
              <w:bidi w:val="0"/>
              <w:jc w:val="center"/>
              <w:rPr>
                <w:rFonts w:hint="eastAsia" w:eastAsia="宋体"/>
                <w:lang w:eastAsia="zh-CN"/>
              </w:rPr>
            </w:pPr>
            <w:r>
              <w:t>75196</w:t>
            </w:r>
          </w:p>
        </w:tc>
        <w:tc>
          <w:tcPr>
            <w:tcW w:w="437" w:type="pct"/>
            <w:vAlign w:val="center"/>
          </w:tcPr>
          <w:p w14:paraId="19879C86">
            <w:pPr>
              <w:pStyle w:val="11"/>
              <w:bidi w:val="0"/>
              <w:jc w:val="center"/>
              <w:rPr>
                <w:rFonts w:hint="eastAsia"/>
                <w:lang w:eastAsia="zh-CN"/>
              </w:rPr>
            </w:pPr>
            <w:r>
              <w:t>0</w:t>
            </w:r>
          </w:p>
        </w:tc>
        <w:tc>
          <w:tcPr>
            <w:tcW w:w="615" w:type="pct"/>
            <w:vAlign w:val="center"/>
          </w:tcPr>
          <w:p w14:paraId="133244FF">
            <w:pPr>
              <w:pStyle w:val="11"/>
              <w:bidi w:val="0"/>
              <w:jc w:val="center"/>
              <w:rPr>
                <w:rFonts w:hint="eastAsia"/>
                <w:lang w:eastAsia="zh-CN"/>
              </w:rPr>
            </w:pPr>
            <w:r>
              <w:t>0</w:t>
            </w:r>
          </w:p>
        </w:tc>
        <w:tc>
          <w:tcPr>
            <w:tcW w:w="381" w:type="pct"/>
            <w:vAlign w:val="center"/>
          </w:tcPr>
          <w:p w14:paraId="54D9C7A2">
            <w:pPr>
              <w:pStyle w:val="11"/>
              <w:bidi w:val="0"/>
              <w:jc w:val="center"/>
              <w:rPr>
                <w:rFonts w:hint="eastAsia" w:eastAsia="宋体"/>
                <w:lang w:eastAsia="zh-CN"/>
              </w:rPr>
            </w:pPr>
            <w:r>
              <w:t>0.00</w:t>
            </w:r>
          </w:p>
        </w:tc>
      </w:tr>
      <w:tr w14:paraId="73458E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5ED10F83">
            <w:pPr>
              <w:pStyle w:val="11"/>
              <w:bidi w:val="0"/>
              <w:jc w:val="both"/>
              <w:rPr>
                <w:rFonts w:hint="eastAsia"/>
                <w:lang w:eastAsia="zh-CN"/>
              </w:rPr>
            </w:pPr>
            <w:r>
              <w:rPr>
                <w:rFonts w:hint="eastAsia"/>
              </w:rPr>
              <w:t>批发和零售业</w:t>
            </w:r>
          </w:p>
        </w:tc>
        <w:tc>
          <w:tcPr>
            <w:tcW w:w="605" w:type="pct"/>
            <w:vAlign w:val="center"/>
          </w:tcPr>
          <w:p w14:paraId="6607C35F">
            <w:pPr>
              <w:pStyle w:val="11"/>
              <w:bidi w:val="0"/>
              <w:jc w:val="center"/>
              <w:rPr>
                <w:rFonts w:hint="eastAsia"/>
                <w:lang w:eastAsia="zh-CN"/>
              </w:rPr>
            </w:pPr>
            <w:r>
              <w:t>440</w:t>
            </w:r>
          </w:p>
        </w:tc>
        <w:tc>
          <w:tcPr>
            <w:tcW w:w="611" w:type="pct"/>
            <w:vAlign w:val="center"/>
          </w:tcPr>
          <w:p w14:paraId="2F0519DB">
            <w:pPr>
              <w:pStyle w:val="11"/>
              <w:bidi w:val="0"/>
              <w:jc w:val="center"/>
              <w:rPr>
                <w:rFonts w:hint="eastAsia"/>
                <w:lang w:eastAsia="zh-CN"/>
              </w:rPr>
            </w:pPr>
            <w:r>
              <w:t>73</w:t>
            </w:r>
          </w:p>
        </w:tc>
        <w:tc>
          <w:tcPr>
            <w:tcW w:w="407" w:type="pct"/>
            <w:vAlign w:val="center"/>
          </w:tcPr>
          <w:p w14:paraId="68E062DF">
            <w:pPr>
              <w:pStyle w:val="11"/>
              <w:bidi w:val="0"/>
              <w:jc w:val="center"/>
              <w:rPr>
                <w:rFonts w:hint="eastAsia" w:eastAsia="宋体"/>
                <w:lang w:eastAsia="zh-CN"/>
              </w:rPr>
            </w:pPr>
            <w:r>
              <w:t>65171</w:t>
            </w:r>
          </w:p>
        </w:tc>
        <w:tc>
          <w:tcPr>
            <w:tcW w:w="437" w:type="pct"/>
            <w:vAlign w:val="center"/>
          </w:tcPr>
          <w:p w14:paraId="0AB8367A">
            <w:pPr>
              <w:pStyle w:val="11"/>
              <w:bidi w:val="0"/>
              <w:jc w:val="center"/>
              <w:rPr>
                <w:rFonts w:hint="eastAsia"/>
                <w:lang w:eastAsia="zh-CN"/>
              </w:rPr>
            </w:pPr>
            <w:r>
              <w:t>0</w:t>
            </w:r>
          </w:p>
        </w:tc>
        <w:tc>
          <w:tcPr>
            <w:tcW w:w="615" w:type="pct"/>
            <w:vAlign w:val="center"/>
          </w:tcPr>
          <w:p w14:paraId="2D3C7B43">
            <w:pPr>
              <w:pStyle w:val="11"/>
              <w:bidi w:val="0"/>
              <w:jc w:val="center"/>
              <w:rPr>
                <w:rFonts w:hint="eastAsia"/>
                <w:lang w:eastAsia="zh-CN"/>
              </w:rPr>
            </w:pPr>
            <w:r>
              <w:t>0</w:t>
            </w:r>
          </w:p>
        </w:tc>
        <w:tc>
          <w:tcPr>
            <w:tcW w:w="381" w:type="pct"/>
            <w:vAlign w:val="center"/>
          </w:tcPr>
          <w:p w14:paraId="7F7647C0">
            <w:pPr>
              <w:pStyle w:val="11"/>
              <w:bidi w:val="0"/>
              <w:jc w:val="center"/>
              <w:rPr>
                <w:rFonts w:hint="eastAsia" w:eastAsia="宋体"/>
                <w:lang w:eastAsia="zh-CN"/>
              </w:rPr>
            </w:pPr>
            <w:r>
              <w:t>0.00</w:t>
            </w:r>
          </w:p>
        </w:tc>
      </w:tr>
      <w:tr w14:paraId="3B5DBF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4D791390">
            <w:pPr>
              <w:pStyle w:val="11"/>
              <w:bidi w:val="0"/>
              <w:jc w:val="both"/>
              <w:rPr>
                <w:rFonts w:hint="eastAsia"/>
                <w:lang w:eastAsia="zh-CN"/>
              </w:rPr>
            </w:pPr>
            <w:r>
              <w:rPr>
                <w:rFonts w:hint="eastAsia"/>
              </w:rPr>
              <w:t>交通运输、仓储和邮政业</w:t>
            </w:r>
          </w:p>
        </w:tc>
        <w:tc>
          <w:tcPr>
            <w:tcW w:w="605" w:type="pct"/>
            <w:vAlign w:val="center"/>
          </w:tcPr>
          <w:p w14:paraId="0ECB7DD8">
            <w:pPr>
              <w:pStyle w:val="11"/>
              <w:bidi w:val="0"/>
              <w:jc w:val="center"/>
              <w:rPr>
                <w:rFonts w:hint="eastAsia"/>
                <w:lang w:eastAsia="zh-CN"/>
              </w:rPr>
            </w:pPr>
            <w:r>
              <w:t>45</w:t>
            </w:r>
          </w:p>
        </w:tc>
        <w:tc>
          <w:tcPr>
            <w:tcW w:w="611" w:type="pct"/>
            <w:vAlign w:val="center"/>
          </w:tcPr>
          <w:p w14:paraId="19687F54">
            <w:pPr>
              <w:pStyle w:val="11"/>
              <w:bidi w:val="0"/>
              <w:jc w:val="center"/>
              <w:rPr>
                <w:rFonts w:hint="eastAsia"/>
                <w:lang w:eastAsia="zh-CN"/>
              </w:rPr>
            </w:pPr>
            <w:r>
              <w:t>9</w:t>
            </w:r>
          </w:p>
        </w:tc>
        <w:tc>
          <w:tcPr>
            <w:tcW w:w="407" w:type="pct"/>
            <w:vAlign w:val="center"/>
          </w:tcPr>
          <w:p w14:paraId="2264B4EC">
            <w:pPr>
              <w:pStyle w:val="11"/>
              <w:bidi w:val="0"/>
              <w:jc w:val="center"/>
              <w:rPr>
                <w:rFonts w:hint="eastAsia" w:eastAsia="宋体"/>
                <w:lang w:eastAsia="zh-CN"/>
              </w:rPr>
            </w:pPr>
            <w:r>
              <w:t>6567</w:t>
            </w:r>
          </w:p>
        </w:tc>
        <w:tc>
          <w:tcPr>
            <w:tcW w:w="437" w:type="pct"/>
            <w:vAlign w:val="center"/>
          </w:tcPr>
          <w:p w14:paraId="238A8E90">
            <w:pPr>
              <w:pStyle w:val="11"/>
              <w:bidi w:val="0"/>
              <w:jc w:val="center"/>
              <w:rPr>
                <w:rFonts w:hint="eastAsia"/>
                <w:lang w:eastAsia="zh-CN"/>
              </w:rPr>
            </w:pPr>
            <w:r>
              <w:t>0</w:t>
            </w:r>
          </w:p>
        </w:tc>
        <w:tc>
          <w:tcPr>
            <w:tcW w:w="615" w:type="pct"/>
            <w:vAlign w:val="center"/>
          </w:tcPr>
          <w:p w14:paraId="2E7528C3">
            <w:pPr>
              <w:pStyle w:val="11"/>
              <w:bidi w:val="0"/>
              <w:jc w:val="center"/>
              <w:rPr>
                <w:rFonts w:hint="eastAsia"/>
                <w:lang w:eastAsia="zh-CN"/>
              </w:rPr>
            </w:pPr>
            <w:r>
              <w:t>0</w:t>
            </w:r>
          </w:p>
        </w:tc>
        <w:tc>
          <w:tcPr>
            <w:tcW w:w="381" w:type="pct"/>
            <w:vAlign w:val="center"/>
          </w:tcPr>
          <w:p w14:paraId="45028F8B">
            <w:pPr>
              <w:pStyle w:val="11"/>
              <w:bidi w:val="0"/>
              <w:jc w:val="center"/>
              <w:rPr>
                <w:rFonts w:hint="eastAsia" w:eastAsia="宋体"/>
                <w:lang w:eastAsia="zh-CN"/>
              </w:rPr>
            </w:pPr>
            <w:r>
              <w:t>0.00</w:t>
            </w:r>
          </w:p>
        </w:tc>
      </w:tr>
      <w:tr w14:paraId="20F609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2030DA13">
            <w:pPr>
              <w:pStyle w:val="11"/>
              <w:bidi w:val="0"/>
              <w:jc w:val="both"/>
              <w:rPr>
                <w:rFonts w:hint="eastAsia"/>
                <w:lang w:eastAsia="zh-CN"/>
              </w:rPr>
            </w:pPr>
            <w:r>
              <w:rPr>
                <w:rFonts w:hint="eastAsia"/>
              </w:rPr>
              <w:t>住宿和餐饮业</w:t>
            </w:r>
          </w:p>
        </w:tc>
        <w:tc>
          <w:tcPr>
            <w:tcW w:w="605" w:type="pct"/>
            <w:vAlign w:val="center"/>
          </w:tcPr>
          <w:p w14:paraId="4C208E38">
            <w:pPr>
              <w:pStyle w:val="11"/>
              <w:bidi w:val="0"/>
              <w:jc w:val="center"/>
              <w:rPr>
                <w:rFonts w:hint="eastAsia"/>
                <w:lang w:eastAsia="zh-CN"/>
              </w:rPr>
            </w:pPr>
            <w:r>
              <w:t>34</w:t>
            </w:r>
          </w:p>
        </w:tc>
        <w:tc>
          <w:tcPr>
            <w:tcW w:w="611" w:type="pct"/>
            <w:vAlign w:val="center"/>
          </w:tcPr>
          <w:p w14:paraId="4F8860D6">
            <w:pPr>
              <w:pStyle w:val="11"/>
              <w:bidi w:val="0"/>
              <w:jc w:val="center"/>
              <w:rPr>
                <w:rFonts w:hint="eastAsia"/>
                <w:lang w:eastAsia="zh-CN"/>
              </w:rPr>
            </w:pPr>
            <w:r>
              <w:t>2</w:t>
            </w:r>
          </w:p>
        </w:tc>
        <w:tc>
          <w:tcPr>
            <w:tcW w:w="407" w:type="pct"/>
            <w:vAlign w:val="center"/>
          </w:tcPr>
          <w:p w14:paraId="49E4FBD1">
            <w:pPr>
              <w:pStyle w:val="11"/>
              <w:bidi w:val="0"/>
              <w:jc w:val="center"/>
              <w:rPr>
                <w:rFonts w:hint="eastAsia" w:eastAsia="宋体"/>
                <w:lang w:eastAsia="zh-CN"/>
              </w:rPr>
            </w:pPr>
            <w:r>
              <w:t>2141</w:t>
            </w:r>
          </w:p>
        </w:tc>
        <w:tc>
          <w:tcPr>
            <w:tcW w:w="437" w:type="pct"/>
            <w:vAlign w:val="center"/>
          </w:tcPr>
          <w:p w14:paraId="1B53C4BC">
            <w:pPr>
              <w:pStyle w:val="11"/>
              <w:bidi w:val="0"/>
              <w:jc w:val="center"/>
              <w:rPr>
                <w:rFonts w:hint="eastAsia"/>
                <w:lang w:eastAsia="zh-CN"/>
              </w:rPr>
            </w:pPr>
            <w:r>
              <w:t>0</w:t>
            </w:r>
          </w:p>
        </w:tc>
        <w:tc>
          <w:tcPr>
            <w:tcW w:w="615" w:type="pct"/>
            <w:vAlign w:val="center"/>
          </w:tcPr>
          <w:p w14:paraId="406C053E">
            <w:pPr>
              <w:pStyle w:val="11"/>
              <w:bidi w:val="0"/>
              <w:jc w:val="center"/>
              <w:rPr>
                <w:rFonts w:hint="eastAsia"/>
                <w:lang w:eastAsia="zh-CN"/>
              </w:rPr>
            </w:pPr>
            <w:r>
              <w:t>0</w:t>
            </w:r>
          </w:p>
        </w:tc>
        <w:tc>
          <w:tcPr>
            <w:tcW w:w="381" w:type="pct"/>
            <w:vAlign w:val="center"/>
          </w:tcPr>
          <w:p w14:paraId="26877D37">
            <w:pPr>
              <w:pStyle w:val="11"/>
              <w:bidi w:val="0"/>
              <w:jc w:val="center"/>
              <w:rPr>
                <w:rFonts w:hint="eastAsia" w:eastAsia="宋体"/>
                <w:lang w:eastAsia="zh-CN"/>
              </w:rPr>
            </w:pPr>
            <w:r>
              <w:t>0.00</w:t>
            </w:r>
          </w:p>
        </w:tc>
      </w:tr>
      <w:tr w14:paraId="0266DD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3128276D">
            <w:pPr>
              <w:pStyle w:val="11"/>
              <w:bidi w:val="0"/>
              <w:jc w:val="both"/>
              <w:rPr>
                <w:rFonts w:hint="eastAsia"/>
                <w:lang w:eastAsia="zh-CN"/>
              </w:rPr>
            </w:pPr>
            <w:r>
              <w:rPr>
                <w:rFonts w:hint="eastAsia"/>
              </w:rPr>
              <w:t>信息传输、软件和信息技术服务业</w:t>
            </w:r>
          </w:p>
        </w:tc>
        <w:tc>
          <w:tcPr>
            <w:tcW w:w="605" w:type="pct"/>
            <w:vAlign w:val="center"/>
          </w:tcPr>
          <w:p w14:paraId="44278DDA">
            <w:pPr>
              <w:pStyle w:val="11"/>
              <w:bidi w:val="0"/>
              <w:jc w:val="center"/>
              <w:rPr>
                <w:rFonts w:hint="eastAsia"/>
                <w:lang w:eastAsia="zh-CN"/>
              </w:rPr>
            </w:pPr>
            <w:r>
              <w:t>63</w:t>
            </w:r>
          </w:p>
        </w:tc>
        <w:tc>
          <w:tcPr>
            <w:tcW w:w="611" w:type="pct"/>
            <w:vAlign w:val="center"/>
          </w:tcPr>
          <w:p w14:paraId="669DFE79">
            <w:pPr>
              <w:pStyle w:val="11"/>
              <w:bidi w:val="0"/>
              <w:jc w:val="center"/>
              <w:rPr>
                <w:rFonts w:hint="eastAsia"/>
                <w:lang w:eastAsia="zh-CN"/>
              </w:rPr>
            </w:pPr>
            <w:r>
              <w:t>2</w:t>
            </w:r>
          </w:p>
        </w:tc>
        <w:tc>
          <w:tcPr>
            <w:tcW w:w="407" w:type="pct"/>
            <w:vAlign w:val="center"/>
          </w:tcPr>
          <w:p w14:paraId="6C3800CE">
            <w:pPr>
              <w:pStyle w:val="11"/>
              <w:bidi w:val="0"/>
              <w:jc w:val="center"/>
              <w:rPr>
                <w:rFonts w:hint="eastAsia" w:eastAsia="宋体"/>
                <w:lang w:eastAsia="zh-CN"/>
              </w:rPr>
            </w:pPr>
            <w:r>
              <w:t>8691</w:t>
            </w:r>
          </w:p>
        </w:tc>
        <w:tc>
          <w:tcPr>
            <w:tcW w:w="437" w:type="pct"/>
            <w:vAlign w:val="center"/>
          </w:tcPr>
          <w:p w14:paraId="5B626125">
            <w:pPr>
              <w:pStyle w:val="11"/>
              <w:bidi w:val="0"/>
              <w:jc w:val="center"/>
              <w:rPr>
                <w:rFonts w:hint="eastAsia"/>
                <w:lang w:eastAsia="zh-CN"/>
              </w:rPr>
            </w:pPr>
            <w:r>
              <w:t>0</w:t>
            </w:r>
          </w:p>
        </w:tc>
        <w:tc>
          <w:tcPr>
            <w:tcW w:w="615" w:type="pct"/>
            <w:vAlign w:val="center"/>
          </w:tcPr>
          <w:p w14:paraId="56990A65">
            <w:pPr>
              <w:pStyle w:val="11"/>
              <w:bidi w:val="0"/>
              <w:jc w:val="center"/>
              <w:rPr>
                <w:rFonts w:hint="eastAsia"/>
                <w:lang w:eastAsia="zh-CN"/>
              </w:rPr>
            </w:pPr>
            <w:r>
              <w:t>0</w:t>
            </w:r>
          </w:p>
        </w:tc>
        <w:tc>
          <w:tcPr>
            <w:tcW w:w="381" w:type="pct"/>
            <w:vAlign w:val="center"/>
          </w:tcPr>
          <w:p w14:paraId="706D5F2F">
            <w:pPr>
              <w:pStyle w:val="11"/>
              <w:bidi w:val="0"/>
              <w:jc w:val="center"/>
              <w:rPr>
                <w:rFonts w:hint="eastAsia" w:eastAsia="宋体"/>
                <w:lang w:eastAsia="zh-CN"/>
              </w:rPr>
            </w:pPr>
            <w:r>
              <w:t>0.00</w:t>
            </w:r>
          </w:p>
        </w:tc>
      </w:tr>
      <w:tr w14:paraId="1C8BC9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35CCFF36">
            <w:pPr>
              <w:pStyle w:val="11"/>
              <w:bidi w:val="0"/>
              <w:jc w:val="both"/>
              <w:rPr>
                <w:rFonts w:hint="eastAsia"/>
                <w:lang w:eastAsia="zh-CN"/>
              </w:rPr>
            </w:pPr>
            <w:r>
              <w:rPr>
                <w:rFonts w:hint="eastAsia"/>
              </w:rPr>
              <w:t>金融业</w:t>
            </w:r>
          </w:p>
        </w:tc>
        <w:tc>
          <w:tcPr>
            <w:tcW w:w="605" w:type="pct"/>
            <w:vAlign w:val="center"/>
          </w:tcPr>
          <w:p w14:paraId="32B43F86">
            <w:pPr>
              <w:pStyle w:val="11"/>
              <w:bidi w:val="0"/>
              <w:jc w:val="center"/>
              <w:rPr>
                <w:rFonts w:hint="eastAsia"/>
                <w:lang w:eastAsia="zh-CN"/>
              </w:rPr>
            </w:pPr>
            <w:r>
              <w:t>8</w:t>
            </w:r>
          </w:p>
        </w:tc>
        <w:tc>
          <w:tcPr>
            <w:tcW w:w="611" w:type="pct"/>
            <w:vAlign w:val="center"/>
          </w:tcPr>
          <w:p w14:paraId="28980A5E">
            <w:pPr>
              <w:pStyle w:val="11"/>
              <w:bidi w:val="0"/>
              <w:jc w:val="center"/>
              <w:rPr>
                <w:rFonts w:hint="eastAsia"/>
                <w:lang w:eastAsia="zh-CN"/>
              </w:rPr>
            </w:pPr>
            <w:r>
              <w:t>6</w:t>
            </w:r>
          </w:p>
        </w:tc>
        <w:tc>
          <w:tcPr>
            <w:tcW w:w="407" w:type="pct"/>
            <w:vAlign w:val="center"/>
          </w:tcPr>
          <w:p w14:paraId="141BA59A">
            <w:pPr>
              <w:pStyle w:val="11"/>
              <w:bidi w:val="0"/>
              <w:jc w:val="center"/>
              <w:rPr>
                <w:rFonts w:hint="eastAsia" w:eastAsia="宋体"/>
                <w:lang w:eastAsia="zh-CN"/>
              </w:rPr>
            </w:pPr>
            <w:r>
              <w:t>1700</w:t>
            </w:r>
          </w:p>
        </w:tc>
        <w:tc>
          <w:tcPr>
            <w:tcW w:w="437" w:type="pct"/>
            <w:vAlign w:val="center"/>
          </w:tcPr>
          <w:p w14:paraId="52EED7D4">
            <w:pPr>
              <w:pStyle w:val="11"/>
              <w:bidi w:val="0"/>
              <w:jc w:val="center"/>
              <w:rPr>
                <w:rFonts w:hint="eastAsia"/>
                <w:lang w:eastAsia="zh-CN"/>
              </w:rPr>
            </w:pPr>
            <w:r>
              <w:t>0</w:t>
            </w:r>
          </w:p>
        </w:tc>
        <w:tc>
          <w:tcPr>
            <w:tcW w:w="615" w:type="pct"/>
            <w:vAlign w:val="center"/>
          </w:tcPr>
          <w:p w14:paraId="4A51E18C">
            <w:pPr>
              <w:pStyle w:val="11"/>
              <w:bidi w:val="0"/>
              <w:jc w:val="center"/>
              <w:rPr>
                <w:rFonts w:hint="eastAsia"/>
                <w:lang w:eastAsia="zh-CN"/>
              </w:rPr>
            </w:pPr>
            <w:r>
              <w:t>0</w:t>
            </w:r>
          </w:p>
        </w:tc>
        <w:tc>
          <w:tcPr>
            <w:tcW w:w="381" w:type="pct"/>
            <w:vAlign w:val="center"/>
          </w:tcPr>
          <w:p w14:paraId="7B25DC3A">
            <w:pPr>
              <w:pStyle w:val="11"/>
              <w:bidi w:val="0"/>
              <w:jc w:val="center"/>
              <w:rPr>
                <w:rFonts w:hint="eastAsia" w:eastAsia="宋体"/>
                <w:lang w:eastAsia="zh-CN"/>
              </w:rPr>
            </w:pPr>
            <w:r>
              <w:t>0.00</w:t>
            </w:r>
          </w:p>
        </w:tc>
      </w:tr>
      <w:tr w14:paraId="4FEA9C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347A4856">
            <w:pPr>
              <w:pStyle w:val="11"/>
              <w:bidi w:val="0"/>
              <w:jc w:val="both"/>
              <w:rPr>
                <w:rFonts w:hint="eastAsia"/>
                <w:lang w:eastAsia="zh-CN"/>
              </w:rPr>
            </w:pPr>
            <w:r>
              <w:rPr>
                <w:rFonts w:hint="eastAsia"/>
              </w:rPr>
              <w:t>房地产业</w:t>
            </w:r>
          </w:p>
        </w:tc>
        <w:tc>
          <w:tcPr>
            <w:tcW w:w="605" w:type="pct"/>
            <w:vAlign w:val="center"/>
          </w:tcPr>
          <w:p w14:paraId="56EB334E">
            <w:pPr>
              <w:pStyle w:val="11"/>
              <w:bidi w:val="0"/>
              <w:jc w:val="center"/>
              <w:rPr>
                <w:rFonts w:hint="eastAsia"/>
                <w:lang w:eastAsia="zh-CN"/>
              </w:rPr>
            </w:pPr>
            <w:r>
              <w:t>95</w:t>
            </w:r>
          </w:p>
        </w:tc>
        <w:tc>
          <w:tcPr>
            <w:tcW w:w="611" w:type="pct"/>
            <w:vAlign w:val="center"/>
          </w:tcPr>
          <w:p w14:paraId="496B2809">
            <w:pPr>
              <w:pStyle w:val="11"/>
              <w:bidi w:val="0"/>
              <w:jc w:val="center"/>
              <w:rPr>
                <w:rFonts w:hint="eastAsia"/>
                <w:lang w:eastAsia="zh-CN"/>
              </w:rPr>
            </w:pPr>
            <w:r>
              <w:t>3</w:t>
            </w:r>
          </w:p>
        </w:tc>
        <w:tc>
          <w:tcPr>
            <w:tcW w:w="407" w:type="pct"/>
            <w:vAlign w:val="center"/>
          </w:tcPr>
          <w:p w14:paraId="6002104E">
            <w:pPr>
              <w:pStyle w:val="11"/>
              <w:bidi w:val="0"/>
              <w:jc w:val="center"/>
              <w:rPr>
                <w:rFonts w:hint="eastAsia" w:eastAsia="宋体"/>
                <w:lang w:eastAsia="zh-CN"/>
              </w:rPr>
            </w:pPr>
            <w:r>
              <w:t>48276</w:t>
            </w:r>
          </w:p>
        </w:tc>
        <w:tc>
          <w:tcPr>
            <w:tcW w:w="437" w:type="pct"/>
            <w:vAlign w:val="center"/>
          </w:tcPr>
          <w:p w14:paraId="02ACC61F">
            <w:pPr>
              <w:pStyle w:val="11"/>
              <w:bidi w:val="0"/>
              <w:jc w:val="center"/>
              <w:rPr>
                <w:rFonts w:hint="eastAsia"/>
                <w:lang w:eastAsia="zh-CN"/>
              </w:rPr>
            </w:pPr>
            <w:r>
              <w:t>0</w:t>
            </w:r>
          </w:p>
        </w:tc>
        <w:tc>
          <w:tcPr>
            <w:tcW w:w="615" w:type="pct"/>
            <w:vAlign w:val="center"/>
          </w:tcPr>
          <w:p w14:paraId="45E65FE0">
            <w:pPr>
              <w:pStyle w:val="11"/>
              <w:bidi w:val="0"/>
              <w:jc w:val="center"/>
              <w:rPr>
                <w:rFonts w:hint="eastAsia"/>
                <w:lang w:eastAsia="zh-CN"/>
              </w:rPr>
            </w:pPr>
            <w:r>
              <w:t>0</w:t>
            </w:r>
          </w:p>
        </w:tc>
        <w:tc>
          <w:tcPr>
            <w:tcW w:w="381" w:type="pct"/>
            <w:vAlign w:val="center"/>
          </w:tcPr>
          <w:p w14:paraId="70843514">
            <w:pPr>
              <w:pStyle w:val="11"/>
              <w:bidi w:val="0"/>
              <w:jc w:val="center"/>
              <w:rPr>
                <w:rFonts w:hint="eastAsia" w:eastAsia="宋体"/>
                <w:lang w:eastAsia="zh-CN"/>
              </w:rPr>
            </w:pPr>
            <w:r>
              <w:t>0.00</w:t>
            </w:r>
          </w:p>
        </w:tc>
      </w:tr>
      <w:tr w14:paraId="1FBBA6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0D7DA60D">
            <w:pPr>
              <w:pStyle w:val="11"/>
              <w:bidi w:val="0"/>
              <w:jc w:val="both"/>
              <w:rPr>
                <w:rFonts w:hint="eastAsia"/>
                <w:lang w:eastAsia="zh-CN"/>
              </w:rPr>
            </w:pPr>
            <w:r>
              <w:rPr>
                <w:rFonts w:hint="eastAsia"/>
              </w:rPr>
              <w:t>租赁和商务服务业</w:t>
            </w:r>
          </w:p>
        </w:tc>
        <w:tc>
          <w:tcPr>
            <w:tcW w:w="605" w:type="pct"/>
            <w:vAlign w:val="center"/>
          </w:tcPr>
          <w:p w14:paraId="5A222CA1">
            <w:pPr>
              <w:pStyle w:val="11"/>
              <w:bidi w:val="0"/>
              <w:jc w:val="center"/>
              <w:rPr>
                <w:rFonts w:hint="eastAsia"/>
                <w:lang w:eastAsia="zh-CN"/>
              </w:rPr>
            </w:pPr>
            <w:r>
              <w:t>181</w:t>
            </w:r>
          </w:p>
        </w:tc>
        <w:tc>
          <w:tcPr>
            <w:tcW w:w="611" w:type="pct"/>
            <w:vAlign w:val="center"/>
          </w:tcPr>
          <w:p w14:paraId="10F1A5CD">
            <w:pPr>
              <w:pStyle w:val="11"/>
              <w:bidi w:val="0"/>
              <w:jc w:val="center"/>
              <w:rPr>
                <w:rFonts w:hint="eastAsia"/>
                <w:lang w:eastAsia="zh-CN"/>
              </w:rPr>
            </w:pPr>
            <w:r>
              <w:t>21</w:t>
            </w:r>
          </w:p>
        </w:tc>
        <w:tc>
          <w:tcPr>
            <w:tcW w:w="407" w:type="pct"/>
            <w:vAlign w:val="center"/>
          </w:tcPr>
          <w:p w14:paraId="562E3FD5">
            <w:pPr>
              <w:pStyle w:val="11"/>
              <w:bidi w:val="0"/>
              <w:jc w:val="center"/>
              <w:rPr>
                <w:rFonts w:hint="eastAsia" w:eastAsia="宋体"/>
                <w:lang w:eastAsia="zh-CN"/>
              </w:rPr>
            </w:pPr>
            <w:r>
              <w:t>83447</w:t>
            </w:r>
          </w:p>
        </w:tc>
        <w:tc>
          <w:tcPr>
            <w:tcW w:w="437" w:type="pct"/>
            <w:vAlign w:val="center"/>
          </w:tcPr>
          <w:p w14:paraId="0C5F9741">
            <w:pPr>
              <w:pStyle w:val="11"/>
              <w:bidi w:val="0"/>
              <w:jc w:val="center"/>
              <w:rPr>
                <w:rFonts w:hint="eastAsia"/>
                <w:lang w:eastAsia="zh-CN"/>
              </w:rPr>
            </w:pPr>
            <w:r>
              <w:t>0</w:t>
            </w:r>
          </w:p>
        </w:tc>
        <w:tc>
          <w:tcPr>
            <w:tcW w:w="615" w:type="pct"/>
            <w:vAlign w:val="center"/>
          </w:tcPr>
          <w:p w14:paraId="06263FE6">
            <w:pPr>
              <w:pStyle w:val="11"/>
              <w:bidi w:val="0"/>
              <w:jc w:val="center"/>
              <w:rPr>
                <w:rFonts w:hint="eastAsia"/>
                <w:lang w:eastAsia="zh-CN"/>
              </w:rPr>
            </w:pPr>
            <w:r>
              <w:t>0</w:t>
            </w:r>
          </w:p>
        </w:tc>
        <w:tc>
          <w:tcPr>
            <w:tcW w:w="381" w:type="pct"/>
            <w:vAlign w:val="center"/>
          </w:tcPr>
          <w:p w14:paraId="1E77FDFF">
            <w:pPr>
              <w:pStyle w:val="11"/>
              <w:bidi w:val="0"/>
              <w:jc w:val="center"/>
              <w:rPr>
                <w:rFonts w:hint="eastAsia" w:eastAsia="宋体"/>
                <w:lang w:eastAsia="zh-CN"/>
              </w:rPr>
            </w:pPr>
            <w:r>
              <w:t>0.00</w:t>
            </w:r>
          </w:p>
        </w:tc>
      </w:tr>
      <w:tr w14:paraId="21B5D0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5769AE01">
            <w:pPr>
              <w:pStyle w:val="11"/>
              <w:bidi w:val="0"/>
              <w:jc w:val="both"/>
              <w:rPr>
                <w:rFonts w:hint="eastAsia"/>
                <w:lang w:eastAsia="zh-CN"/>
              </w:rPr>
            </w:pPr>
            <w:r>
              <w:rPr>
                <w:rFonts w:hint="eastAsia"/>
              </w:rPr>
              <w:t>科学研究和技术服务业</w:t>
            </w:r>
          </w:p>
        </w:tc>
        <w:tc>
          <w:tcPr>
            <w:tcW w:w="605" w:type="pct"/>
            <w:vAlign w:val="center"/>
          </w:tcPr>
          <w:p w14:paraId="27B66BCF">
            <w:pPr>
              <w:pStyle w:val="11"/>
              <w:bidi w:val="0"/>
              <w:jc w:val="center"/>
              <w:rPr>
                <w:rFonts w:hint="eastAsia"/>
                <w:lang w:eastAsia="zh-CN"/>
              </w:rPr>
            </w:pPr>
            <w:r>
              <w:t>36</w:t>
            </w:r>
          </w:p>
        </w:tc>
        <w:tc>
          <w:tcPr>
            <w:tcW w:w="611" w:type="pct"/>
            <w:vAlign w:val="center"/>
          </w:tcPr>
          <w:p w14:paraId="32E1827D">
            <w:pPr>
              <w:pStyle w:val="11"/>
              <w:bidi w:val="0"/>
              <w:jc w:val="center"/>
              <w:rPr>
                <w:rFonts w:hint="eastAsia"/>
                <w:lang w:eastAsia="zh-CN"/>
              </w:rPr>
            </w:pPr>
            <w:r>
              <w:t>7</w:t>
            </w:r>
          </w:p>
        </w:tc>
        <w:tc>
          <w:tcPr>
            <w:tcW w:w="407" w:type="pct"/>
            <w:vAlign w:val="center"/>
          </w:tcPr>
          <w:p w14:paraId="7DB6E037">
            <w:pPr>
              <w:pStyle w:val="11"/>
              <w:bidi w:val="0"/>
              <w:jc w:val="center"/>
              <w:rPr>
                <w:rFonts w:hint="eastAsia" w:eastAsia="宋体"/>
                <w:lang w:eastAsia="zh-CN"/>
              </w:rPr>
            </w:pPr>
            <w:r>
              <w:t>13099</w:t>
            </w:r>
          </w:p>
        </w:tc>
        <w:tc>
          <w:tcPr>
            <w:tcW w:w="437" w:type="pct"/>
            <w:vAlign w:val="center"/>
          </w:tcPr>
          <w:p w14:paraId="2CE83719">
            <w:pPr>
              <w:pStyle w:val="11"/>
              <w:bidi w:val="0"/>
              <w:jc w:val="center"/>
              <w:rPr>
                <w:rFonts w:hint="eastAsia"/>
                <w:lang w:eastAsia="zh-CN"/>
              </w:rPr>
            </w:pPr>
            <w:r>
              <w:t>0</w:t>
            </w:r>
          </w:p>
        </w:tc>
        <w:tc>
          <w:tcPr>
            <w:tcW w:w="615" w:type="pct"/>
            <w:vAlign w:val="center"/>
          </w:tcPr>
          <w:p w14:paraId="61DBA66E">
            <w:pPr>
              <w:pStyle w:val="11"/>
              <w:bidi w:val="0"/>
              <w:jc w:val="center"/>
              <w:rPr>
                <w:rFonts w:hint="eastAsia"/>
                <w:lang w:eastAsia="zh-CN"/>
              </w:rPr>
            </w:pPr>
            <w:r>
              <w:t>0</w:t>
            </w:r>
          </w:p>
        </w:tc>
        <w:tc>
          <w:tcPr>
            <w:tcW w:w="381" w:type="pct"/>
            <w:vAlign w:val="center"/>
          </w:tcPr>
          <w:p w14:paraId="1E879E0E">
            <w:pPr>
              <w:pStyle w:val="11"/>
              <w:bidi w:val="0"/>
              <w:jc w:val="center"/>
              <w:rPr>
                <w:rFonts w:hint="eastAsia" w:eastAsia="宋体"/>
                <w:lang w:eastAsia="zh-CN"/>
              </w:rPr>
            </w:pPr>
            <w:r>
              <w:t>0.00</w:t>
            </w:r>
          </w:p>
        </w:tc>
      </w:tr>
      <w:tr w14:paraId="311858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29CD8D98">
            <w:pPr>
              <w:pStyle w:val="11"/>
              <w:bidi w:val="0"/>
              <w:jc w:val="both"/>
              <w:rPr>
                <w:rFonts w:hint="eastAsia"/>
                <w:lang w:eastAsia="zh-CN"/>
              </w:rPr>
            </w:pPr>
            <w:r>
              <w:rPr>
                <w:rFonts w:hint="eastAsia"/>
              </w:rPr>
              <w:t>水利、环境和公共设施管理业</w:t>
            </w:r>
          </w:p>
        </w:tc>
        <w:tc>
          <w:tcPr>
            <w:tcW w:w="605" w:type="pct"/>
            <w:vAlign w:val="center"/>
          </w:tcPr>
          <w:p w14:paraId="16FE1851">
            <w:pPr>
              <w:pStyle w:val="11"/>
              <w:bidi w:val="0"/>
              <w:jc w:val="center"/>
              <w:rPr>
                <w:rFonts w:hint="eastAsia"/>
                <w:lang w:eastAsia="zh-CN"/>
              </w:rPr>
            </w:pPr>
            <w:r>
              <w:t>20</w:t>
            </w:r>
          </w:p>
        </w:tc>
        <w:tc>
          <w:tcPr>
            <w:tcW w:w="611" w:type="pct"/>
            <w:vAlign w:val="center"/>
          </w:tcPr>
          <w:p w14:paraId="45276B4F">
            <w:pPr>
              <w:pStyle w:val="11"/>
              <w:bidi w:val="0"/>
              <w:jc w:val="center"/>
              <w:rPr>
                <w:rFonts w:hint="eastAsia"/>
                <w:lang w:eastAsia="zh-CN"/>
              </w:rPr>
            </w:pPr>
            <w:r>
              <w:t>2</w:t>
            </w:r>
          </w:p>
        </w:tc>
        <w:tc>
          <w:tcPr>
            <w:tcW w:w="407" w:type="pct"/>
            <w:vAlign w:val="center"/>
          </w:tcPr>
          <w:p w14:paraId="182D8290">
            <w:pPr>
              <w:pStyle w:val="11"/>
              <w:bidi w:val="0"/>
              <w:jc w:val="center"/>
              <w:rPr>
                <w:rFonts w:hint="eastAsia" w:eastAsia="宋体"/>
                <w:lang w:eastAsia="zh-CN"/>
              </w:rPr>
            </w:pPr>
            <w:r>
              <w:t>6473</w:t>
            </w:r>
          </w:p>
        </w:tc>
        <w:tc>
          <w:tcPr>
            <w:tcW w:w="437" w:type="pct"/>
            <w:vAlign w:val="center"/>
          </w:tcPr>
          <w:p w14:paraId="2568DE26">
            <w:pPr>
              <w:pStyle w:val="11"/>
              <w:bidi w:val="0"/>
              <w:jc w:val="center"/>
              <w:rPr>
                <w:rFonts w:hint="eastAsia"/>
                <w:lang w:eastAsia="zh-CN"/>
              </w:rPr>
            </w:pPr>
            <w:r>
              <w:t>0</w:t>
            </w:r>
          </w:p>
        </w:tc>
        <w:tc>
          <w:tcPr>
            <w:tcW w:w="615" w:type="pct"/>
            <w:vAlign w:val="center"/>
          </w:tcPr>
          <w:p w14:paraId="2DBB1570">
            <w:pPr>
              <w:pStyle w:val="11"/>
              <w:bidi w:val="0"/>
              <w:jc w:val="center"/>
              <w:rPr>
                <w:rFonts w:hint="eastAsia"/>
                <w:lang w:eastAsia="zh-CN"/>
              </w:rPr>
            </w:pPr>
            <w:r>
              <w:t>0</w:t>
            </w:r>
          </w:p>
        </w:tc>
        <w:tc>
          <w:tcPr>
            <w:tcW w:w="381" w:type="pct"/>
            <w:vAlign w:val="center"/>
          </w:tcPr>
          <w:p w14:paraId="5C75A3B5">
            <w:pPr>
              <w:pStyle w:val="11"/>
              <w:bidi w:val="0"/>
              <w:jc w:val="center"/>
              <w:rPr>
                <w:rFonts w:hint="eastAsia" w:eastAsia="宋体"/>
                <w:lang w:eastAsia="zh-CN"/>
              </w:rPr>
            </w:pPr>
            <w:r>
              <w:t>0.00</w:t>
            </w:r>
          </w:p>
        </w:tc>
      </w:tr>
      <w:tr w14:paraId="62CC8B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0BB98866">
            <w:pPr>
              <w:pStyle w:val="11"/>
              <w:bidi w:val="0"/>
              <w:jc w:val="both"/>
              <w:rPr>
                <w:rFonts w:hint="eastAsia"/>
                <w:lang w:eastAsia="zh-CN"/>
              </w:rPr>
            </w:pPr>
            <w:r>
              <w:rPr>
                <w:rFonts w:hint="eastAsia"/>
              </w:rPr>
              <w:t>居民服务、修理和其他服务业</w:t>
            </w:r>
          </w:p>
        </w:tc>
        <w:tc>
          <w:tcPr>
            <w:tcW w:w="605" w:type="pct"/>
            <w:vAlign w:val="center"/>
          </w:tcPr>
          <w:p w14:paraId="2A751BC6">
            <w:pPr>
              <w:pStyle w:val="11"/>
              <w:bidi w:val="0"/>
              <w:jc w:val="center"/>
              <w:rPr>
                <w:rFonts w:hint="eastAsia"/>
                <w:lang w:eastAsia="zh-CN"/>
              </w:rPr>
            </w:pPr>
            <w:r>
              <w:t>43</w:t>
            </w:r>
          </w:p>
        </w:tc>
        <w:tc>
          <w:tcPr>
            <w:tcW w:w="611" w:type="pct"/>
            <w:vAlign w:val="center"/>
          </w:tcPr>
          <w:p w14:paraId="1277CD3C">
            <w:pPr>
              <w:pStyle w:val="11"/>
              <w:bidi w:val="0"/>
              <w:jc w:val="center"/>
              <w:rPr>
                <w:rFonts w:hint="eastAsia"/>
                <w:lang w:eastAsia="zh-CN"/>
              </w:rPr>
            </w:pPr>
            <w:r>
              <w:t>2</w:t>
            </w:r>
          </w:p>
        </w:tc>
        <w:tc>
          <w:tcPr>
            <w:tcW w:w="407" w:type="pct"/>
            <w:vAlign w:val="center"/>
          </w:tcPr>
          <w:p w14:paraId="32F52B47">
            <w:pPr>
              <w:pStyle w:val="11"/>
              <w:bidi w:val="0"/>
              <w:jc w:val="center"/>
              <w:rPr>
                <w:rFonts w:hint="eastAsia" w:eastAsia="宋体"/>
                <w:lang w:eastAsia="zh-CN"/>
              </w:rPr>
            </w:pPr>
            <w:r>
              <w:t>4798</w:t>
            </w:r>
          </w:p>
        </w:tc>
        <w:tc>
          <w:tcPr>
            <w:tcW w:w="437" w:type="pct"/>
            <w:vAlign w:val="center"/>
          </w:tcPr>
          <w:p w14:paraId="43AAB237">
            <w:pPr>
              <w:pStyle w:val="11"/>
              <w:bidi w:val="0"/>
              <w:jc w:val="center"/>
              <w:rPr>
                <w:rFonts w:hint="eastAsia"/>
                <w:lang w:eastAsia="zh-CN"/>
              </w:rPr>
            </w:pPr>
            <w:r>
              <w:t>0</w:t>
            </w:r>
          </w:p>
        </w:tc>
        <w:tc>
          <w:tcPr>
            <w:tcW w:w="615" w:type="pct"/>
            <w:vAlign w:val="center"/>
          </w:tcPr>
          <w:p w14:paraId="7030B29B">
            <w:pPr>
              <w:pStyle w:val="11"/>
              <w:bidi w:val="0"/>
              <w:jc w:val="center"/>
              <w:rPr>
                <w:rFonts w:hint="eastAsia"/>
                <w:lang w:eastAsia="zh-CN"/>
              </w:rPr>
            </w:pPr>
            <w:r>
              <w:t>0</w:t>
            </w:r>
          </w:p>
        </w:tc>
        <w:tc>
          <w:tcPr>
            <w:tcW w:w="381" w:type="pct"/>
            <w:vAlign w:val="center"/>
          </w:tcPr>
          <w:p w14:paraId="54C18098">
            <w:pPr>
              <w:pStyle w:val="11"/>
              <w:bidi w:val="0"/>
              <w:jc w:val="center"/>
              <w:rPr>
                <w:rFonts w:hint="eastAsia" w:eastAsia="宋体"/>
                <w:lang w:eastAsia="zh-CN"/>
              </w:rPr>
            </w:pPr>
            <w:r>
              <w:t>0.00</w:t>
            </w:r>
          </w:p>
        </w:tc>
      </w:tr>
      <w:tr w14:paraId="61C133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7965DDC7">
            <w:pPr>
              <w:pStyle w:val="11"/>
              <w:bidi w:val="0"/>
              <w:jc w:val="both"/>
              <w:rPr>
                <w:rFonts w:hint="eastAsia"/>
                <w:lang w:eastAsia="zh-CN"/>
              </w:rPr>
            </w:pPr>
            <w:r>
              <w:rPr>
                <w:rFonts w:hint="eastAsia"/>
              </w:rPr>
              <w:t>教育</w:t>
            </w:r>
          </w:p>
        </w:tc>
        <w:tc>
          <w:tcPr>
            <w:tcW w:w="605" w:type="pct"/>
            <w:vAlign w:val="center"/>
          </w:tcPr>
          <w:p w14:paraId="73E9D64B">
            <w:pPr>
              <w:pStyle w:val="11"/>
              <w:bidi w:val="0"/>
              <w:jc w:val="center"/>
              <w:rPr>
                <w:rFonts w:hint="eastAsia"/>
                <w:lang w:eastAsia="zh-CN"/>
              </w:rPr>
            </w:pPr>
            <w:r>
              <w:t>13</w:t>
            </w:r>
          </w:p>
        </w:tc>
        <w:tc>
          <w:tcPr>
            <w:tcW w:w="611" w:type="pct"/>
            <w:vAlign w:val="center"/>
          </w:tcPr>
          <w:p w14:paraId="49845730">
            <w:pPr>
              <w:pStyle w:val="11"/>
              <w:bidi w:val="0"/>
              <w:jc w:val="center"/>
              <w:rPr>
                <w:rFonts w:hint="eastAsia"/>
                <w:lang w:eastAsia="zh-CN"/>
              </w:rPr>
            </w:pPr>
            <w:r>
              <w:t>1</w:t>
            </w:r>
          </w:p>
        </w:tc>
        <w:tc>
          <w:tcPr>
            <w:tcW w:w="407" w:type="pct"/>
            <w:vAlign w:val="center"/>
          </w:tcPr>
          <w:p w14:paraId="65C70E70">
            <w:pPr>
              <w:pStyle w:val="11"/>
              <w:bidi w:val="0"/>
              <w:jc w:val="center"/>
              <w:rPr>
                <w:rFonts w:hint="eastAsia" w:eastAsia="宋体"/>
                <w:lang w:eastAsia="zh-CN"/>
              </w:rPr>
            </w:pPr>
            <w:r>
              <w:t>2236</w:t>
            </w:r>
          </w:p>
        </w:tc>
        <w:tc>
          <w:tcPr>
            <w:tcW w:w="437" w:type="pct"/>
            <w:vAlign w:val="center"/>
          </w:tcPr>
          <w:p w14:paraId="4490AED3">
            <w:pPr>
              <w:pStyle w:val="11"/>
              <w:bidi w:val="0"/>
              <w:jc w:val="center"/>
              <w:rPr>
                <w:rFonts w:hint="eastAsia"/>
                <w:lang w:eastAsia="zh-CN"/>
              </w:rPr>
            </w:pPr>
            <w:r>
              <w:t>0</w:t>
            </w:r>
          </w:p>
        </w:tc>
        <w:tc>
          <w:tcPr>
            <w:tcW w:w="615" w:type="pct"/>
            <w:vAlign w:val="center"/>
          </w:tcPr>
          <w:p w14:paraId="06EB28E8">
            <w:pPr>
              <w:pStyle w:val="11"/>
              <w:bidi w:val="0"/>
              <w:jc w:val="center"/>
              <w:rPr>
                <w:rFonts w:hint="eastAsia"/>
                <w:lang w:eastAsia="zh-CN"/>
              </w:rPr>
            </w:pPr>
            <w:r>
              <w:t>0</w:t>
            </w:r>
          </w:p>
        </w:tc>
        <w:tc>
          <w:tcPr>
            <w:tcW w:w="381" w:type="pct"/>
            <w:vAlign w:val="center"/>
          </w:tcPr>
          <w:p w14:paraId="3D5DB721">
            <w:pPr>
              <w:pStyle w:val="11"/>
              <w:bidi w:val="0"/>
              <w:jc w:val="center"/>
              <w:rPr>
                <w:rFonts w:hint="eastAsia" w:eastAsia="宋体"/>
                <w:lang w:eastAsia="zh-CN"/>
              </w:rPr>
            </w:pPr>
            <w:r>
              <w:t>0.00</w:t>
            </w:r>
          </w:p>
        </w:tc>
      </w:tr>
      <w:tr w14:paraId="3274B1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3FCD4D2D">
            <w:pPr>
              <w:pStyle w:val="11"/>
              <w:bidi w:val="0"/>
              <w:jc w:val="both"/>
              <w:rPr>
                <w:rFonts w:hint="eastAsia"/>
                <w:lang w:eastAsia="zh-CN"/>
              </w:rPr>
            </w:pPr>
            <w:r>
              <w:rPr>
                <w:rFonts w:hint="eastAsia"/>
              </w:rPr>
              <w:t>卫生和社会工作</w:t>
            </w:r>
          </w:p>
        </w:tc>
        <w:tc>
          <w:tcPr>
            <w:tcW w:w="605" w:type="pct"/>
            <w:vAlign w:val="center"/>
          </w:tcPr>
          <w:p w14:paraId="711AA44C">
            <w:pPr>
              <w:pStyle w:val="11"/>
              <w:bidi w:val="0"/>
              <w:jc w:val="center"/>
              <w:rPr>
                <w:rFonts w:hint="eastAsia"/>
                <w:lang w:eastAsia="zh-CN"/>
              </w:rPr>
            </w:pPr>
            <w:r>
              <w:t>2</w:t>
            </w:r>
          </w:p>
        </w:tc>
        <w:tc>
          <w:tcPr>
            <w:tcW w:w="611" w:type="pct"/>
            <w:vAlign w:val="center"/>
          </w:tcPr>
          <w:p w14:paraId="236196F7">
            <w:pPr>
              <w:pStyle w:val="11"/>
              <w:bidi w:val="0"/>
              <w:jc w:val="center"/>
              <w:rPr>
                <w:rFonts w:hint="eastAsia"/>
                <w:lang w:eastAsia="zh-CN"/>
              </w:rPr>
            </w:pPr>
            <w:r>
              <w:t>0</w:t>
            </w:r>
          </w:p>
        </w:tc>
        <w:tc>
          <w:tcPr>
            <w:tcW w:w="407" w:type="pct"/>
            <w:vAlign w:val="center"/>
          </w:tcPr>
          <w:p w14:paraId="75110B06">
            <w:pPr>
              <w:pStyle w:val="11"/>
              <w:bidi w:val="0"/>
              <w:jc w:val="center"/>
              <w:rPr>
                <w:rFonts w:hint="eastAsia" w:eastAsia="宋体"/>
                <w:lang w:eastAsia="zh-CN"/>
              </w:rPr>
            </w:pPr>
            <w:r>
              <w:t>1800</w:t>
            </w:r>
          </w:p>
        </w:tc>
        <w:tc>
          <w:tcPr>
            <w:tcW w:w="437" w:type="pct"/>
            <w:vAlign w:val="center"/>
          </w:tcPr>
          <w:p w14:paraId="2B173846">
            <w:pPr>
              <w:pStyle w:val="11"/>
              <w:bidi w:val="0"/>
              <w:jc w:val="center"/>
              <w:rPr>
                <w:rFonts w:hint="eastAsia"/>
                <w:lang w:eastAsia="zh-CN"/>
              </w:rPr>
            </w:pPr>
            <w:r>
              <w:t>0</w:t>
            </w:r>
          </w:p>
        </w:tc>
        <w:tc>
          <w:tcPr>
            <w:tcW w:w="615" w:type="pct"/>
            <w:vAlign w:val="center"/>
          </w:tcPr>
          <w:p w14:paraId="31B38552">
            <w:pPr>
              <w:pStyle w:val="11"/>
              <w:bidi w:val="0"/>
              <w:jc w:val="center"/>
              <w:rPr>
                <w:rFonts w:hint="eastAsia"/>
                <w:lang w:eastAsia="zh-CN"/>
              </w:rPr>
            </w:pPr>
            <w:r>
              <w:t>0</w:t>
            </w:r>
          </w:p>
        </w:tc>
        <w:tc>
          <w:tcPr>
            <w:tcW w:w="381" w:type="pct"/>
            <w:vAlign w:val="center"/>
          </w:tcPr>
          <w:p w14:paraId="5ECDF507">
            <w:pPr>
              <w:pStyle w:val="11"/>
              <w:bidi w:val="0"/>
              <w:jc w:val="center"/>
              <w:rPr>
                <w:rFonts w:hint="eastAsia" w:eastAsia="宋体"/>
                <w:lang w:eastAsia="zh-CN"/>
              </w:rPr>
            </w:pPr>
            <w:r>
              <w:t>0.00</w:t>
            </w:r>
          </w:p>
        </w:tc>
      </w:tr>
      <w:tr w14:paraId="102415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054C358B">
            <w:pPr>
              <w:pStyle w:val="11"/>
              <w:bidi w:val="0"/>
              <w:jc w:val="both"/>
              <w:rPr>
                <w:rFonts w:hint="eastAsia"/>
                <w:lang w:eastAsia="zh-CN"/>
              </w:rPr>
            </w:pPr>
            <w:r>
              <w:rPr>
                <w:rFonts w:hint="eastAsia"/>
              </w:rPr>
              <w:t>文化、体育和娱乐业</w:t>
            </w:r>
          </w:p>
        </w:tc>
        <w:tc>
          <w:tcPr>
            <w:tcW w:w="605" w:type="pct"/>
            <w:vAlign w:val="center"/>
          </w:tcPr>
          <w:p w14:paraId="48E19EE2">
            <w:pPr>
              <w:pStyle w:val="11"/>
              <w:bidi w:val="0"/>
              <w:jc w:val="center"/>
              <w:rPr>
                <w:rFonts w:hint="eastAsia"/>
                <w:lang w:eastAsia="zh-CN"/>
              </w:rPr>
            </w:pPr>
            <w:r>
              <w:t>22</w:t>
            </w:r>
          </w:p>
        </w:tc>
        <w:tc>
          <w:tcPr>
            <w:tcW w:w="611" w:type="pct"/>
            <w:vAlign w:val="center"/>
          </w:tcPr>
          <w:p w14:paraId="11FE633E">
            <w:pPr>
              <w:pStyle w:val="11"/>
              <w:bidi w:val="0"/>
              <w:jc w:val="center"/>
              <w:rPr>
                <w:rFonts w:hint="eastAsia"/>
                <w:lang w:eastAsia="zh-CN"/>
              </w:rPr>
            </w:pPr>
            <w:r>
              <w:t>1</w:t>
            </w:r>
          </w:p>
        </w:tc>
        <w:tc>
          <w:tcPr>
            <w:tcW w:w="407" w:type="pct"/>
            <w:vAlign w:val="center"/>
          </w:tcPr>
          <w:p w14:paraId="7B30A3E0">
            <w:pPr>
              <w:pStyle w:val="11"/>
              <w:bidi w:val="0"/>
              <w:jc w:val="center"/>
              <w:rPr>
                <w:rFonts w:hint="eastAsia" w:eastAsia="宋体"/>
                <w:lang w:eastAsia="zh-CN"/>
              </w:rPr>
            </w:pPr>
            <w:r>
              <w:t>2856</w:t>
            </w:r>
          </w:p>
        </w:tc>
        <w:tc>
          <w:tcPr>
            <w:tcW w:w="437" w:type="pct"/>
            <w:vAlign w:val="center"/>
          </w:tcPr>
          <w:p w14:paraId="5807E943">
            <w:pPr>
              <w:pStyle w:val="11"/>
              <w:bidi w:val="0"/>
              <w:jc w:val="center"/>
              <w:rPr>
                <w:rFonts w:hint="eastAsia"/>
                <w:lang w:eastAsia="zh-CN"/>
              </w:rPr>
            </w:pPr>
            <w:r>
              <w:t>0</w:t>
            </w:r>
          </w:p>
        </w:tc>
        <w:tc>
          <w:tcPr>
            <w:tcW w:w="615" w:type="pct"/>
            <w:vAlign w:val="center"/>
          </w:tcPr>
          <w:p w14:paraId="20999219">
            <w:pPr>
              <w:pStyle w:val="11"/>
              <w:bidi w:val="0"/>
              <w:jc w:val="center"/>
              <w:rPr>
                <w:rFonts w:hint="eastAsia"/>
                <w:lang w:eastAsia="zh-CN"/>
              </w:rPr>
            </w:pPr>
            <w:r>
              <w:t>0</w:t>
            </w:r>
          </w:p>
        </w:tc>
        <w:tc>
          <w:tcPr>
            <w:tcW w:w="381" w:type="pct"/>
            <w:vAlign w:val="center"/>
          </w:tcPr>
          <w:p w14:paraId="13EBE5C6">
            <w:pPr>
              <w:pStyle w:val="11"/>
              <w:bidi w:val="0"/>
              <w:jc w:val="center"/>
              <w:rPr>
                <w:rFonts w:hint="eastAsia" w:eastAsia="宋体"/>
                <w:lang w:eastAsia="zh-CN"/>
              </w:rPr>
            </w:pPr>
            <w:r>
              <w:t>0.00</w:t>
            </w:r>
          </w:p>
        </w:tc>
      </w:tr>
      <w:tr w14:paraId="2640AE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28BF1DF6">
            <w:pPr>
              <w:pStyle w:val="11"/>
              <w:bidi w:val="0"/>
              <w:jc w:val="both"/>
              <w:rPr>
                <w:rFonts w:hint="eastAsia"/>
                <w:lang w:eastAsia="zh-CN"/>
              </w:rPr>
            </w:pPr>
            <w:r>
              <w:rPr>
                <w:rFonts w:hint="eastAsia"/>
              </w:rPr>
              <w:t>其他</w:t>
            </w:r>
          </w:p>
        </w:tc>
        <w:tc>
          <w:tcPr>
            <w:tcW w:w="605" w:type="pct"/>
            <w:vAlign w:val="center"/>
          </w:tcPr>
          <w:p w14:paraId="76A13C84">
            <w:pPr>
              <w:pStyle w:val="11"/>
              <w:bidi w:val="0"/>
              <w:jc w:val="center"/>
              <w:rPr>
                <w:rFonts w:hint="eastAsia"/>
                <w:lang w:eastAsia="zh-CN"/>
              </w:rPr>
            </w:pPr>
            <w:r>
              <w:t>0</w:t>
            </w:r>
          </w:p>
        </w:tc>
        <w:tc>
          <w:tcPr>
            <w:tcW w:w="611" w:type="pct"/>
            <w:vAlign w:val="center"/>
          </w:tcPr>
          <w:p w14:paraId="018505AC">
            <w:pPr>
              <w:pStyle w:val="11"/>
              <w:bidi w:val="0"/>
              <w:jc w:val="center"/>
              <w:rPr>
                <w:rFonts w:hint="eastAsia"/>
                <w:lang w:eastAsia="zh-CN"/>
              </w:rPr>
            </w:pPr>
            <w:r>
              <w:t>0</w:t>
            </w:r>
          </w:p>
        </w:tc>
        <w:tc>
          <w:tcPr>
            <w:tcW w:w="407" w:type="pct"/>
            <w:vAlign w:val="center"/>
          </w:tcPr>
          <w:p w14:paraId="440D8550">
            <w:pPr>
              <w:pStyle w:val="11"/>
              <w:bidi w:val="0"/>
              <w:jc w:val="center"/>
              <w:rPr>
                <w:rFonts w:hint="eastAsia" w:eastAsia="宋体"/>
                <w:lang w:eastAsia="zh-CN"/>
              </w:rPr>
            </w:pPr>
            <w:r>
              <w:t>0</w:t>
            </w:r>
          </w:p>
        </w:tc>
        <w:tc>
          <w:tcPr>
            <w:tcW w:w="437" w:type="pct"/>
            <w:vAlign w:val="center"/>
          </w:tcPr>
          <w:p w14:paraId="1E5C467D">
            <w:pPr>
              <w:pStyle w:val="11"/>
              <w:bidi w:val="0"/>
              <w:jc w:val="center"/>
              <w:rPr>
                <w:rFonts w:hint="eastAsia"/>
                <w:lang w:eastAsia="zh-CN"/>
              </w:rPr>
            </w:pPr>
            <w:r>
              <w:t>0</w:t>
            </w:r>
          </w:p>
        </w:tc>
        <w:tc>
          <w:tcPr>
            <w:tcW w:w="615" w:type="pct"/>
            <w:vAlign w:val="center"/>
          </w:tcPr>
          <w:p w14:paraId="735BAB8B">
            <w:pPr>
              <w:pStyle w:val="11"/>
              <w:bidi w:val="0"/>
              <w:jc w:val="center"/>
              <w:rPr>
                <w:rFonts w:hint="eastAsia"/>
                <w:lang w:eastAsia="zh-CN"/>
              </w:rPr>
            </w:pPr>
            <w:r>
              <w:t>0</w:t>
            </w:r>
          </w:p>
        </w:tc>
        <w:tc>
          <w:tcPr>
            <w:tcW w:w="381" w:type="pct"/>
            <w:vAlign w:val="center"/>
          </w:tcPr>
          <w:p w14:paraId="4D25006F">
            <w:pPr>
              <w:pStyle w:val="11"/>
              <w:bidi w:val="0"/>
              <w:jc w:val="center"/>
              <w:rPr>
                <w:rFonts w:hint="eastAsia" w:eastAsia="宋体"/>
                <w:lang w:eastAsia="zh-CN"/>
              </w:rPr>
            </w:pPr>
            <w:r>
              <w:t>0.00</w:t>
            </w:r>
          </w:p>
        </w:tc>
      </w:tr>
      <w:tr w14:paraId="573993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40" w:type="pct"/>
            <w:vAlign w:val="center"/>
          </w:tcPr>
          <w:p w14:paraId="50925F30">
            <w:pPr>
              <w:pStyle w:val="11"/>
              <w:bidi w:val="0"/>
              <w:jc w:val="both"/>
              <w:rPr>
                <w:rFonts w:hint="eastAsia"/>
                <w:lang w:eastAsia="zh-CN"/>
              </w:rPr>
            </w:pPr>
            <w:r>
              <w:rPr>
                <w:rFonts w:hint="eastAsia"/>
              </w:rPr>
              <w:t>居民服务、修理和其他服务业</w:t>
            </w:r>
          </w:p>
        </w:tc>
        <w:tc>
          <w:tcPr>
            <w:tcW w:w="605" w:type="pct"/>
            <w:vAlign w:val="center"/>
          </w:tcPr>
          <w:p w14:paraId="0FF6FBEB">
            <w:pPr>
              <w:pStyle w:val="11"/>
              <w:bidi w:val="0"/>
              <w:jc w:val="center"/>
              <w:rPr>
                <w:rFonts w:hint="eastAsia"/>
                <w:lang w:eastAsia="zh-CN"/>
              </w:rPr>
            </w:pPr>
            <w:r>
              <w:t>43</w:t>
            </w:r>
          </w:p>
        </w:tc>
        <w:tc>
          <w:tcPr>
            <w:tcW w:w="611" w:type="pct"/>
            <w:vAlign w:val="center"/>
          </w:tcPr>
          <w:p w14:paraId="739D1D51">
            <w:pPr>
              <w:pStyle w:val="11"/>
              <w:bidi w:val="0"/>
              <w:jc w:val="center"/>
              <w:rPr>
                <w:rFonts w:hint="eastAsia"/>
                <w:lang w:eastAsia="zh-CN"/>
              </w:rPr>
            </w:pPr>
            <w:r>
              <w:t>2</w:t>
            </w:r>
          </w:p>
        </w:tc>
        <w:tc>
          <w:tcPr>
            <w:tcW w:w="407" w:type="pct"/>
            <w:vAlign w:val="center"/>
          </w:tcPr>
          <w:p w14:paraId="2C8EB677">
            <w:pPr>
              <w:pStyle w:val="11"/>
              <w:bidi w:val="0"/>
              <w:jc w:val="center"/>
              <w:rPr>
                <w:rFonts w:hint="eastAsia" w:eastAsia="宋体"/>
                <w:lang w:eastAsia="zh-CN"/>
              </w:rPr>
            </w:pPr>
            <w:r>
              <w:t>4798</w:t>
            </w:r>
          </w:p>
        </w:tc>
        <w:tc>
          <w:tcPr>
            <w:tcW w:w="437" w:type="pct"/>
            <w:vAlign w:val="center"/>
          </w:tcPr>
          <w:p w14:paraId="5E87A5C0">
            <w:pPr>
              <w:pStyle w:val="11"/>
              <w:bidi w:val="0"/>
              <w:jc w:val="center"/>
              <w:rPr>
                <w:rFonts w:hint="eastAsia"/>
                <w:lang w:eastAsia="zh-CN"/>
              </w:rPr>
            </w:pPr>
            <w:r>
              <w:t>0</w:t>
            </w:r>
          </w:p>
        </w:tc>
        <w:tc>
          <w:tcPr>
            <w:tcW w:w="615" w:type="pct"/>
            <w:vAlign w:val="center"/>
          </w:tcPr>
          <w:p w14:paraId="1EB457BE">
            <w:pPr>
              <w:pStyle w:val="11"/>
              <w:bidi w:val="0"/>
              <w:jc w:val="center"/>
              <w:rPr>
                <w:rFonts w:hint="eastAsia"/>
                <w:lang w:eastAsia="zh-CN"/>
              </w:rPr>
            </w:pPr>
            <w:r>
              <w:t>0</w:t>
            </w:r>
          </w:p>
        </w:tc>
        <w:tc>
          <w:tcPr>
            <w:tcW w:w="381" w:type="pct"/>
            <w:vAlign w:val="center"/>
          </w:tcPr>
          <w:p w14:paraId="3C0B82A7">
            <w:pPr>
              <w:pStyle w:val="11"/>
              <w:bidi w:val="0"/>
              <w:jc w:val="center"/>
              <w:rPr>
                <w:rFonts w:hint="eastAsia" w:eastAsia="宋体"/>
                <w:lang w:eastAsia="zh-CN"/>
              </w:rPr>
            </w:pPr>
            <w:r>
              <w:t>0.00</w:t>
            </w:r>
          </w:p>
        </w:tc>
      </w:tr>
    </w:tbl>
    <w:tbl>
      <w:tblPr>
        <w:tblStyle w:val="8"/>
        <w:tblpPr w:leftFromText="180" w:rightFromText="180" w:vertAnchor="text" w:horzAnchor="page" w:tblpX="1077" w:tblpY="451"/>
        <w:tblOverlap w:val="never"/>
        <w:tblW w:w="4987"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4055"/>
        <w:gridCol w:w="1707"/>
        <w:gridCol w:w="1387"/>
        <w:gridCol w:w="1405"/>
        <w:gridCol w:w="1382"/>
      </w:tblGrid>
      <w:tr w14:paraId="6806ACC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Merge w:val="restart"/>
            <w:vAlign w:val="center"/>
          </w:tcPr>
          <w:p w14:paraId="76D2676E">
            <w:pPr>
              <w:pStyle w:val="11"/>
              <w:bidi w:val="0"/>
              <w:jc w:val="center"/>
              <w:rPr>
                <w:rFonts w:hint="eastAsia"/>
                <w:b/>
                <w:bCs/>
                <w:lang w:eastAsia="zh-CN"/>
              </w:rPr>
            </w:pPr>
            <w:r>
              <w:rPr>
                <w:rFonts w:hint="eastAsia"/>
                <w:b/>
                <w:bCs/>
              </w:rPr>
              <w:t>行业分类</w:t>
            </w:r>
          </w:p>
        </w:tc>
        <w:tc>
          <w:tcPr>
            <w:tcW w:w="2959" w:type="pct"/>
            <w:gridSpan w:val="4"/>
            <w:vAlign w:val="center"/>
          </w:tcPr>
          <w:p w14:paraId="505E7FBA">
            <w:pPr>
              <w:pStyle w:val="11"/>
              <w:bidi w:val="0"/>
              <w:jc w:val="center"/>
              <w:rPr>
                <w:rFonts w:hint="eastAsia"/>
                <w:b/>
                <w:bCs/>
                <w:lang w:eastAsia="zh-CN"/>
              </w:rPr>
            </w:pPr>
            <w:r>
              <w:rPr>
                <w:rFonts w:hint="eastAsia"/>
                <w:b/>
                <w:bCs/>
              </w:rPr>
              <w:t>期末实有</w:t>
            </w:r>
          </w:p>
        </w:tc>
      </w:tr>
      <w:tr w14:paraId="6437E5C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Merge w:val="continue"/>
            <w:vAlign w:val="center"/>
          </w:tcPr>
          <w:p w14:paraId="0D59A5CC">
            <w:pPr>
              <w:pStyle w:val="11"/>
              <w:bidi w:val="0"/>
              <w:jc w:val="both"/>
              <w:rPr>
                <w:rFonts w:hint="eastAsia"/>
                <w:b/>
                <w:bCs/>
                <w:lang w:eastAsia="zh-CN"/>
              </w:rPr>
            </w:pPr>
          </w:p>
        </w:tc>
        <w:tc>
          <w:tcPr>
            <w:tcW w:w="1557" w:type="pct"/>
            <w:gridSpan w:val="2"/>
            <w:vAlign w:val="center"/>
          </w:tcPr>
          <w:p w14:paraId="21F6248C">
            <w:pPr>
              <w:pStyle w:val="11"/>
              <w:bidi w:val="0"/>
              <w:jc w:val="center"/>
              <w:rPr>
                <w:rFonts w:hint="eastAsia"/>
                <w:b/>
                <w:bCs/>
                <w:lang w:eastAsia="zh-CN"/>
              </w:rPr>
            </w:pPr>
            <w:r>
              <w:rPr>
                <w:rFonts w:hint="eastAsia"/>
                <w:b/>
                <w:bCs/>
              </w:rPr>
              <w:t>个体工商户</w:t>
            </w:r>
          </w:p>
        </w:tc>
        <w:tc>
          <w:tcPr>
            <w:tcW w:w="1402" w:type="pct"/>
            <w:gridSpan w:val="2"/>
            <w:vAlign w:val="center"/>
          </w:tcPr>
          <w:p w14:paraId="2B345BD0">
            <w:pPr>
              <w:pStyle w:val="11"/>
              <w:bidi w:val="0"/>
              <w:jc w:val="center"/>
              <w:rPr>
                <w:rFonts w:hint="eastAsia"/>
                <w:b/>
                <w:bCs/>
                <w:lang w:eastAsia="zh-CN"/>
              </w:rPr>
            </w:pPr>
            <w:r>
              <w:rPr>
                <w:rFonts w:hint="eastAsia"/>
                <w:b/>
                <w:bCs/>
                <w:lang w:val="en-US" w:eastAsia="zh-CN"/>
              </w:rPr>
              <w:t>农民专业合作社</w:t>
            </w:r>
          </w:p>
        </w:tc>
      </w:tr>
      <w:tr w14:paraId="36725E5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Merge w:val="continue"/>
            <w:vAlign w:val="center"/>
          </w:tcPr>
          <w:p w14:paraId="47627E98">
            <w:pPr>
              <w:pStyle w:val="11"/>
              <w:bidi w:val="0"/>
              <w:jc w:val="both"/>
              <w:rPr>
                <w:rFonts w:hint="eastAsia"/>
                <w:b/>
                <w:bCs/>
                <w:lang w:eastAsia="zh-CN"/>
              </w:rPr>
            </w:pPr>
          </w:p>
        </w:tc>
        <w:tc>
          <w:tcPr>
            <w:tcW w:w="859" w:type="pct"/>
            <w:vAlign w:val="center"/>
          </w:tcPr>
          <w:p w14:paraId="55030143">
            <w:pPr>
              <w:pStyle w:val="11"/>
              <w:bidi w:val="0"/>
              <w:jc w:val="center"/>
              <w:rPr>
                <w:rFonts w:hint="eastAsia"/>
                <w:b/>
                <w:bCs/>
                <w:lang w:eastAsia="zh-CN"/>
              </w:rPr>
            </w:pPr>
            <w:r>
              <w:rPr>
                <w:rFonts w:hint="eastAsia"/>
                <w:b/>
                <w:bCs/>
              </w:rPr>
              <w:t>户数</w:t>
            </w:r>
          </w:p>
        </w:tc>
        <w:tc>
          <w:tcPr>
            <w:tcW w:w="697" w:type="pct"/>
            <w:vAlign w:val="center"/>
          </w:tcPr>
          <w:p w14:paraId="52BFF1B5">
            <w:pPr>
              <w:pStyle w:val="11"/>
              <w:bidi w:val="0"/>
              <w:jc w:val="center"/>
              <w:rPr>
                <w:rFonts w:hint="eastAsia"/>
                <w:b/>
                <w:bCs/>
                <w:lang w:eastAsia="zh-CN"/>
              </w:rPr>
            </w:pPr>
            <w:r>
              <w:rPr>
                <w:rFonts w:hint="eastAsia"/>
                <w:b/>
                <w:bCs/>
              </w:rPr>
              <w:t>资金数额</w:t>
            </w:r>
          </w:p>
        </w:tc>
        <w:tc>
          <w:tcPr>
            <w:tcW w:w="707" w:type="pct"/>
            <w:vAlign w:val="center"/>
          </w:tcPr>
          <w:p w14:paraId="713E3298">
            <w:pPr>
              <w:pStyle w:val="11"/>
              <w:bidi w:val="0"/>
              <w:jc w:val="center"/>
              <w:rPr>
                <w:rFonts w:hint="eastAsia"/>
                <w:b/>
                <w:bCs/>
                <w:lang w:eastAsia="zh-CN"/>
              </w:rPr>
            </w:pPr>
            <w:r>
              <w:rPr>
                <w:rFonts w:hint="eastAsia"/>
                <w:b/>
                <w:bCs/>
              </w:rPr>
              <w:t>户数</w:t>
            </w:r>
          </w:p>
        </w:tc>
        <w:tc>
          <w:tcPr>
            <w:tcW w:w="695" w:type="pct"/>
            <w:vAlign w:val="center"/>
          </w:tcPr>
          <w:p w14:paraId="75BC552B">
            <w:pPr>
              <w:pStyle w:val="11"/>
              <w:bidi w:val="0"/>
              <w:jc w:val="center"/>
              <w:rPr>
                <w:rFonts w:hint="eastAsia"/>
                <w:b/>
                <w:bCs/>
                <w:lang w:eastAsia="zh-CN"/>
              </w:rPr>
            </w:pPr>
            <w:r>
              <w:rPr>
                <w:rFonts w:hint="eastAsia"/>
                <w:b/>
                <w:bCs/>
              </w:rPr>
              <w:t>出资总额</w:t>
            </w:r>
          </w:p>
        </w:tc>
      </w:tr>
      <w:tr w14:paraId="60F48EF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0EB61400">
            <w:pPr>
              <w:pStyle w:val="11"/>
              <w:bidi w:val="0"/>
              <w:jc w:val="both"/>
              <w:rPr>
                <w:rFonts w:hint="eastAsia"/>
                <w:lang w:eastAsia="zh-CN"/>
              </w:rPr>
            </w:pPr>
            <w:r>
              <w:rPr>
                <w:rFonts w:hint="eastAsia"/>
              </w:rPr>
              <w:t>合计</w:t>
            </w:r>
          </w:p>
        </w:tc>
        <w:tc>
          <w:tcPr>
            <w:tcW w:w="859" w:type="pct"/>
            <w:vAlign w:val="center"/>
          </w:tcPr>
          <w:p w14:paraId="3860A1C1">
            <w:pPr>
              <w:pStyle w:val="11"/>
              <w:bidi w:val="0"/>
              <w:jc w:val="center"/>
              <w:rPr>
                <w:rFonts w:hint="eastAsia"/>
                <w:lang w:eastAsia="zh-CN"/>
              </w:rPr>
            </w:pPr>
            <w:r>
              <w:rPr>
                <w:rFonts w:hint="eastAsia"/>
              </w:rPr>
              <w:t>13740</w:t>
            </w:r>
          </w:p>
        </w:tc>
        <w:tc>
          <w:tcPr>
            <w:tcW w:w="697" w:type="pct"/>
            <w:vAlign w:val="center"/>
          </w:tcPr>
          <w:p w14:paraId="7583A2CB">
            <w:pPr>
              <w:pStyle w:val="11"/>
              <w:bidi w:val="0"/>
              <w:jc w:val="center"/>
              <w:rPr>
                <w:rFonts w:hint="eastAsia"/>
                <w:lang w:eastAsia="zh-CN"/>
              </w:rPr>
            </w:pPr>
            <w:r>
              <w:rPr>
                <w:rFonts w:hint="eastAsia"/>
              </w:rPr>
              <w:t>93042</w:t>
            </w:r>
          </w:p>
        </w:tc>
        <w:tc>
          <w:tcPr>
            <w:tcW w:w="707" w:type="pct"/>
            <w:vAlign w:val="center"/>
          </w:tcPr>
          <w:p w14:paraId="6EE639E7">
            <w:pPr>
              <w:pStyle w:val="11"/>
              <w:bidi w:val="0"/>
              <w:jc w:val="center"/>
              <w:rPr>
                <w:rFonts w:hint="eastAsia"/>
                <w:lang w:eastAsia="zh-CN"/>
              </w:rPr>
            </w:pPr>
            <w:r>
              <w:rPr>
                <w:rFonts w:hint="eastAsia"/>
              </w:rPr>
              <w:t>728</w:t>
            </w:r>
          </w:p>
        </w:tc>
        <w:tc>
          <w:tcPr>
            <w:tcW w:w="695" w:type="pct"/>
            <w:vAlign w:val="center"/>
          </w:tcPr>
          <w:p w14:paraId="3B1786E8">
            <w:pPr>
              <w:pStyle w:val="11"/>
              <w:bidi w:val="0"/>
              <w:jc w:val="center"/>
              <w:rPr>
                <w:rFonts w:hint="eastAsia"/>
                <w:lang w:eastAsia="zh-CN"/>
              </w:rPr>
            </w:pPr>
            <w:r>
              <w:rPr>
                <w:rFonts w:hint="eastAsia"/>
              </w:rPr>
              <w:t>60478</w:t>
            </w:r>
          </w:p>
        </w:tc>
      </w:tr>
      <w:tr w14:paraId="7AFFB2D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7814839C">
            <w:pPr>
              <w:pStyle w:val="11"/>
              <w:bidi w:val="0"/>
              <w:jc w:val="both"/>
              <w:rPr>
                <w:rFonts w:hint="eastAsia"/>
                <w:lang w:eastAsia="zh-CN"/>
              </w:rPr>
            </w:pPr>
            <w:r>
              <w:rPr>
                <w:rFonts w:hint="eastAsia"/>
              </w:rPr>
              <w:t>农、林、牧、渔业</w:t>
            </w:r>
          </w:p>
        </w:tc>
        <w:tc>
          <w:tcPr>
            <w:tcW w:w="859" w:type="pct"/>
            <w:vAlign w:val="center"/>
          </w:tcPr>
          <w:p w14:paraId="79518258">
            <w:pPr>
              <w:pStyle w:val="11"/>
              <w:bidi w:val="0"/>
              <w:jc w:val="center"/>
              <w:rPr>
                <w:rFonts w:hint="eastAsia"/>
                <w:lang w:eastAsia="zh-CN"/>
              </w:rPr>
            </w:pPr>
            <w:r>
              <w:rPr>
                <w:rFonts w:hint="eastAsia"/>
              </w:rPr>
              <w:t>816</w:t>
            </w:r>
          </w:p>
        </w:tc>
        <w:tc>
          <w:tcPr>
            <w:tcW w:w="697" w:type="pct"/>
            <w:vAlign w:val="center"/>
          </w:tcPr>
          <w:p w14:paraId="3C0B44EB">
            <w:pPr>
              <w:pStyle w:val="11"/>
              <w:bidi w:val="0"/>
              <w:jc w:val="center"/>
              <w:rPr>
                <w:rFonts w:hint="eastAsia"/>
                <w:lang w:eastAsia="zh-CN"/>
              </w:rPr>
            </w:pPr>
            <w:r>
              <w:rPr>
                <w:rFonts w:hint="eastAsia"/>
              </w:rPr>
              <w:t>29664</w:t>
            </w:r>
          </w:p>
        </w:tc>
        <w:tc>
          <w:tcPr>
            <w:tcW w:w="707" w:type="pct"/>
            <w:vAlign w:val="center"/>
          </w:tcPr>
          <w:p w14:paraId="4A12CEFB">
            <w:pPr>
              <w:pStyle w:val="11"/>
              <w:bidi w:val="0"/>
              <w:jc w:val="center"/>
              <w:rPr>
                <w:rFonts w:hint="eastAsia"/>
                <w:lang w:eastAsia="zh-CN"/>
              </w:rPr>
            </w:pPr>
            <w:r>
              <w:rPr>
                <w:rFonts w:hint="eastAsia"/>
              </w:rPr>
              <w:t>*</w:t>
            </w:r>
          </w:p>
        </w:tc>
        <w:tc>
          <w:tcPr>
            <w:tcW w:w="695" w:type="pct"/>
            <w:vAlign w:val="center"/>
          </w:tcPr>
          <w:p w14:paraId="4A092742">
            <w:pPr>
              <w:pStyle w:val="11"/>
              <w:bidi w:val="0"/>
              <w:jc w:val="center"/>
              <w:rPr>
                <w:rFonts w:hint="eastAsia"/>
                <w:lang w:eastAsia="zh-CN"/>
              </w:rPr>
            </w:pPr>
            <w:r>
              <w:rPr>
                <w:rFonts w:hint="eastAsia"/>
              </w:rPr>
              <w:t>*</w:t>
            </w:r>
          </w:p>
        </w:tc>
      </w:tr>
      <w:tr w14:paraId="2AC4C46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239B8EC9">
            <w:pPr>
              <w:pStyle w:val="11"/>
              <w:bidi w:val="0"/>
              <w:ind w:leftChars="100"/>
              <w:jc w:val="both"/>
              <w:rPr>
                <w:rFonts w:hint="eastAsia"/>
                <w:lang w:eastAsia="zh-CN"/>
              </w:rPr>
            </w:pPr>
            <w:r>
              <w:rPr>
                <w:rFonts w:hint="eastAsia"/>
              </w:rPr>
              <w:t>其中：农、林、牧、渔服务业</w:t>
            </w:r>
          </w:p>
        </w:tc>
        <w:tc>
          <w:tcPr>
            <w:tcW w:w="859" w:type="pct"/>
            <w:vAlign w:val="center"/>
          </w:tcPr>
          <w:p w14:paraId="2B229F0A">
            <w:pPr>
              <w:pStyle w:val="11"/>
              <w:bidi w:val="0"/>
              <w:jc w:val="center"/>
              <w:rPr>
                <w:rFonts w:hint="eastAsia"/>
                <w:lang w:eastAsia="zh-CN"/>
              </w:rPr>
            </w:pPr>
            <w:r>
              <w:rPr>
                <w:rFonts w:hint="eastAsia"/>
              </w:rPr>
              <w:t>90</w:t>
            </w:r>
          </w:p>
        </w:tc>
        <w:tc>
          <w:tcPr>
            <w:tcW w:w="697" w:type="pct"/>
            <w:vAlign w:val="center"/>
          </w:tcPr>
          <w:p w14:paraId="1396F47A">
            <w:pPr>
              <w:pStyle w:val="11"/>
              <w:bidi w:val="0"/>
              <w:jc w:val="center"/>
              <w:rPr>
                <w:rFonts w:hint="eastAsia"/>
                <w:lang w:eastAsia="zh-CN"/>
              </w:rPr>
            </w:pPr>
            <w:r>
              <w:rPr>
                <w:rFonts w:hint="eastAsia"/>
              </w:rPr>
              <w:t>1400</w:t>
            </w:r>
          </w:p>
        </w:tc>
        <w:tc>
          <w:tcPr>
            <w:tcW w:w="707" w:type="pct"/>
            <w:vAlign w:val="center"/>
          </w:tcPr>
          <w:p w14:paraId="7D80AFCF">
            <w:pPr>
              <w:pStyle w:val="11"/>
              <w:bidi w:val="0"/>
              <w:jc w:val="center"/>
              <w:rPr>
                <w:rFonts w:hint="eastAsia"/>
                <w:lang w:eastAsia="zh-CN"/>
              </w:rPr>
            </w:pPr>
            <w:r>
              <w:rPr>
                <w:rFonts w:hint="eastAsia"/>
              </w:rPr>
              <w:t>*</w:t>
            </w:r>
          </w:p>
        </w:tc>
        <w:tc>
          <w:tcPr>
            <w:tcW w:w="695" w:type="pct"/>
            <w:vAlign w:val="center"/>
          </w:tcPr>
          <w:p w14:paraId="4EE8B36B">
            <w:pPr>
              <w:pStyle w:val="11"/>
              <w:bidi w:val="0"/>
              <w:jc w:val="center"/>
              <w:rPr>
                <w:rFonts w:hint="eastAsia"/>
                <w:lang w:eastAsia="zh-CN"/>
              </w:rPr>
            </w:pPr>
            <w:r>
              <w:rPr>
                <w:rFonts w:hint="eastAsia"/>
              </w:rPr>
              <w:t>*</w:t>
            </w:r>
          </w:p>
        </w:tc>
      </w:tr>
      <w:tr w14:paraId="172BBD3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0A35E1DD">
            <w:pPr>
              <w:pStyle w:val="11"/>
              <w:bidi w:val="0"/>
              <w:jc w:val="both"/>
              <w:rPr>
                <w:rFonts w:hint="eastAsia"/>
                <w:lang w:eastAsia="zh-CN"/>
              </w:rPr>
            </w:pPr>
            <w:r>
              <w:rPr>
                <w:rFonts w:hint="eastAsia"/>
              </w:rPr>
              <w:t>采矿业</w:t>
            </w:r>
          </w:p>
        </w:tc>
        <w:tc>
          <w:tcPr>
            <w:tcW w:w="859" w:type="pct"/>
            <w:vAlign w:val="center"/>
          </w:tcPr>
          <w:p w14:paraId="2A9F1E50">
            <w:pPr>
              <w:pStyle w:val="11"/>
              <w:bidi w:val="0"/>
              <w:jc w:val="center"/>
              <w:rPr>
                <w:rFonts w:hint="eastAsia"/>
                <w:lang w:eastAsia="zh-CN"/>
              </w:rPr>
            </w:pPr>
            <w:r>
              <w:rPr>
                <w:rFonts w:hint="eastAsia"/>
              </w:rPr>
              <w:t>3</w:t>
            </w:r>
          </w:p>
        </w:tc>
        <w:tc>
          <w:tcPr>
            <w:tcW w:w="697" w:type="pct"/>
            <w:vAlign w:val="center"/>
          </w:tcPr>
          <w:p w14:paraId="39E12F31">
            <w:pPr>
              <w:pStyle w:val="11"/>
              <w:bidi w:val="0"/>
              <w:jc w:val="center"/>
              <w:rPr>
                <w:rFonts w:hint="eastAsia"/>
                <w:lang w:eastAsia="zh-CN"/>
              </w:rPr>
            </w:pPr>
            <w:r>
              <w:rPr>
                <w:rFonts w:hint="eastAsia"/>
              </w:rPr>
              <w:t>8</w:t>
            </w:r>
          </w:p>
        </w:tc>
        <w:tc>
          <w:tcPr>
            <w:tcW w:w="707" w:type="pct"/>
            <w:vAlign w:val="center"/>
          </w:tcPr>
          <w:p w14:paraId="1C9045EA">
            <w:pPr>
              <w:pStyle w:val="11"/>
              <w:bidi w:val="0"/>
              <w:jc w:val="center"/>
              <w:rPr>
                <w:rFonts w:hint="eastAsia"/>
                <w:lang w:eastAsia="zh-CN"/>
              </w:rPr>
            </w:pPr>
            <w:r>
              <w:rPr>
                <w:rFonts w:hint="eastAsia"/>
              </w:rPr>
              <w:t>*</w:t>
            </w:r>
          </w:p>
        </w:tc>
        <w:tc>
          <w:tcPr>
            <w:tcW w:w="695" w:type="pct"/>
            <w:vAlign w:val="center"/>
          </w:tcPr>
          <w:p w14:paraId="05C0093B">
            <w:pPr>
              <w:pStyle w:val="11"/>
              <w:bidi w:val="0"/>
              <w:jc w:val="center"/>
              <w:rPr>
                <w:rFonts w:hint="eastAsia"/>
                <w:lang w:eastAsia="zh-CN"/>
              </w:rPr>
            </w:pPr>
            <w:r>
              <w:rPr>
                <w:rFonts w:hint="eastAsia"/>
              </w:rPr>
              <w:t>*</w:t>
            </w:r>
          </w:p>
        </w:tc>
      </w:tr>
      <w:tr w14:paraId="4BA2D31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5385882D">
            <w:pPr>
              <w:pStyle w:val="11"/>
              <w:bidi w:val="0"/>
              <w:jc w:val="both"/>
              <w:rPr>
                <w:rFonts w:hint="eastAsia"/>
                <w:lang w:eastAsia="zh-CN"/>
              </w:rPr>
            </w:pPr>
            <w:r>
              <w:rPr>
                <w:rFonts w:hint="eastAsia"/>
              </w:rPr>
              <w:t>开采辅助活动</w:t>
            </w:r>
          </w:p>
        </w:tc>
        <w:tc>
          <w:tcPr>
            <w:tcW w:w="859" w:type="pct"/>
            <w:vAlign w:val="center"/>
          </w:tcPr>
          <w:p w14:paraId="016F6410">
            <w:pPr>
              <w:pStyle w:val="11"/>
              <w:bidi w:val="0"/>
              <w:jc w:val="center"/>
              <w:rPr>
                <w:rFonts w:hint="eastAsia"/>
                <w:lang w:eastAsia="zh-CN"/>
              </w:rPr>
            </w:pPr>
            <w:r>
              <w:rPr>
                <w:rFonts w:hint="eastAsia"/>
              </w:rPr>
              <w:t>0</w:t>
            </w:r>
          </w:p>
        </w:tc>
        <w:tc>
          <w:tcPr>
            <w:tcW w:w="697" w:type="pct"/>
            <w:vAlign w:val="center"/>
          </w:tcPr>
          <w:p w14:paraId="23342C33">
            <w:pPr>
              <w:pStyle w:val="11"/>
              <w:bidi w:val="0"/>
              <w:jc w:val="center"/>
              <w:rPr>
                <w:rFonts w:hint="eastAsia"/>
                <w:lang w:eastAsia="zh-CN"/>
              </w:rPr>
            </w:pPr>
            <w:r>
              <w:rPr>
                <w:rFonts w:hint="eastAsia"/>
              </w:rPr>
              <w:t>0</w:t>
            </w:r>
          </w:p>
        </w:tc>
        <w:tc>
          <w:tcPr>
            <w:tcW w:w="707" w:type="pct"/>
            <w:vAlign w:val="center"/>
          </w:tcPr>
          <w:p w14:paraId="04ECB4EC">
            <w:pPr>
              <w:pStyle w:val="11"/>
              <w:bidi w:val="0"/>
              <w:jc w:val="center"/>
              <w:rPr>
                <w:rFonts w:hint="eastAsia"/>
                <w:lang w:eastAsia="zh-CN"/>
              </w:rPr>
            </w:pPr>
            <w:r>
              <w:rPr>
                <w:rFonts w:hint="eastAsia"/>
              </w:rPr>
              <w:t>*</w:t>
            </w:r>
          </w:p>
        </w:tc>
        <w:tc>
          <w:tcPr>
            <w:tcW w:w="695" w:type="pct"/>
            <w:vAlign w:val="center"/>
          </w:tcPr>
          <w:p w14:paraId="46B712AF">
            <w:pPr>
              <w:pStyle w:val="11"/>
              <w:bidi w:val="0"/>
              <w:jc w:val="center"/>
              <w:rPr>
                <w:rFonts w:hint="eastAsia"/>
                <w:lang w:eastAsia="zh-CN"/>
              </w:rPr>
            </w:pPr>
            <w:r>
              <w:rPr>
                <w:rFonts w:hint="eastAsia"/>
              </w:rPr>
              <w:t>*</w:t>
            </w:r>
          </w:p>
        </w:tc>
      </w:tr>
      <w:tr w14:paraId="6A10302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4DFD4099">
            <w:pPr>
              <w:pStyle w:val="11"/>
              <w:bidi w:val="0"/>
              <w:jc w:val="both"/>
              <w:rPr>
                <w:rFonts w:hint="eastAsia"/>
                <w:lang w:eastAsia="zh-CN"/>
              </w:rPr>
            </w:pPr>
            <w:r>
              <w:rPr>
                <w:rFonts w:hint="eastAsia"/>
              </w:rPr>
              <w:t>制造业</w:t>
            </w:r>
          </w:p>
        </w:tc>
        <w:tc>
          <w:tcPr>
            <w:tcW w:w="859" w:type="pct"/>
            <w:vAlign w:val="center"/>
          </w:tcPr>
          <w:p w14:paraId="1D12CB29">
            <w:pPr>
              <w:pStyle w:val="11"/>
              <w:bidi w:val="0"/>
              <w:jc w:val="center"/>
              <w:rPr>
                <w:rFonts w:hint="eastAsia"/>
                <w:lang w:eastAsia="zh-CN"/>
              </w:rPr>
            </w:pPr>
            <w:r>
              <w:rPr>
                <w:rFonts w:hint="eastAsia"/>
              </w:rPr>
              <w:t>1023</w:t>
            </w:r>
          </w:p>
        </w:tc>
        <w:tc>
          <w:tcPr>
            <w:tcW w:w="697" w:type="pct"/>
            <w:vAlign w:val="center"/>
          </w:tcPr>
          <w:p w14:paraId="5E5244FE">
            <w:pPr>
              <w:pStyle w:val="11"/>
              <w:bidi w:val="0"/>
              <w:jc w:val="center"/>
              <w:rPr>
                <w:rFonts w:hint="eastAsia"/>
                <w:lang w:eastAsia="zh-CN"/>
              </w:rPr>
            </w:pPr>
            <w:r>
              <w:rPr>
                <w:rFonts w:hint="eastAsia"/>
              </w:rPr>
              <w:t>6364</w:t>
            </w:r>
          </w:p>
        </w:tc>
        <w:tc>
          <w:tcPr>
            <w:tcW w:w="707" w:type="pct"/>
            <w:vAlign w:val="center"/>
          </w:tcPr>
          <w:p w14:paraId="20F292A0">
            <w:pPr>
              <w:pStyle w:val="11"/>
              <w:bidi w:val="0"/>
              <w:jc w:val="center"/>
              <w:rPr>
                <w:rFonts w:hint="eastAsia"/>
                <w:lang w:eastAsia="zh-CN"/>
              </w:rPr>
            </w:pPr>
            <w:r>
              <w:rPr>
                <w:rFonts w:hint="eastAsia"/>
              </w:rPr>
              <w:t>*</w:t>
            </w:r>
          </w:p>
        </w:tc>
        <w:tc>
          <w:tcPr>
            <w:tcW w:w="695" w:type="pct"/>
            <w:vAlign w:val="center"/>
          </w:tcPr>
          <w:p w14:paraId="08369455">
            <w:pPr>
              <w:pStyle w:val="11"/>
              <w:bidi w:val="0"/>
              <w:jc w:val="center"/>
              <w:rPr>
                <w:rFonts w:hint="eastAsia"/>
                <w:lang w:eastAsia="zh-CN"/>
              </w:rPr>
            </w:pPr>
            <w:r>
              <w:rPr>
                <w:rFonts w:hint="eastAsia"/>
              </w:rPr>
              <w:t>*</w:t>
            </w:r>
          </w:p>
        </w:tc>
      </w:tr>
      <w:tr w14:paraId="14427A7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41E5C3ED">
            <w:pPr>
              <w:pStyle w:val="11"/>
              <w:bidi w:val="0"/>
              <w:jc w:val="both"/>
              <w:rPr>
                <w:rFonts w:hint="eastAsia"/>
                <w:lang w:eastAsia="zh-CN"/>
              </w:rPr>
            </w:pPr>
            <w:r>
              <w:rPr>
                <w:rFonts w:hint="eastAsia"/>
              </w:rPr>
              <w:t>金属制品、机械和设备修理业</w:t>
            </w:r>
          </w:p>
        </w:tc>
        <w:tc>
          <w:tcPr>
            <w:tcW w:w="859" w:type="pct"/>
            <w:vAlign w:val="center"/>
          </w:tcPr>
          <w:p w14:paraId="37993306">
            <w:pPr>
              <w:pStyle w:val="11"/>
              <w:bidi w:val="0"/>
              <w:jc w:val="center"/>
              <w:rPr>
                <w:rFonts w:hint="eastAsia"/>
                <w:lang w:eastAsia="zh-CN"/>
              </w:rPr>
            </w:pPr>
            <w:r>
              <w:rPr>
                <w:rFonts w:hint="eastAsia"/>
              </w:rPr>
              <w:t>13</w:t>
            </w:r>
          </w:p>
        </w:tc>
        <w:tc>
          <w:tcPr>
            <w:tcW w:w="697" w:type="pct"/>
            <w:vAlign w:val="center"/>
          </w:tcPr>
          <w:p w14:paraId="1A4DF113">
            <w:pPr>
              <w:pStyle w:val="11"/>
              <w:bidi w:val="0"/>
              <w:jc w:val="center"/>
              <w:rPr>
                <w:rFonts w:hint="eastAsia"/>
                <w:lang w:eastAsia="zh-CN"/>
              </w:rPr>
            </w:pPr>
            <w:r>
              <w:rPr>
                <w:rFonts w:hint="eastAsia"/>
              </w:rPr>
              <w:t>37</w:t>
            </w:r>
          </w:p>
        </w:tc>
        <w:tc>
          <w:tcPr>
            <w:tcW w:w="707" w:type="pct"/>
            <w:vAlign w:val="center"/>
          </w:tcPr>
          <w:p w14:paraId="29798A33">
            <w:pPr>
              <w:pStyle w:val="11"/>
              <w:bidi w:val="0"/>
              <w:jc w:val="center"/>
              <w:rPr>
                <w:rFonts w:hint="eastAsia"/>
                <w:lang w:eastAsia="zh-CN"/>
              </w:rPr>
            </w:pPr>
            <w:r>
              <w:rPr>
                <w:rFonts w:hint="eastAsia"/>
              </w:rPr>
              <w:t>*</w:t>
            </w:r>
          </w:p>
        </w:tc>
        <w:tc>
          <w:tcPr>
            <w:tcW w:w="695" w:type="pct"/>
            <w:vAlign w:val="center"/>
          </w:tcPr>
          <w:p w14:paraId="226802E3">
            <w:pPr>
              <w:pStyle w:val="11"/>
              <w:bidi w:val="0"/>
              <w:jc w:val="center"/>
              <w:rPr>
                <w:rFonts w:hint="eastAsia"/>
                <w:lang w:eastAsia="zh-CN"/>
              </w:rPr>
            </w:pPr>
            <w:r>
              <w:rPr>
                <w:rFonts w:hint="eastAsia"/>
              </w:rPr>
              <w:t>*</w:t>
            </w:r>
          </w:p>
        </w:tc>
      </w:tr>
      <w:tr w14:paraId="3F44B24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31C5B6C6">
            <w:pPr>
              <w:pStyle w:val="11"/>
              <w:bidi w:val="0"/>
              <w:jc w:val="both"/>
              <w:rPr>
                <w:rFonts w:hint="eastAsia"/>
                <w:lang w:eastAsia="zh-CN"/>
              </w:rPr>
            </w:pPr>
            <w:r>
              <w:rPr>
                <w:rFonts w:hint="eastAsia"/>
              </w:rPr>
              <w:t>电力、热力、燃气及水生产和供应业</w:t>
            </w:r>
          </w:p>
        </w:tc>
        <w:tc>
          <w:tcPr>
            <w:tcW w:w="859" w:type="pct"/>
            <w:vAlign w:val="center"/>
          </w:tcPr>
          <w:p w14:paraId="4EE67AFA">
            <w:pPr>
              <w:pStyle w:val="11"/>
              <w:bidi w:val="0"/>
              <w:jc w:val="center"/>
              <w:rPr>
                <w:rFonts w:hint="eastAsia"/>
                <w:lang w:eastAsia="zh-CN"/>
              </w:rPr>
            </w:pPr>
            <w:r>
              <w:rPr>
                <w:rFonts w:hint="eastAsia"/>
              </w:rPr>
              <w:t>5</w:t>
            </w:r>
          </w:p>
        </w:tc>
        <w:tc>
          <w:tcPr>
            <w:tcW w:w="697" w:type="pct"/>
            <w:vAlign w:val="center"/>
          </w:tcPr>
          <w:p w14:paraId="40443BE7">
            <w:pPr>
              <w:pStyle w:val="11"/>
              <w:bidi w:val="0"/>
              <w:jc w:val="center"/>
              <w:rPr>
                <w:rFonts w:hint="eastAsia"/>
                <w:lang w:eastAsia="zh-CN"/>
              </w:rPr>
            </w:pPr>
            <w:r>
              <w:rPr>
                <w:rFonts w:hint="eastAsia"/>
              </w:rPr>
              <w:t>355</w:t>
            </w:r>
          </w:p>
        </w:tc>
        <w:tc>
          <w:tcPr>
            <w:tcW w:w="707" w:type="pct"/>
            <w:vAlign w:val="center"/>
          </w:tcPr>
          <w:p w14:paraId="5165EDA4">
            <w:pPr>
              <w:pStyle w:val="11"/>
              <w:bidi w:val="0"/>
              <w:jc w:val="center"/>
              <w:rPr>
                <w:rFonts w:hint="eastAsia"/>
                <w:lang w:eastAsia="zh-CN"/>
              </w:rPr>
            </w:pPr>
            <w:r>
              <w:rPr>
                <w:rFonts w:hint="eastAsia"/>
              </w:rPr>
              <w:t>*</w:t>
            </w:r>
          </w:p>
        </w:tc>
        <w:tc>
          <w:tcPr>
            <w:tcW w:w="695" w:type="pct"/>
            <w:vAlign w:val="center"/>
          </w:tcPr>
          <w:p w14:paraId="18D8C7CC">
            <w:pPr>
              <w:pStyle w:val="11"/>
              <w:bidi w:val="0"/>
              <w:jc w:val="center"/>
              <w:rPr>
                <w:rFonts w:hint="eastAsia"/>
                <w:lang w:eastAsia="zh-CN"/>
              </w:rPr>
            </w:pPr>
            <w:r>
              <w:rPr>
                <w:rFonts w:hint="eastAsia"/>
              </w:rPr>
              <w:t>*</w:t>
            </w:r>
          </w:p>
        </w:tc>
      </w:tr>
      <w:tr w14:paraId="7792EEF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0CD77D7D">
            <w:pPr>
              <w:pStyle w:val="11"/>
              <w:bidi w:val="0"/>
              <w:jc w:val="both"/>
              <w:rPr>
                <w:rFonts w:hint="eastAsia"/>
                <w:lang w:eastAsia="zh-CN"/>
              </w:rPr>
            </w:pPr>
            <w:r>
              <w:rPr>
                <w:rFonts w:hint="eastAsia"/>
              </w:rPr>
              <w:t>建筑业</w:t>
            </w:r>
          </w:p>
        </w:tc>
        <w:tc>
          <w:tcPr>
            <w:tcW w:w="859" w:type="pct"/>
            <w:vAlign w:val="center"/>
          </w:tcPr>
          <w:p w14:paraId="593A80E9">
            <w:pPr>
              <w:pStyle w:val="11"/>
              <w:bidi w:val="0"/>
              <w:jc w:val="center"/>
              <w:rPr>
                <w:rFonts w:hint="eastAsia"/>
                <w:lang w:eastAsia="zh-CN"/>
              </w:rPr>
            </w:pPr>
            <w:r>
              <w:rPr>
                <w:rFonts w:hint="eastAsia"/>
              </w:rPr>
              <w:t>220</w:t>
            </w:r>
          </w:p>
        </w:tc>
        <w:tc>
          <w:tcPr>
            <w:tcW w:w="697" w:type="pct"/>
            <w:vAlign w:val="center"/>
          </w:tcPr>
          <w:p w14:paraId="2B97658B">
            <w:pPr>
              <w:pStyle w:val="11"/>
              <w:bidi w:val="0"/>
              <w:jc w:val="center"/>
              <w:rPr>
                <w:rFonts w:hint="eastAsia"/>
                <w:lang w:eastAsia="zh-CN"/>
              </w:rPr>
            </w:pPr>
            <w:r>
              <w:rPr>
                <w:rFonts w:hint="eastAsia"/>
              </w:rPr>
              <w:t>2607</w:t>
            </w:r>
          </w:p>
        </w:tc>
        <w:tc>
          <w:tcPr>
            <w:tcW w:w="707" w:type="pct"/>
            <w:vAlign w:val="center"/>
          </w:tcPr>
          <w:p w14:paraId="13E91474">
            <w:pPr>
              <w:pStyle w:val="11"/>
              <w:bidi w:val="0"/>
              <w:jc w:val="center"/>
              <w:rPr>
                <w:rFonts w:hint="eastAsia"/>
                <w:lang w:eastAsia="zh-CN"/>
              </w:rPr>
            </w:pPr>
            <w:r>
              <w:rPr>
                <w:rFonts w:hint="eastAsia"/>
              </w:rPr>
              <w:t>*</w:t>
            </w:r>
          </w:p>
        </w:tc>
        <w:tc>
          <w:tcPr>
            <w:tcW w:w="695" w:type="pct"/>
            <w:vAlign w:val="center"/>
          </w:tcPr>
          <w:p w14:paraId="6D639A33">
            <w:pPr>
              <w:pStyle w:val="11"/>
              <w:bidi w:val="0"/>
              <w:jc w:val="center"/>
              <w:rPr>
                <w:rFonts w:hint="eastAsia"/>
                <w:lang w:eastAsia="zh-CN"/>
              </w:rPr>
            </w:pPr>
            <w:r>
              <w:rPr>
                <w:rFonts w:hint="eastAsia"/>
              </w:rPr>
              <w:t>*</w:t>
            </w:r>
          </w:p>
        </w:tc>
      </w:tr>
      <w:tr w14:paraId="7867523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4FB40491">
            <w:pPr>
              <w:pStyle w:val="11"/>
              <w:bidi w:val="0"/>
              <w:jc w:val="both"/>
              <w:rPr>
                <w:rFonts w:hint="eastAsia"/>
                <w:lang w:eastAsia="zh-CN"/>
              </w:rPr>
            </w:pPr>
            <w:r>
              <w:rPr>
                <w:rFonts w:hint="eastAsia"/>
              </w:rPr>
              <w:t>批发和零售业</w:t>
            </w:r>
          </w:p>
        </w:tc>
        <w:tc>
          <w:tcPr>
            <w:tcW w:w="859" w:type="pct"/>
            <w:vAlign w:val="center"/>
          </w:tcPr>
          <w:p w14:paraId="623A38A2">
            <w:pPr>
              <w:pStyle w:val="11"/>
              <w:bidi w:val="0"/>
              <w:jc w:val="center"/>
              <w:rPr>
                <w:rFonts w:hint="eastAsia"/>
                <w:lang w:eastAsia="zh-CN"/>
              </w:rPr>
            </w:pPr>
            <w:r>
              <w:rPr>
                <w:rFonts w:hint="eastAsia"/>
              </w:rPr>
              <w:t>8326</w:t>
            </w:r>
          </w:p>
        </w:tc>
        <w:tc>
          <w:tcPr>
            <w:tcW w:w="697" w:type="pct"/>
            <w:vAlign w:val="center"/>
          </w:tcPr>
          <w:p w14:paraId="45EE744F">
            <w:pPr>
              <w:pStyle w:val="11"/>
              <w:bidi w:val="0"/>
              <w:jc w:val="center"/>
              <w:rPr>
                <w:rFonts w:hint="eastAsia"/>
                <w:lang w:eastAsia="zh-CN"/>
              </w:rPr>
            </w:pPr>
            <w:r>
              <w:rPr>
                <w:rFonts w:hint="eastAsia"/>
              </w:rPr>
              <w:t>33154</w:t>
            </w:r>
          </w:p>
        </w:tc>
        <w:tc>
          <w:tcPr>
            <w:tcW w:w="707" w:type="pct"/>
            <w:vAlign w:val="center"/>
          </w:tcPr>
          <w:p w14:paraId="1B90D248">
            <w:pPr>
              <w:pStyle w:val="11"/>
              <w:bidi w:val="0"/>
              <w:jc w:val="center"/>
              <w:rPr>
                <w:rFonts w:hint="eastAsia"/>
                <w:lang w:eastAsia="zh-CN"/>
              </w:rPr>
            </w:pPr>
            <w:r>
              <w:rPr>
                <w:rFonts w:hint="eastAsia"/>
              </w:rPr>
              <w:t>*</w:t>
            </w:r>
          </w:p>
        </w:tc>
        <w:tc>
          <w:tcPr>
            <w:tcW w:w="695" w:type="pct"/>
            <w:vAlign w:val="center"/>
          </w:tcPr>
          <w:p w14:paraId="0C22668E">
            <w:pPr>
              <w:pStyle w:val="11"/>
              <w:bidi w:val="0"/>
              <w:jc w:val="center"/>
              <w:rPr>
                <w:rFonts w:hint="eastAsia"/>
                <w:lang w:eastAsia="zh-CN"/>
              </w:rPr>
            </w:pPr>
            <w:r>
              <w:rPr>
                <w:rFonts w:hint="eastAsia"/>
              </w:rPr>
              <w:t>*</w:t>
            </w:r>
          </w:p>
        </w:tc>
      </w:tr>
      <w:tr w14:paraId="539C146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00472D56">
            <w:pPr>
              <w:pStyle w:val="11"/>
              <w:bidi w:val="0"/>
              <w:jc w:val="both"/>
              <w:rPr>
                <w:rFonts w:hint="eastAsia"/>
                <w:lang w:eastAsia="zh-CN"/>
              </w:rPr>
            </w:pPr>
            <w:r>
              <w:rPr>
                <w:rFonts w:hint="eastAsia"/>
              </w:rPr>
              <w:t>交通运输、仓储和邮政业</w:t>
            </w:r>
          </w:p>
        </w:tc>
        <w:tc>
          <w:tcPr>
            <w:tcW w:w="859" w:type="pct"/>
            <w:vAlign w:val="center"/>
          </w:tcPr>
          <w:p w14:paraId="7D88C805">
            <w:pPr>
              <w:pStyle w:val="11"/>
              <w:bidi w:val="0"/>
              <w:jc w:val="center"/>
              <w:rPr>
                <w:rFonts w:hint="eastAsia"/>
                <w:lang w:eastAsia="zh-CN"/>
              </w:rPr>
            </w:pPr>
            <w:r>
              <w:rPr>
                <w:rFonts w:hint="eastAsia"/>
              </w:rPr>
              <w:t>55</w:t>
            </w:r>
          </w:p>
        </w:tc>
        <w:tc>
          <w:tcPr>
            <w:tcW w:w="697" w:type="pct"/>
            <w:vAlign w:val="center"/>
          </w:tcPr>
          <w:p w14:paraId="52DD38C8">
            <w:pPr>
              <w:pStyle w:val="11"/>
              <w:bidi w:val="0"/>
              <w:jc w:val="center"/>
              <w:rPr>
                <w:rFonts w:hint="eastAsia"/>
                <w:lang w:eastAsia="zh-CN"/>
              </w:rPr>
            </w:pPr>
            <w:r>
              <w:rPr>
                <w:rFonts w:hint="eastAsia"/>
              </w:rPr>
              <w:t>476</w:t>
            </w:r>
          </w:p>
        </w:tc>
        <w:tc>
          <w:tcPr>
            <w:tcW w:w="707" w:type="pct"/>
            <w:vAlign w:val="center"/>
          </w:tcPr>
          <w:p w14:paraId="0A1F6F30">
            <w:pPr>
              <w:pStyle w:val="11"/>
              <w:bidi w:val="0"/>
              <w:jc w:val="center"/>
              <w:rPr>
                <w:rFonts w:hint="eastAsia"/>
                <w:lang w:eastAsia="zh-CN"/>
              </w:rPr>
            </w:pPr>
            <w:r>
              <w:rPr>
                <w:rFonts w:hint="eastAsia"/>
              </w:rPr>
              <w:t>*</w:t>
            </w:r>
          </w:p>
        </w:tc>
        <w:tc>
          <w:tcPr>
            <w:tcW w:w="695" w:type="pct"/>
            <w:vAlign w:val="center"/>
          </w:tcPr>
          <w:p w14:paraId="4B0A90F6">
            <w:pPr>
              <w:pStyle w:val="11"/>
              <w:bidi w:val="0"/>
              <w:jc w:val="center"/>
              <w:rPr>
                <w:rFonts w:hint="eastAsia"/>
                <w:lang w:eastAsia="zh-CN"/>
              </w:rPr>
            </w:pPr>
            <w:r>
              <w:rPr>
                <w:rFonts w:hint="eastAsia"/>
              </w:rPr>
              <w:t>*</w:t>
            </w:r>
          </w:p>
        </w:tc>
      </w:tr>
      <w:tr w14:paraId="7634048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1EC86BEB">
            <w:pPr>
              <w:pStyle w:val="11"/>
              <w:bidi w:val="0"/>
              <w:jc w:val="both"/>
              <w:rPr>
                <w:rFonts w:hint="eastAsia"/>
                <w:lang w:eastAsia="zh-CN"/>
              </w:rPr>
            </w:pPr>
            <w:r>
              <w:rPr>
                <w:rFonts w:hint="eastAsia"/>
              </w:rPr>
              <w:t>住宿和餐饮业</w:t>
            </w:r>
          </w:p>
        </w:tc>
        <w:tc>
          <w:tcPr>
            <w:tcW w:w="859" w:type="pct"/>
            <w:vAlign w:val="center"/>
          </w:tcPr>
          <w:p w14:paraId="7B7B1D5C">
            <w:pPr>
              <w:pStyle w:val="11"/>
              <w:bidi w:val="0"/>
              <w:jc w:val="center"/>
              <w:rPr>
                <w:rFonts w:hint="eastAsia"/>
                <w:lang w:eastAsia="zh-CN"/>
              </w:rPr>
            </w:pPr>
            <w:r>
              <w:rPr>
                <w:rFonts w:hint="eastAsia"/>
              </w:rPr>
              <w:t>1406</w:t>
            </w:r>
          </w:p>
        </w:tc>
        <w:tc>
          <w:tcPr>
            <w:tcW w:w="697" w:type="pct"/>
            <w:vAlign w:val="center"/>
          </w:tcPr>
          <w:p w14:paraId="3AE93548">
            <w:pPr>
              <w:pStyle w:val="11"/>
              <w:bidi w:val="0"/>
              <w:jc w:val="center"/>
              <w:rPr>
                <w:rFonts w:hint="eastAsia"/>
                <w:lang w:eastAsia="zh-CN"/>
              </w:rPr>
            </w:pPr>
            <w:r>
              <w:rPr>
                <w:rFonts w:hint="eastAsia"/>
              </w:rPr>
              <w:t>13215</w:t>
            </w:r>
          </w:p>
        </w:tc>
        <w:tc>
          <w:tcPr>
            <w:tcW w:w="707" w:type="pct"/>
            <w:vAlign w:val="center"/>
          </w:tcPr>
          <w:p w14:paraId="3A4F8833">
            <w:pPr>
              <w:pStyle w:val="11"/>
              <w:bidi w:val="0"/>
              <w:jc w:val="center"/>
              <w:rPr>
                <w:rFonts w:hint="eastAsia"/>
                <w:lang w:eastAsia="zh-CN"/>
              </w:rPr>
            </w:pPr>
            <w:r>
              <w:rPr>
                <w:rFonts w:hint="eastAsia"/>
              </w:rPr>
              <w:t>*</w:t>
            </w:r>
          </w:p>
        </w:tc>
        <w:tc>
          <w:tcPr>
            <w:tcW w:w="695" w:type="pct"/>
            <w:vAlign w:val="center"/>
          </w:tcPr>
          <w:p w14:paraId="0CBAEC33">
            <w:pPr>
              <w:pStyle w:val="11"/>
              <w:bidi w:val="0"/>
              <w:jc w:val="center"/>
              <w:rPr>
                <w:rFonts w:hint="eastAsia"/>
                <w:lang w:eastAsia="zh-CN"/>
              </w:rPr>
            </w:pPr>
            <w:r>
              <w:rPr>
                <w:rFonts w:hint="eastAsia"/>
              </w:rPr>
              <w:t>*</w:t>
            </w:r>
          </w:p>
        </w:tc>
      </w:tr>
      <w:tr w14:paraId="0517064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33CF6383">
            <w:pPr>
              <w:pStyle w:val="11"/>
              <w:bidi w:val="0"/>
              <w:jc w:val="both"/>
              <w:rPr>
                <w:rFonts w:hint="eastAsia"/>
                <w:lang w:eastAsia="zh-CN"/>
              </w:rPr>
            </w:pPr>
            <w:r>
              <w:rPr>
                <w:rFonts w:hint="eastAsia"/>
              </w:rPr>
              <w:t>信息传输、软件和信息技术服务业</w:t>
            </w:r>
          </w:p>
        </w:tc>
        <w:tc>
          <w:tcPr>
            <w:tcW w:w="859" w:type="pct"/>
            <w:vAlign w:val="center"/>
          </w:tcPr>
          <w:p w14:paraId="566468D3">
            <w:pPr>
              <w:pStyle w:val="11"/>
              <w:bidi w:val="0"/>
              <w:jc w:val="center"/>
              <w:rPr>
                <w:rFonts w:hint="eastAsia"/>
                <w:lang w:eastAsia="zh-CN"/>
              </w:rPr>
            </w:pPr>
            <w:r>
              <w:rPr>
                <w:rFonts w:hint="eastAsia"/>
              </w:rPr>
              <w:t>77</w:t>
            </w:r>
          </w:p>
        </w:tc>
        <w:tc>
          <w:tcPr>
            <w:tcW w:w="697" w:type="pct"/>
            <w:vAlign w:val="center"/>
          </w:tcPr>
          <w:p w14:paraId="6185C8FC">
            <w:pPr>
              <w:pStyle w:val="11"/>
              <w:bidi w:val="0"/>
              <w:jc w:val="center"/>
              <w:rPr>
                <w:rFonts w:hint="eastAsia"/>
                <w:lang w:eastAsia="zh-CN"/>
              </w:rPr>
            </w:pPr>
            <w:r>
              <w:rPr>
                <w:rFonts w:hint="eastAsia"/>
              </w:rPr>
              <w:t>440</w:t>
            </w:r>
          </w:p>
        </w:tc>
        <w:tc>
          <w:tcPr>
            <w:tcW w:w="707" w:type="pct"/>
            <w:vAlign w:val="center"/>
          </w:tcPr>
          <w:p w14:paraId="52F7192B">
            <w:pPr>
              <w:pStyle w:val="11"/>
              <w:bidi w:val="0"/>
              <w:jc w:val="center"/>
              <w:rPr>
                <w:rFonts w:hint="eastAsia"/>
                <w:lang w:eastAsia="zh-CN"/>
              </w:rPr>
            </w:pPr>
            <w:r>
              <w:rPr>
                <w:rFonts w:hint="eastAsia"/>
              </w:rPr>
              <w:t>*</w:t>
            </w:r>
          </w:p>
        </w:tc>
        <w:tc>
          <w:tcPr>
            <w:tcW w:w="695" w:type="pct"/>
            <w:vAlign w:val="center"/>
          </w:tcPr>
          <w:p w14:paraId="51FCF9AE">
            <w:pPr>
              <w:pStyle w:val="11"/>
              <w:bidi w:val="0"/>
              <w:jc w:val="center"/>
              <w:rPr>
                <w:rFonts w:hint="eastAsia"/>
                <w:lang w:eastAsia="zh-CN"/>
              </w:rPr>
            </w:pPr>
            <w:r>
              <w:rPr>
                <w:rFonts w:hint="eastAsia"/>
              </w:rPr>
              <w:t>*</w:t>
            </w:r>
          </w:p>
        </w:tc>
      </w:tr>
      <w:tr w14:paraId="38FF0F3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13EB3D58">
            <w:pPr>
              <w:pStyle w:val="11"/>
              <w:bidi w:val="0"/>
              <w:jc w:val="both"/>
              <w:rPr>
                <w:rFonts w:hint="eastAsia"/>
                <w:lang w:eastAsia="zh-CN"/>
              </w:rPr>
            </w:pPr>
            <w:r>
              <w:rPr>
                <w:rFonts w:hint="eastAsia"/>
              </w:rPr>
              <w:t>金融业</w:t>
            </w:r>
          </w:p>
        </w:tc>
        <w:tc>
          <w:tcPr>
            <w:tcW w:w="859" w:type="pct"/>
            <w:vAlign w:val="center"/>
          </w:tcPr>
          <w:p w14:paraId="00141925">
            <w:pPr>
              <w:pStyle w:val="11"/>
              <w:bidi w:val="0"/>
              <w:jc w:val="center"/>
              <w:rPr>
                <w:rFonts w:hint="eastAsia"/>
                <w:lang w:eastAsia="zh-CN"/>
              </w:rPr>
            </w:pPr>
            <w:r>
              <w:rPr>
                <w:rFonts w:hint="eastAsia"/>
              </w:rPr>
              <w:t>0</w:t>
            </w:r>
          </w:p>
        </w:tc>
        <w:tc>
          <w:tcPr>
            <w:tcW w:w="697" w:type="pct"/>
            <w:vAlign w:val="center"/>
          </w:tcPr>
          <w:p w14:paraId="417D3055">
            <w:pPr>
              <w:pStyle w:val="11"/>
              <w:bidi w:val="0"/>
              <w:jc w:val="center"/>
              <w:rPr>
                <w:rFonts w:hint="eastAsia"/>
                <w:lang w:eastAsia="zh-CN"/>
              </w:rPr>
            </w:pPr>
            <w:r>
              <w:rPr>
                <w:rFonts w:hint="eastAsia"/>
              </w:rPr>
              <w:t>0</w:t>
            </w:r>
          </w:p>
        </w:tc>
        <w:tc>
          <w:tcPr>
            <w:tcW w:w="707" w:type="pct"/>
            <w:vAlign w:val="center"/>
          </w:tcPr>
          <w:p w14:paraId="3321D796">
            <w:pPr>
              <w:pStyle w:val="11"/>
              <w:bidi w:val="0"/>
              <w:jc w:val="center"/>
              <w:rPr>
                <w:rFonts w:hint="eastAsia"/>
                <w:lang w:eastAsia="zh-CN"/>
              </w:rPr>
            </w:pPr>
            <w:r>
              <w:rPr>
                <w:rFonts w:hint="eastAsia"/>
              </w:rPr>
              <w:t>*</w:t>
            </w:r>
          </w:p>
        </w:tc>
        <w:tc>
          <w:tcPr>
            <w:tcW w:w="695" w:type="pct"/>
            <w:vAlign w:val="center"/>
          </w:tcPr>
          <w:p w14:paraId="4130C20D">
            <w:pPr>
              <w:pStyle w:val="11"/>
              <w:bidi w:val="0"/>
              <w:jc w:val="center"/>
              <w:rPr>
                <w:rFonts w:hint="eastAsia"/>
                <w:lang w:eastAsia="zh-CN"/>
              </w:rPr>
            </w:pPr>
            <w:r>
              <w:rPr>
                <w:rFonts w:hint="eastAsia"/>
              </w:rPr>
              <w:t>*</w:t>
            </w:r>
          </w:p>
        </w:tc>
      </w:tr>
      <w:tr w14:paraId="4E94F87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50A1A26C">
            <w:pPr>
              <w:pStyle w:val="11"/>
              <w:bidi w:val="0"/>
              <w:jc w:val="both"/>
              <w:rPr>
                <w:rFonts w:hint="eastAsia"/>
                <w:lang w:eastAsia="zh-CN"/>
              </w:rPr>
            </w:pPr>
            <w:r>
              <w:rPr>
                <w:rFonts w:hint="eastAsia"/>
              </w:rPr>
              <w:t>房地产业</w:t>
            </w:r>
          </w:p>
        </w:tc>
        <w:tc>
          <w:tcPr>
            <w:tcW w:w="859" w:type="pct"/>
            <w:vAlign w:val="center"/>
          </w:tcPr>
          <w:p w14:paraId="23CF5A33">
            <w:pPr>
              <w:pStyle w:val="11"/>
              <w:bidi w:val="0"/>
              <w:jc w:val="center"/>
              <w:rPr>
                <w:rFonts w:hint="eastAsia"/>
                <w:lang w:eastAsia="zh-CN"/>
              </w:rPr>
            </w:pPr>
            <w:r>
              <w:rPr>
                <w:rFonts w:hint="eastAsia"/>
              </w:rPr>
              <w:t>16</w:t>
            </w:r>
          </w:p>
        </w:tc>
        <w:tc>
          <w:tcPr>
            <w:tcW w:w="697" w:type="pct"/>
            <w:vAlign w:val="center"/>
          </w:tcPr>
          <w:p w14:paraId="0B319676">
            <w:pPr>
              <w:pStyle w:val="11"/>
              <w:bidi w:val="0"/>
              <w:jc w:val="center"/>
              <w:rPr>
                <w:rFonts w:hint="eastAsia"/>
                <w:lang w:eastAsia="zh-CN"/>
              </w:rPr>
            </w:pPr>
            <w:r>
              <w:rPr>
                <w:rFonts w:hint="eastAsia"/>
              </w:rPr>
              <w:t>23</w:t>
            </w:r>
          </w:p>
        </w:tc>
        <w:tc>
          <w:tcPr>
            <w:tcW w:w="707" w:type="pct"/>
            <w:vAlign w:val="center"/>
          </w:tcPr>
          <w:p w14:paraId="5A6C79A7">
            <w:pPr>
              <w:pStyle w:val="11"/>
              <w:bidi w:val="0"/>
              <w:jc w:val="center"/>
              <w:rPr>
                <w:rFonts w:hint="eastAsia"/>
                <w:lang w:eastAsia="zh-CN"/>
              </w:rPr>
            </w:pPr>
            <w:r>
              <w:rPr>
                <w:rFonts w:hint="eastAsia"/>
              </w:rPr>
              <w:t>*</w:t>
            </w:r>
          </w:p>
        </w:tc>
        <w:tc>
          <w:tcPr>
            <w:tcW w:w="695" w:type="pct"/>
            <w:vAlign w:val="center"/>
          </w:tcPr>
          <w:p w14:paraId="01E1F891">
            <w:pPr>
              <w:pStyle w:val="11"/>
              <w:bidi w:val="0"/>
              <w:jc w:val="center"/>
              <w:rPr>
                <w:rFonts w:hint="eastAsia"/>
                <w:lang w:eastAsia="zh-CN"/>
              </w:rPr>
            </w:pPr>
            <w:r>
              <w:rPr>
                <w:rFonts w:hint="eastAsia"/>
              </w:rPr>
              <w:t>*</w:t>
            </w:r>
          </w:p>
        </w:tc>
      </w:tr>
      <w:tr w14:paraId="7B2B4AE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2A4C0DE7">
            <w:pPr>
              <w:pStyle w:val="11"/>
              <w:bidi w:val="0"/>
              <w:jc w:val="both"/>
              <w:rPr>
                <w:rFonts w:hint="eastAsia"/>
                <w:lang w:eastAsia="zh-CN"/>
              </w:rPr>
            </w:pPr>
            <w:r>
              <w:rPr>
                <w:rFonts w:hint="eastAsia"/>
              </w:rPr>
              <w:t>租赁和商务服务业</w:t>
            </w:r>
          </w:p>
        </w:tc>
        <w:tc>
          <w:tcPr>
            <w:tcW w:w="859" w:type="pct"/>
            <w:vAlign w:val="center"/>
          </w:tcPr>
          <w:p w14:paraId="27BC56A8">
            <w:pPr>
              <w:pStyle w:val="11"/>
              <w:bidi w:val="0"/>
              <w:jc w:val="center"/>
              <w:rPr>
                <w:rFonts w:hint="eastAsia"/>
                <w:lang w:eastAsia="zh-CN"/>
              </w:rPr>
            </w:pPr>
            <w:r>
              <w:rPr>
                <w:rFonts w:hint="eastAsia"/>
              </w:rPr>
              <w:t>156</w:t>
            </w:r>
          </w:p>
        </w:tc>
        <w:tc>
          <w:tcPr>
            <w:tcW w:w="697" w:type="pct"/>
            <w:vAlign w:val="center"/>
          </w:tcPr>
          <w:p w14:paraId="7C3617A5">
            <w:pPr>
              <w:pStyle w:val="11"/>
              <w:bidi w:val="0"/>
              <w:jc w:val="center"/>
              <w:rPr>
                <w:rFonts w:hint="eastAsia"/>
                <w:lang w:eastAsia="zh-CN"/>
              </w:rPr>
            </w:pPr>
            <w:r>
              <w:rPr>
                <w:rFonts w:hint="eastAsia"/>
              </w:rPr>
              <w:t>936</w:t>
            </w:r>
          </w:p>
        </w:tc>
        <w:tc>
          <w:tcPr>
            <w:tcW w:w="707" w:type="pct"/>
            <w:vAlign w:val="center"/>
          </w:tcPr>
          <w:p w14:paraId="6C93730D">
            <w:pPr>
              <w:pStyle w:val="11"/>
              <w:bidi w:val="0"/>
              <w:jc w:val="center"/>
              <w:rPr>
                <w:rFonts w:hint="eastAsia"/>
                <w:lang w:eastAsia="zh-CN"/>
              </w:rPr>
            </w:pPr>
            <w:r>
              <w:rPr>
                <w:rFonts w:hint="eastAsia"/>
              </w:rPr>
              <w:t>*</w:t>
            </w:r>
          </w:p>
        </w:tc>
        <w:tc>
          <w:tcPr>
            <w:tcW w:w="695" w:type="pct"/>
            <w:vAlign w:val="center"/>
          </w:tcPr>
          <w:p w14:paraId="2724B557">
            <w:pPr>
              <w:pStyle w:val="11"/>
              <w:bidi w:val="0"/>
              <w:jc w:val="center"/>
              <w:rPr>
                <w:rFonts w:hint="eastAsia"/>
                <w:lang w:eastAsia="zh-CN"/>
              </w:rPr>
            </w:pPr>
            <w:r>
              <w:rPr>
                <w:rFonts w:hint="eastAsia"/>
              </w:rPr>
              <w:t>*</w:t>
            </w:r>
          </w:p>
        </w:tc>
      </w:tr>
      <w:tr w14:paraId="1A8B35B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60746C77">
            <w:pPr>
              <w:pStyle w:val="11"/>
              <w:bidi w:val="0"/>
              <w:jc w:val="both"/>
              <w:rPr>
                <w:rFonts w:hint="eastAsia"/>
                <w:lang w:eastAsia="zh-CN"/>
              </w:rPr>
            </w:pPr>
            <w:r>
              <w:rPr>
                <w:rFonts w:hint="eastAsia"/>
              </w:rPr>
              <w:t>科学研究和技术服务业</w:t>
            </w:r>
          </w:p>
        </w:tc>
        <w:tc>
          <w:tcPr>
            <w:tcW w:w="859" w:type="pct"/>
            <w:vAlign w:val="center"/>
          </w:tcPr>
          <w:p w14:paraId="2DA49AB9">
            <w:pPr>
              <w:pStyle w:val="11"/>
              <w:bidi w:val="0"/>
              <w:jc w:val="center"/>
              <w:rPr>
                <w:rFonts w:hint="eastAsia"/>
                <w:lang w:eastAsia="zh-CN"/>
              </w:rPr>
            </w:pPr>
            <w:r>
              <w:rPr>
                <w:rFonts w:hint="eastAsia"/>
              </w:rPr>
              <w:t>43</w:t>
            </w:r>
          </w:p>
        </w:tc>
        <w:tc>
          <w:tcPr>
            <w:tcW w:w="697" w:type="pct"/>
            <w:vAlign w:val="center"/>
          </w:tcPr>
          <w:p w14:paraId="07E88E85">
            <w:pPr>
              <w:pStyle w:val="11"/>
              <w:bidi w:val="0"/>
              <w:jc w:val="center"/>
              <w:rPr>
                <w:rFonts w:hint="eastAsia"/>
                <w:lang w:eastAsia="zh-CN"/>
              </w:rPr>
            </w:pPr>
            <w:r>
              <w:rPr>
                <w:rFonts w:hint="eastAsia"/>
              </w:rPr>
              <w:t>64</w:t>
            </w:r>
          </w:p>
        </w:tc>
        <w:tc>
          <w:tcPr>
            <w:tcW w:w="707" w:type="pct"/>
            <w:vAlign w:val="center"/>
          </w:tcPr>
          <w:p w14:paraId="6BB9B8A7">
            <w:pPr>
              <w:pStyle w:val="11"/>
              <w:bidi w:val="0"/>
              <w:jc w:val="center"/>
              <w:rPr>
                <w:rFonts w:hint="eastAsia"/>
                <w:lang w:eastAsia="zh-CN"/>
              </w:rPr>
            </w:pPr>
            <w:r>
              <w:rPr>
                <w:rFonts w:hint="eastAsia"/>
              </w:rPr>
              <w:t>*</w:t>
            </w:r>
          </w:p>
        </w:tc>
        <w:tc>
          <w:tcPr>
            <w:tcW w:w="695" w:type="pct"/>
            <w:vAlign w:val="center"/>
          </w:tcPr>
          <w:p w14:paraId="4C1741C7">
            <w:pPr>
              <w:pStyle w:val="11"/>
              <w:bidi w:val="0"/>
              <w:jc w:val="center"/>
              <w:rPr>
                <w:rFonts w:hint="eastAsia"/>
                <w:lang w:eastAsia="zh-CN"/>
              </w:rPr>
            </w:pPr>
            <w:r>
              <w:rPr>
                <w:rFonts w:hint="eastAsia"/>
              </w:rPr>
              <w:t>*</w:t>
            </w:r>
          </w:p>
        </w:tc>
      </w:tr>
      <w:tr w14:paraId="7B52F43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2FA09675">
            <w:pPr>
              <w:pStyle w:val="11"/>
              <w:bidi w:val="0"/>
              <w:jc w:val="both"/>
              <w:rPr>
                <w:rFonts w:hint="eastAsia"/>
                <w:lang w:eastAsia="zh-CN"/>
              </w:rPr>
            </w:pPr>
            <w:r>
              <w:rPr>
                <w:rFonts w:hint="eastAsia"/>
              </w:rPr>
              <w:t>水利、环境和公共设施管理业</w:t>
            </w:r>
          </w:p>
        </w:tc>
        <w:tc>
          <w:tcPr>
            <w:tcW w:w="859" w:type="pct"/>
            <w:vAlign w:val="center"/>
          </w:tcPr>
          <w:p w14:paraId="53DC02C9">
            <w:pPr>
              <w:pStyle w:val="11"/>
              <w:bidi w:val="0"/>
              <w:jc w:val="center"/>
              <w:rPr>
                <w:rFonts w:hint="eastAsia"/>
                <w:lang w:eastAsia="zh-CN"/>
              </w:rPr>
            </w:pPr>
            <w:r>
              <w:rPr>
                <w:rFonts w:hint="eastAsia"/>
              </w:rPr>
              <w:t>2</w:t>
            </w:r>
          </w:p>
        </w:tc>
        <w:tc>
          <w:tcPr>
            <w:tcW w:w="697" w:type="pct"/>
            <w:vAlign w:val="center"/>
          </w:tcPr>
          <w:p w14:paraId="36B14D01">
            <w:pPr>
              <w:pStyle w:val="11"/>
              <w:bidi w:val="0"/>
              <w:jc w:val="center"/>
              <w:rPr>
                <w:rFonts w:hint="eastAsia"/>
                <w:lang w:eastAsia="zh-CN"/>
              </w:rPr>
            </w:pPr>
            <w:r>
              <w:rPr>
                <w:rFonts w:hint="eastAsia"/>
              </w:rPr>
              <w:t>4</w:t>
            </w:r>
          </w:p>
        </w:tc>
        <w:tc>
          <w:tcPr>
            <w:tcW w:w="707" w:type="pct"/>
            <w:vAlign w:val="center"/>
          </w:tcPr>
          <w:p w14:paraId="22F22F73">
            <w:pPr>
              <w:pStyle w:val="11"/>
              <w:bidi w:val="0"/>
              <w:jc w:val="center"/>
              <w:rPr>
                <w:rFonts w:hint="eastAsia"/>
                <w:lang w:eastAsia="zh-CN"/>
              </w:rPr>
            </w:pPr>
            <w:r>
              <w:rPr>
                <w:rFonts w:hint="eastAsia"/>
              </w:rPr>
              <w:t>*</w:t>
            </w:r>
          </w:p>
        </w:tc>
        <w:tc>
          <w:tcPr>
            <w:tcW w:w="695" w:type="pct"/>
            <w:vAlign w:val="center"/>
          </w:tcPr>
          <w:p w14:paraId="6EE806C7">
            <w:pPr>
              <w:pStyle w:val="11"/>
              <w:bidi w:val="0"/>
              <w:jc w:val="center"/>
              <w:rPr>
                <w:rFonts w:hint="eastAsia"/>
                <w:lang w:eastAsia="zh-CN"/>
              </w:rPr>
            </w:pPr>
            <w:r>
              <w:rPr>
                <w:rFonts w:hint="eastAsia"/>
              </w:rPr>
              <w:t>*</w:t>
            </w:r>
          </w:p>
        </w:tc>
      </w:tr>
      <w:tr w14:paraId="20824A6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7B03D126">
            <w:pPr>
              <w:pStyle w:val="11"/>
              <w:bidi w:val="0"/>
              <w:jc w:val="both"/>
              <w:rPr>
                <w:rFonts w:hint="eastAsia"/>
                <w:lang w:eastAsia="zh-CN"/>
              </w:rPr>
            </w:pPr>
            <w:r>
              <w:rPr>
                <w:rFonts w:hint="eastAsia"/>
              </w:rPr>
              <w:t>居民服务、修理和其他服务业</w:t>
            </w:r>
          </w:p>
        </w:tc>
        <w:tc>
          <w:tcPr>
            <w:tcW w:w="859" w:type="pct"/>
            <w:vAlign w:val="center"/>
          </w:tcPr>
          <w:p w14:paraId="33869AC5">
            <w:pPr>
              <w:pStyle w:val="11"/>
              <w:bidi w:val="0"/>
              <w:jc w:val="center"/>
              <w:rPr>
                <w:rFonts w:hint="eastAsia"/>
                <w:lang w:eastAsia="zh-CN"/>
              </w:rPr>
            </w:pPr>
            <w:r>
              <w:rPr>
                <w:rFonts w:hint="eastAsia"/>
              </w:rPr>
              <w:t>1516</w:t>
            </w:r>
          </w:p>
        </w:tc>
        <w:tc>
          <w:tcPr>
            <w:tcW w:w="697" w:type="pct"/>
            <w:vAlign w:val="center"/>
          </w:tcPr>
          <w:p w14:paraId="0042CB7E">
            <w:pPr>
              <w:pStyle w:val="11"/>
              <w:bidi w:val="0"/>
              <w:jc w:val="center"/>
              <w:rPr>
                <w:rFonts w:hint="eastAsia"/>
                <w:lang w:eastAsia="zh-CN"/>
              </w:rPr>
            </w:pPr>
            <w:r>
              <w:rPr>
                <w:rFonts w:hint="eastAsia"/>
              </w:rPr>
              <w:t>4872</w:t>
            </w:r>
          </w:p>
        </w:tc>
        <w:tc>
          <w:tcPr>
            <w:tcW w:w="707" w:type="pct"/>
            <w:vAlign w:val="center"/>
          </w:tcPr>
          <w:p w14:paraId="0C42BAB0">
            <w:pPr>
              <w:pStyle w:val="11"/>
              <w:bidi w:val="0"/>
              <w:jc w:val="center"/>
              <w:rPr>
                <w:rFonts w:hint="eastAsia"/>
                <w:lang w:eastAsia="zh-CN"/>
              </w:rPr>
            </w:pPr>
            <w:r>
              <w:rPr>
                <w:rFonts w:hint="eastAsia"/>
              </w:rPr>
              <w:t>*</w:t>
            </w:r>
          </w:p>
        </w:tc>
        <w:tc>
          <w:tcPr>
            <w:tcW w:w="695" w:type="pct"/>
            <w:vAlign w:val="center"/>
          </w:tcPr>
          <w:p w14:paraId="2D2E29AD">
            <w:pPr>
              <w:pStyle w:val="11"/>
              <w:bidi w:val="0"/>
              <w:jc w:val="center"/>
              <w:rPr>
                <w:rFonts w:hint="eastAsia"/>
                <w:lang w:eastAsia="zh-CN"/>
              </w:rPr>
            </w:pPr>
            <w:r>
              <w:rPr>
                <w:rFonts w:hint="eastAsia"/>
              </w:rPr>
              <w:t>*</w:t>
            </w:r>
          </w:p>
        </w:tc>
      </w:tr>
      <w:tr w14:paraId="069770E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28F3C53A">
            <w:pPr>
              <w:pStyle w:val="11"/>
              <w:bidi w:val="0"/>
              <w:jc w:val="both"/>
              <w:rPr>
                <w:rFonts w:hint="eastAsia"/>
                <w:lang w:eastAsia="zh-CN"/>
              </w:rPr>
            </w:pPr>
            <w:r>
              <w:rPr>
                <w:rFonts w:hint="eastAsia"/>
              </w:rPr>
              <w:t>教育</w:t>
            </w:r>
          </w:p>
        </w:tc>
        <w:tc>
          <w:tcPr>
            <w:tcW w:w="859" w:type="pct"/>
            <w:vAlign w:val="center"/>
          </w:tcPr>
          <w:p w14:paraId="44CC0AA3">
            <w:pPr>
              <w:pStyle w:val="11"/>
              <w:bidi w:val="0"/>
              <w:jc w:val="center"/>
              <w:rPr>
                <w:rFonts w:hint="eastAsia"/>
                <w:lang w:eastAsia="zh-CN"/>
              </w:rPr>
            </w:pPr>
            <w:r>
              <w:rPr>
                <w:rFonts w:hint="eastAsia"/>
              </w:rPr>
              <w:t>31</w:t>
            </w:r>
          </w:p>
        </w:tc>
        <w:tc>
          <w:tcPr>
            <w:tcW w:w="697" w:type="pct"/>
            <w:vAlign w:val="center"/>
          </w:tcPr>
          <w:p w14:paraId="6792D54B">
            <w:pPr>
              <w:pStyle w:val="11"/>
              <w:bidi w:val="0"/>
              <w:jc w:val="center"/>
              <w:rPr>
                <w:rFonts w:hint="eastAsia"/>
                <w:lang w:eastAsia="zh-CN"/>
              </w:rPr>
            </w:pPr>
            <w:r>
              <w:rPr>
                <w:rFonts w:hint="eastAsia"/>
              </w:rPr>
              <w:t>262</w:t>
            </w:r>
          </w:p>
        </w:tc>
        <w:tc>
          <w:tcPr>
            <w:tcW w:w="707" w:type="pct"/>
            <w:vAlign w:val="center"/>
          </w:tcPr>
          <w:p w14:paraId="2057E9CC">
            <w:pPr>
              <w:pStyle w:val="11"/>
              <w:bidi w:val="0"/>
              <w:jc w:val="center"/>
              <w:rPr>
                <w:rFonts w:hint="eastAsia"/>
                <w:lang w:eastAsia="zh-CN"/>
              </w:rPr>
            </w:pPr>
            <w:r>
              <w:rPr>
                <w:rFonts w:hint="eastAsia"/>
              </w:rPr>
              <w:t>*</w:t>
            </w:r>
          </w:p>
        </w:tc>
        <w:tc>
          <w:tcPr>
            <w:tcW w:w="695" w:type="pct"/>
            <w:vAlign w:val="center"/>
          </w:tcPr>
          <w:p w14:paraId="5BF9E4BC">
            <w:pPr>
              <w:pStyle w:val="11"/>
              <w:bidi w:val="0"/>
              <w:jc w:val="center"/>
              <w:rPr>
                <w:rFonts w:hint="eastAsia"/>
                <w:lang w:eastAsia="zh-CN"/>
              </w:rPr>
            </w:pPr>
            <w:r>
              <w:rPr>
                <w:rFonts w:hint="eastAsia"/>
              </w:rPr>
              <w:t>*</w:t>
            </w:r>
          </w:p>
        </w:tc>
      </w:tr>
      <w:tr w14:paraId="7FDEB35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26F5370C">
            <w:pPr>
              <w:pStyle w:val="11"/>
              <w:bidi w:val="0"/>
              <w:jc w:val="both"/>
              <w:rPr>
                <w:rFonts w:hint="eastAsia"/>
                <w:lang w:eastAsia="zh-CN"/>
              </w:rPr>
            </w:pPr>
            <w:r>
              <w:rPr>
                <w:rFonts w:hint="eastAsia"/>
              </w:rPr>
              <w:t>卫生和社会工作</w:t>
            </w:r>
          </w:p>
        </w:tc>
        <w:tc>
          <w:tcPr>
            <w:tcW w:w="859" w:type="pct"/>
            <w:vAlign w:val="center"/>
          </w:tcPr>
          <w:p w14:paraId="6CB25F6D">
            <w:pPr>
              <w:pStyle w:val="11"/>
              <w:bidi w:val="0"/>
              <w:jc w:val="center"/>
              <w:rPr>
                <w:rFonts w:hint="eastAsia"/>
                <w:lang w:eastAsia="zh-CN"/>
              </w:rPr>
            </w:pPr>
            <w:r>
              <w:rPr>
                <w:rFonts w:hint="eastAsia"/>
              </w:rPr>
              <w:t>25</w:t>
            </w:r>
          </w:p>
        </w:tc>
        <w:tc>
          <w:tcPr>
            <w:tcW w:w="697" w:type="pct"/>
            <w:vAlign w:val="center"/>
          </w:tcPr>
          <w:p w14:paraId="13C7FC84">
            <w:pPr>
              <w:pStyle w:val="11"/>
              <w:bidi w:val="0"/>
              <w:jc w:val="center"/>
              <w:rPr>
                <w:rFonts w:hint="eastAsia"/>
                <w:lang w:eastAsia="zh-CN"/>
              </w:rPr>
            </w:pPr>
            <w:r>
              <w:rPr>
                <w:rFonts w:hint="eastAsia"/>
              </w:rPr>
              <w:t>285</w:t>
            </w:r>
          </w:p>
        </w:tc>
        <w:tc>
          <w:tcPr>
            <w:tcW w:w="707" w:type="pct"/>
            <w:vAlign w:val="center"/>
          </w:tcPr>
          <w:p w14:paraId="53A6108A">
            <w:pPr>
              <w:pStyle w:val="11"/>
              <w:bidi w:val="0"/>
              <w:jc w:val="center"/>
              <w:rPr>
                <w:rFonts w:hint="eastAsia"/>
                <w:lang w:eastAsia="zh-CN"/>
              </w:rPr>
            </w:pPr>
            <w:r>
              <w:rPr>
                <w:rFonts w:hint="eastAsia"/>
              </w:rPr>
              <w:t>*</w:t>
            </w:r>
          </w:p>
        </w:tc>
        <w:tc>
          <w:tcPr>
            <w:tcW w:w="695" w:type="pct"/>
            <w:vAlign w:val="center"/>
          </w:tcPr>
          <w:p w14:paraId="11D1DC41">
            <w:pPr>
              <w:pStyle w:val="11"/>
              <w:bidi w:val="0"/>
              <w:jc w:val="center"/>
              <w:rPr>
                <w:rFonts w:hint="eastAsia"/>
                <w:lang w:eastAsia="zh-CN"/>
              </w:rPr>
            </w:pPr>
            <w:r>
              <w:rPr>
                <w:rFonts w:hint="eastAsia"/>
              </w:rPr>
              <w:t>*</w:t>
            </w:r>
          </w:p>
        </w:tc>
      </w:tr>
      <w:tr w14:paraId="14678C4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692E2BB2">
            <w:pPr>
              <w:pStyle w:val="11"/>
              <w:bidi w:val="0"/>
              <w:jc w:val="both"/>
              <w:rPr>
                <w:rFonts w:hint="eastAsia"/>
                <w:lang w:eastAsia="zh-CN"/>
              </w:rPr>
            </w:pPr>
            <w:r>
              <w:rPr>
                <w:rFonts w:hint="eastAsia"/>
              </w:rPr>
              <w:t>文化、体育和娱乐业</w:t>
            </w:r>
          </w:p>
        </w:tc>
        <w:tc>
          <w:tcPr>
            <w:tcW w:w="859" w:type="pct"/>
            <w:vAlign w:val="center"/>
          </w:tcPr>
          <w:p w14:paraId="0959638B">
            <w:pPr>
              <w:pStyle w:val="11"/>
              <w:bidi w:val="0"/>
              <w:jc w:val="center"/>
              <w:rPr>
                <w:rFonts w:hint="eastAsia"/>
                <w:lang w:eastAsia="zh-CN"/>
              </w:rPr>
            </w:pPr>
            <w:r>
              <w:rPr>
                <w:rFonts w:hint="eastAsia"/>
              </w:rPr>
              <w:t>19</w:t>
            </w:r>
          </w:p>
        </w:tc>
        <w:tc>
          <w:tcPr>
            <w:tcW w:w="697" w:type="pct"/>
            <w:vAlign w:val="center"/>
          </w:tcPr>
          <w:p w14:paraId="1BB10926">
            <w:pPr>
              <w:pStyle w:val="11"/>
              <w:bidi w:val="0"/>
              <w:jc w:val="center"/>
              <w:rPr>
                <w:rFonts w:hint="eastAsia"/>
                <w:lang w:eastAsia="zh-CN"/>
              </w:rPr>
            </w:pPr>
            <w:r>
              <w:rPr>
                <w:rFonts w:hint="eastAsia"/>
              </w:rPr>
              <w:t>312</w:t>
            </w:r>
          </w:p>
        </w:tc>
        <w:tc>
          <w:tcPr>
            <w:tcW w:w="707" w:type="pct"/>
            <w:vAlign w:val="center"/>
          </w:tcPr>
          <w:p w14:paraId="0F510E2C">
            <w:pPr>
              <w:pStyle w:val="11"/>
              <w:bidi w:val="0"/>
              <w:jc w:val="center"/>
              <w:rPr>
                <w:rFonts w:hint="eastAsia"/>
                <w:lang w:eastAsia="zh-CN"/>
              </w:rPr>
            </w:pPr>
            <w:r>
              <w:rPr>
                <w:rFonts w:hint="eastAsia"/>
              </w:rPr>
              <w:t>*</w:t>
            </w:r>
          </w:p>
        </w:tc>
        <w:tc>
          <w:tcPr>
            <w:tcW w:w="695" w:type="pct"/>
            <w:vAlign w:val="center"/>
          </w:tcPr>
          <w:p w14:paraId="43D21AFC">
            <w:pPr>
              <w:pStyle w:val="11"/>
              <w:bidi w:val="0"/>
              <w:jc w:val="center"/>
              <w:rPr>
                <w:rFonts w:hint="eastAsia"/>
                <w:lang w:eastAsia="zh-CN"/>
              </w:rPr>
            </w:pPr>
            <w:r>
              <w:rPr>
                <w:rFonts w:hint="eastAsia"/>
              </w:rPr>
              <w:t>*</w:t>
            </w:r>
          </w:p>
        </w:tc>
      </w:tr>
      <w:tr w14:paraId="4A37544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040" w:type="pct"/>
            <w:vAlign w:val="center"/>
          </w:tcPr>
          <w:p w14:paraId="186FD732">
            <w:pPr>
              <w:pStyle w:val="11"/>
              <w:bidi w:val="0"/>
              <w:jc w:val="both"/>
              <w:rPr>
                <w:rFonts w:hint="eastAsia"/>
                <w:lang w:eastAsia="zh-CN"/>
              </w:rPr>
            </w:pPr>
            <w:r>
              <w:rPr>
                <w:rFonts w:hint="eastAsia"/>
              </w:rPr>
              <w:t>其他</w:t>
            </w:r>
          </w:p>
        </w:tc>
        <w:tc>
          <w:tcPr>
            <w:tcW w:w="859" w:type="pct"/>
            <w:vAlign w:val="center"/>
          </w:tcPr>
          <w:p w14:paraId="7C6C90E8">
            <w:pPr>
              <w:pStyle w:val="11"/>
              <w:bidi w:val="0"/>
              <w:jc w:val="center"/>
              <w:rPr>
                <w:rFonts w:hint="eastAsia"/>
                <w:lang w:eastAsia="zh-CN"/>
              </w:rPr>
            </w:pPr>
            <w:r>
              <w:rPr>
                <w:rFonts w:hint="eastAsia"/>
              </w:rPr>
              <w:t>1</w:t>
            </w:r>
          </w:p>
        </w:tc>
        <w:tc>
          <w:tcPr>
            <w:tcW w:w="697" w:type="pct"/>
            <w:vAlign w:val="center"/>
          </w:tcPr>
          <w:p w14:paraId="36B07FFD">
            <w:pPr>
              <w:pStyle w:val="11"/>
              <w:bidi w:val="0"/>
              <w:jc w:val="center"/>
              <w:rPr>
                <w:rFonts w:hint="eastAsia"/>
                <w:lang w:eastAsia="zh-CN"/>
              </w:rPr>
            </w:pPr>
            <w:r>
              <w:rPr>
                <w:rFonts w:hint="eastAsia"/>
              </w:rPr>
              <w:t>1</w:t>
            </w:r>
          </w:p>
        </w:tc>
        <w:tc>
          <w:tcPr>
            <w:tcW w:w="707" w:type="pct"/>
            <w:vAlign w:val="center"/>
          </w:tcPr>
          <w:p w14:paraId="7966724C">
            <w:pPr>
              <w:pStyle w:val="11"/>
              <w:bidi w:val="0"/>
              <w:jc w:val="center"/>
              <w:rPr>
                <w:rFonts w:hint="eastAsia"/>
                <w:lang w:eastAsia="zh-CN"/>
              </w:rPr>
            </w:pPr>
            <w:r>
              <w:rPr>
                <w:rFonts w:hint="eastAsia"/>
              </w:rPr>
              <w:t>*</w:t>
            </w:r>
          </w:p>
        </w:tc>
        <w:tc>
          <w:tcPr>
            <w:tcW w:w="695" w:type="pct"/>
            <w:vAlign w:val="center"/>
          </w:tcPr>
          <w:p w14:paraId="0DF14F21">
            <w:pPr>
              <w:pStyle w:val="11"/>
              <w:bidi w:val="0"/>
              <w:jc w:val="center"/>
              <w:rPr>
                <w:rFonts w:hint="eastAsia"/>
                <w:lang w:eastAsia="zh-CN"/>
              </w:rPr>
            </w:pPr>
            <w:r>
              <w:rPr>
                <w:rFonts w:hint="eastAsia"/>
              </w:rPr>
              <w:t>*</w:t>
            </w:r>
          </w:p>
        </w:tc>
      </w:tr>
    </w:tbl>
    <w:p w14:paraId="7151D68F">
      <w:pPr>
        <w:bidi w:val="0"/>
        <w:ind w:left="0" w:leftChars="0" w:firstLine="0" w:firstLineChars="0"/>
        <w:jc w:val="both"/>
        <w:rPr>
          <w:rFonts w:hint="eastAsia"/>
          <w:b/>
          <w:bCs/>
        </w:rPr>
      </w:pPr>
      <w:r>
        <w:rPr>
          <w:rFonts w:hint="eastAsia"/>
          <w:b/>
          <w:bCs/>
        </w:rPr>
        <w:t>数据提供：市市场监督管理局</w:t>
      </w:r>
    </w:p>
    <w:p w14:paraId="488DC522">
      <w:pPr>
        <w:pStyle w:val="4"/>
        <w:bidi w:val="0"/>
        <w:rPr>
          <w:rFonts w:hint="eastAsia"/>
        </w:rPr>
      </w:pPr>
      <w:r>
        <w:rPr>
          <w:rFonts w:hint="eastAsia"/>
        </w:rPr>
        <w:t>表38</w:t>
      </w:r>
      <w:r>
        <w:rPr>
          <w:rFonts w:hint="eastAsia"/>
          <w:lang w:val="en-US" w:eastAsia="zh-CN"/>
        </w:rPr>
        <w:t xml:space="preserve">  </w:t>
      </w:r>
      <w:r>
        <w:rPr>
          <w:rFonts w:hint="eastAsia"/>
        </w:rPr>
        <w:t>全市农村基本情况及农业生产条件（一）</w:t>
      </w:r>
    </w:p>
    <w:tbl>
      <w:tblPr>
        <w:tblStyle w:val="8"/>
        <w:tblW w:w="4998" w:type="pct"/>
        <w:tblInd w:w="0" w:type="dxa"/>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3"/>
        <w:gridCol w:w="1243"/>
        <w:gridCol w:w="1243"/>
        <w:gridCol w:w="1243"/>
        <w:gridCol w:w="1243"/>
        <w:gridCol w:w="1245"/>
        <w:gridCol w:w="1245"/>
        <w:gridCol w:w="1253"/>
      </w:tblGrid>
      <w:tr w14:paraId="74EBF8AA">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Merge w:val="restart"/>
            <w:vAlign w:val="center"/>
          </w:tcPr>
          <w:p w14:paraId="1E82F4D0">
            <w:pPr>
              <w:pStyle w:val="11"/>
              <w:bidi w:val="0"/>
              <w:jc w:val="center"/>
              <w:rPr>
                <w:rFonts w:hint="eastAsia"/>
                <w:b/>
                <w:bCs/>
                <w:lang w:eastAsia="zh-CN"/>
              </w:rPr>
            </w:pPr>
            <w:r>
              <w:rPr>
                <w:rFonts w:hint="eastAsia"/>
                <w:b/>
                <w:bCs/>
              </w:rPr>
              <w:t>单位名称</w:t>
            </w:r>
          </w:p>
        </w:tc>
        <w:tc>
          <w:tcPr>
            <w:tcW w:w="624" w:type="pct"/>
            <w:vAlign w:val="center"/>
          </w:tcPr>
          <w:p w14:paraId="6A9BAFC4">
            <w:pPr>
              <w:pStyle w:val="11"/>
              <w:bidi w:val="0"/>
              <w:jc w:val="center"/>
              <w:rPr>
                <w:rFonts w:hint="eastAsia"/>
                <w:b/>
                <w:bCs/>
                <w:lang w:eastAsia="zh-CN"/>
              </w:rPr>
            </w:pPr>
            <w:r>
              <w:rPr>
                <w:rFonts w:hint="eastAsia"/>
                <w:b/>
                <w:bCs/>
              </w:rPr>
              <w:t>一、基层组织情况</w:t>
            </w:r>
          </w:p>
        </w:tc>
        <w:tc>
          <w:tcPr>
            <w:tcW w:w="3751" w:type="pct"/>
            <w:gridSpan w:val="6"/>
            <w:vAlign w:val="center"/>
          </w:tcPr>
          <w:p w14:paraId="32854C3D">
            <w:pPr>
              <w:pStyle w:val="11"/>
              <w:bidi w:val="0"/>
              <w:jc w:val="center"/>
              <w:rPr>
                <w:rFonts w:hint="eastAsia"/>
                <w:b/>
                <w:bCs/>
                <w:lang w:eastAsia="zh-CN"/>
              </w:rPr>
            </w:pPr>
            <w:r>
              <w:rPr>
                <w:rFonts w:hint="eastAsia"/>
                <w:b/>
                <w:bCs/>
              </w:rPr>
              <w:t>二、乡村人口与从业人员</w:t>
            </w:r>
          </w:p>
        </w:tc>
      </w:tr>
      <w:tr w14:paraId="3105E3B5">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Merge w:val="continue"/>
            <w:vAlign w:val="center"/>
          </w:tcPr>
          <w:p w14:paraId="13EB129C">
            <w:pPr>
              <w:pStyle w:val="11"/>
              <w:bidi w:val="0"/>
              <w:jc w:val="center"/>
              <w:rPr>
                <w:rFonts w:hint="eastAsia"/>
                <w:b/>
                <w:bCs/>
                <w:lang w:eastAsia="zh-CN"/>
              </w:rPr>
            </w:pPr>
          </w:p>
        </w:tc>
        <w:tc>
          <w:tcPr>
            <w:tcW w:w="624" w:type="pct"/>
            <w:vMerge w:val="restart"/>
            <w:vAlign w:val="center"/>
          </w:tcPr>
          <w:p w14:paraId="376D13A4">
            <w:pPr>
              <w:pStyle w:val="11"/>
              <w:bidi w:val="0"/>
              <w:jc w:val="center"/>
              <w:rPr>
                <w:rFonts w:hint="eastAsia"/>
                <w:b/>
                <w:bCs/>
                <w:lang w:eastAsia="zh-CN"/>
              </w:rPr>
            </w:pPr>
            <w:r>
              <w:rPr>
                <w:rFonts w:hint="eastAsia"/>
                <w:b/>
                <w:bCs/>
              </w:rPr>
              <w:t>村委会数（个）</w:t>
            </w:r>
          </w:p>
        </w:tc>
        <w:tc>
          <w:tcPr>
            <w:tcW w:w="624" w:type="pct"/>
            <w:vMerge w:val="restart"/>
            <w:vAlign w:val="center"/>
          </w:tcPr>
          <w:p w14:paraId="7C50ACA1">
            <w:pPr>
              <w:pStyle w:val="11"/>
              <w:bidi w:val="0"/>
              <w:jc w:val="center"/>
              <w:rPr>
                <w:rFonts w:hint="eastAsia"/>
                <w:b/>
                <w:bCs/>
                <w:lang w:eastAsia="zh-CN"/>
              </w:rPr>
            </w:pPr>
            <w:r>
              <w:rPr>
                <w:rFonts w:hint="eastAsia"/>
                <w:b/>
                <w:bCs/>
              </w:rPr>
              <w:t>乡村户数（户）</w:t>
            </w:r>
          </w:p>
        </w:tc>
        <w:tc>
          <w:tcPr>
            <w:tcW w:w="624" w:type="pct"/>
            <w:vMerge w:val="restart"/>
            <w:tcBorders>
              <w:right w:val="nil"/>
            </w:tcBorders>
            <w:vAlign w:val="center"/>
          </w:tcPr>
          <w:p w14:paraId="7E63A347">
            <w:pPr>
              <w:pStyle w:val="11"/>
              <w:bidi w:val="0"/>
              <w:jc w:val="center"/>
              <w:rPr>
                <w:rFonts w:hint="eastAsia"/>
                <w:b/>
                <w:bCs/>
                <w:lang w:eastAsia="zh-CN"/>
              </w:rPr>
            </w:pPr>
            <w:r>
              <w:rPr>
                <w:rFonts w:hint="eastAsia"/>
                <w:b/>
                <w:bCs/>
              </w:rPr>
              <w:t>乡村人口（人）</w:t>
            </w:r>
          </w:p>
        </w:tc>
        <w:tc>
          <w:tcPr>
            <w:tcW w:w="1249" w:type="pct"/>
            <w:gridSpan w:val="2"/>
            <w:tcBorders>
              <w:left w:val="nil"/>
              <w:bottom w:val="single" w:color="000000" w:sz="4" w:space="0"/>
            </w:tcBorders>
            <w:vAlign w:val="center"/>
          </w:tcPr>
          <w:p w14:paraId="29E05457">
            <w:pPr>
              <w:pStyle w:val="11"/>
              <w:bidi w:val="0"/>
              <w:jc w:val="center"/>
              <w:rPr>
                <w:rFonts w:hint="eastAsia"/>
                <w:b/>
                <w:bCs/>
              </w:rPr>
            </w:pPr>
          </w:p>
        </w:tc>
        <w:tc>
          <w:tcPr>
            <w:tcW w:w="625" w:type="pct"/>
            <w:vMerge w:val="restart"/>
            <w:tcBorders>
              <w:right w:val="nil"/>
            </w:tcBorders>
            <w:vAlign w:val="center"/>
          </w:tcPr>
          <w:p w14:paraId="3F6DE118">
            <w:pPr>
              <w:pStyle w:val="11"/>
              <w:bidi w:val="0"/>
              <w:jc w:val="center"/>
              <w:rPr>
                <w:rFonts w:hint="eastAsia"/>
                <w:b/>
                <w:bCs/>
                <w:lang w:eastAsia="zh-CN"/>
              </w:rPr>
            </w:pPr>
            <w:r>
              <w:rPr>
                <w:rFonts w:hint="eastAsia"/>
                <w:b/>
                <w:bCs/>
              </w:rPr>
              <w:t>乡村劳动力资源数（人）</w:t>
            </w:r>
          </w:p>
        </w:tc>
        <w:tc>
          <w:tcPr>
            <w:tcW w:w="627" w:type="pct"/>
            <w:tcBorders>
              <w:left w:val="nil"/>
            </w:tcBorders>
            <w:vAlign w:val="center"/>
          </w:tcPr>
          <w:p w14:paraId="42ED3F29">
            <w:pPr>
              <w:pStyle w:val="11"/>
              <w:bidi w:val="0"/>
              <w:jc w:val="center"/>
              <w:rPr>
                <w:rFonts w:hint="eastAsia"/>
                <w:b/>
                <w:bCs/>
                <w:lang w:eastAsia="zh-CN"/>
              </w:rPr>
            </w:pPr>
          </w:p>
        </w:tc>
      </w:tr>
      <w:tr w14:paraId="7D92210E">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Merge w:val="continue"/>
            <w:vAlign w:val="center"/>
          </w:tcPr>
          <w:p w14:paraId="36997925">
            <w:pPr>
              <w:pStyle w:val="11"/>
              <w:bidi w:val="0"/>
              <w:jc w:val="center"/>
              <w:rPr>
                <w:rFonts w:hint="eastAsia"/>
                <w:b/>
                <w:bCs/>
                <w:lang w:eastAsia="zh-CN"/>
              </w:rPr>
            </w:pPr>
          </w:p>
        </w:tc>
        <w:tc>
          <w:tcPr>
            <w:tcW w:w="624" w:type="pct"/>
            <w:vMerge w:val="continue"/>
            <w:vAlign w:val="center"/>
          </w:tcPr>
          <w:p w14:paraId="55730399">
            <w:pPr>
              <w:pStyle w:val="11"/>
              <w:bidi w:val="0"/>
              <w:jc w:val="center"/>
              <w:rPr>
                <w:rFonts w:hint="eastAsia"/>
                <w:b/>
                <w:bCs/>
                <w:lang w:eastAsia="zh-CN"/>
              </w:rPr>
            </w:pPr>
          </w:p>
        </w:tc>
        <w:tc>
          <w:tcPr>
            <w:tcW w:w="624" w:type="pct"/>
            <w:vMerge w:val="continue"/>
            <w:vAlign w:val="center"/>
          </w:tcPr>
          <w:p w14:paraId="55EE286D">
            <w:pPr>
              <w:pStyle w:val="11"/>
              <w:bidi w:val="0"/>
              <w:jc w:val="center"/>
              <w:rPr>
                <w:rFonts w:hint="eastAsia"/>
                <w:b/>
                <w:bCs/>
                <w:lang w:eastAsia="zh-CN"/>
              </w:rPr>
            </w:pPr>
          </w:p>
        </w:tc>
        <w:tc>
          <w:tcPr>
            <w:tcW w:w="624" w:type="pct"/>
            <w:vMerge w:val="continue"/>
            <w:vAlign w:val="center"/>
          </w:tcPr>
          <w:p w14:paraId="70D6A96E">
            <w:pPr>
              <w:pStyle w:val="11"/>
              <w:bidi w:val="0"/>
              <w:jc w:val="center"/>
              <w:rPr>
                <w:rFonts w:hint="eastAsia"/>
                <w:b/>
                <w:bCs/>
                <w:lang w:eastAsia="zh-CN"/>
              </w:rPr>
            </w:pPr>
          </w:p>
        </w:tc>
        <w:tc>
          <w:tcPr>
            <w:tcW w:w="624" w:type="pct"/>
            <w:tcBorders>
              <w:top w:val="single" w:color="000000" w:sz="4" w:space="0"/>
              <w:left w:val="single" w:color="000000" w:sz="4" w:space="0"/>
              <w:bottom w:val="single" w:color="000000" w:sz="4" w:space="0"/>
              <w:right w:val="single" w:color="000000" w:sz="4" w:space="0"/>
            </w:tcBorders>
            <w:vAlign w:val="center"/>
          </w:tcPr>
          <w:p w14:paraId="0ECD5F0C">
            <w:pPr>
              <w:pStyle w:val="11"/>
              <w:bidi w:val="0"/>
              <w:jc w:val="center"/>
              <w:rPr>
                <w:rFonts w:hint="eastAsia"/>
                <w:b/>
                <w:bCs/>
                <w:lang w:eastAsia="zh-CN"/>
              </w:rPr>
            </w:pPr>
            <w:r>
              <w:rPr>
                <w:rFonts w:hint="eastAsia"/>
                <w:b/>
                <w:bCs/>
              </w:rPr>
              <w:t>1.男（人）</w:t>
            </w:r>
          </w:p>
        </w:tc>
        <w:tc>
          <w:tcPr>
            <w:tcW w:w="625" w:type="pct"/>
            <w:tcBorders>
              <w:top w:val="single" w:color="000000" w:sz="4" w:space="0"/>
              <w:left w:val="single" w:color="000000" w:sz="4" w:space="0"/>
              <w:bottom w:val="single" w:color="000000" w:sz="4" w:space="0"/>
              <w:right w:val="single" w:color="000000" w:sz="4" w:space="0"/>
            </w:tcBorders>
            <w:vAlign w:val="center"/>
          </w:tcPr>
          <w:p w14:paraId="09EC88C9">
            <w:pPr>
              <w:pStyle w:val="11"/>
              <w:bidi w:val="0"/>
              <w:jc w:val="center"/>
              <w:rPr>
                <w:rFonts w:hint="eastAsia"/>
                <w:b/>
                <w:bCs/>
                <w:lang w:eastAsia="zh-CN"/>
              </w:rPr>
            </w:pPr>
            <w:r>
              <w:rPr>
                <w:rFonts w:hint="eastAsia"/>
                <w:b/>
                <w:bCs/>
              </w:rPr>
              <w:t>2.女（人）</w:t>
            </w:r>
          </w:p>
        </w:tc>
        <w:tc>
          <w:tcPr>
            <w:tcW w:w="625" w:type="pct"/>
            <w:vMerge w:val="continue"/>
            <w:vAlign w:val="center"/>
          </w:tcPr>
          <w:p w14:paraId="3EA4254C">
            <w:pPr>
              <w:pStyle w:val="11"/>
              <w:bidi w:val="0"/>
              <w:jc w:val="center"/>
              <w:rPr>
                <w:rFonts w:hint="eastAsia"/>
                <w:b/>
                <w:bCs/>
                <w:lang w:eastAsia="zh-CN"/>
              </w:rPr>
            </w:pPr>
          </w:p>
        </w:tc>
        <w:tc>
          <w:tcPr>
            <w:tcW w:w="627" w:type="pct"/>
            <w:vAlign w:val="center"/>
          </w:tcPr>
          <w:p w14:paraId="7C3D88D1">
            <w:pPr>
              <w:pStyle w:val="11"/>
              <w:bidi w:val="0"/>
              <w:jc w:val="center"/>
              <w:rPr>
                <w:rFonts w:hint="eastAsia"/>
                <w:b/>
                <w:bCs/>
                <w:lang w:eastAsia="zh-CN"/>
              </w:rPr>
            </w:pPr>
            <w:r>
              <w:rPr>
                <w:rFonts w:hint="eastAsia"/>
                <w:b/>
                <w:bCs/>
              </w:rPr>
              <w:t>1.男（人）</w:t>
            </w:r>
          </w:p>
        </w:tc>
      </w:tr>
      <w:tr w14:paraId="205EC38F">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4BC1BEFB">
            <w:pPr>
              <w:pStyle w:val="11"/>
              <w:bidi w:val="0"/>
              <w:jc w:val="center"/>
              <w:rPr>
                <w:rFonts w:hint="eastAsia"/>
                <w:lang w:eastAsia="zh-CN"/>
              </w:rPr>
            </w:pPr>
            <w:r>
              <w:rPr>
                <w:rFonts w:hint="eastAsia"/>
              </w:rPr>
              <w:t>南雄市</w:t>
            </w:r>
          </w:p>
        </w:tc>
        <w:tc>
          <w:tcPr>
            <w:tcW w:w="624" w:type="pct"/>
            <w:vAlign w:val="center"/>
          </w:tcPr>
          <w:p w14:paraId="2E504255">
            <w:pPr>
              <w:pStyle w:val="11"/>
              <w:bidi w:val="0"/>
              <w:jc w:val="center"/>
              <w:rPr>
                <w:rFonts w:hint="eastAsia"/>
                <w:lang w:eastAsia="zh-CN"/>
              </w:rPr>
            </w:pPr>
            <w:r>
              <w:rPr>
                <w:rFonts w:hint="eastAsia"/>
              </w:rPr>
              <w:t>208</w:t>
            </w:r>
          </w:p>
        </w:tc>
        <w:tc>
          <w:tcPr>
            <w:tcW w:w="624" w:type="pct"/>
            <w:vAlign w:val="center"/>
          </w:tcPr>
          <w:p w14:paraId="7D572976">
            <w:pPr>
              <w:pStyle w:val="11"/>
              <w:bidi w:val="0"/>
              <w:jc w:val="center"/>
              <w:rPr>
                <w:rFonts w:hint="eastAsia"/>
                <w:lang w:eastAsia="zh-CN"/>
              </w:rPr>
            </w:pPr>
            <w:r>
              <w:rPr>
                <w:rFonts w:hint="eastAsia"/>
              </w:rPr>
              <w:t>90440</w:t>
            </w:r>
          </w:p>
        </w:tc>
        <w:tc>
          <w:tcPr>
            <w:tcW w:w="624" w:type="pct"/>
            <w:vAlign w:val="center"/>
          </w:tcPr>
          <w:p w14:paraId="5C419AAD">
            <w:pPr>
              <w:pStyle w:val="11"/>
              <w:bidi w:val="0"/>
              <w:jc w:val="center"/>
              <w:rPr>
                <w:rFonts w:hint="eastAsia"/>
                <w:lang w:eastAsia="zh-CN"/>
              </w:rPr>
            </w:pPr>
            <w:r>
              <w:rPr>
                <w:rFonts w:hint="eastAsia"/>
              </w:rPr>
              <w:t>270909</w:t>
            </w:r>
          </w:p>
        </w:tc>
        <w:tc>
          <w:tcPr>
            <w:tcW w:w="624" w:type="pct"/>
            <w:tcBorders>
              <w:top w:val="single" w:color="000000" w:sz="4" w:space="0"/>
            </w:tcBorders>
            <w:vAlign w:val="center"/>
          </w:tcPr>
          <w:p w14:paraId="36E80A07">
            <w:pPr>
              <w:pStyle w:val="11"/>
              <w:bidi w:val="0"/>
              <w:jc w:val="center"/>
              <w:rPr>
                <w:rFonts w:hint="eastAsia"/>
                <w:lang w:eastAsia="zh-CN"/>
              </w:rPr>
            </w:pPr>
            <w:r>
              <w:rPr>
                <w:rFonts w:hint="eastAsia"/>
              </w:rPr>
              <w:t>138745</w:t>
            </w:r>
          </w:p>
        </w:tc>
        <w:tc>
          <w:tcPr>
            <w:tcW w:w="625" w:type="pct"/>
            <w:tcBorders>
              <w:top w:val="single" w:color="000000" w:sz="4" w:space="0"/>
            </w:tcBorders>
            <w:vAlign w:val="center"/>
          </w:tcPr>
          <w:p w14:paraId="0460C76D">
            <w:pPr>
              <w:pStyle w:val="11"/>
              <w:bidi w:val="0"/>
              <w:jc w:val="center"/>
              <w:rPr>
                <w:rFonts w:hint="eastAsia"/>
                <w:lang w:eastAsia="zh-CN"/>
              </w:rPr>
            </w:pPr>
            <w:r>
              <w:rPr>
                <w:rFonts w:hint="eastAsia"/>
              </w:rPr>
              <w:t>132164</w:t>
            </w:r>
          </w:p>
        </w:tc>
        <w:tc>
          <w:tcPr>
            <w:tcW w:w="625" w:type="pct"/>
            <w:vAlign w:val="center"/>
          </w:tcPr>
          <w:p w14:paraId="280B32E8">
            <w:pPr>
              <w:pStyle w:val="11"/>
              <w:bidi w:val="0"/>
              <w:jc w:val="center"/>
              <w:rPr>
                <w:rFonts w:hint="eastAsia"/>
                <w:lang w:eastAsia="zh-CN"/>
              </w:rPr>
            </w:pPr>
            <w:r>
              <w:rPr>
                <w:rFonts w:hint="eastAsia"/>
              </w:rPr>
              <w:t>223760</w:t>
            </w:r>
          </w:p>
        </w:tc>
        <w:tc>
          <w:tcPr>
            <w:tcW w:w="627" w:type="pct"/>
            <w:vAlign w:val="center"/>
          </w:tcPr>
          <w:p w14:paraId="37F642D1">
            <w:pPr>
              <w:pStyle w:val="11"/>
              <w:bidi w:val="0"/>
              <w:jc w:val="center"/>
              <w:rPr>
                <w:rFonts w:hint="eastAsia"/>
                <w:lang w:eastAsia="zh-CN"/>
              </w:rPr>
            </w:pPr>
            <w:r>
              <w:rPr>
                <w:rFonts w:hint="eastAsia"/>
              </w:rPr>
              <w:t>114366</w:t>
            </w:r>
          </w:p>
        </w:tc>
      </w:tr>
      <w:tr w14:paraId="6F3A44DF">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46E24E4C">
            <w:pPr>
              <w:pStyle w:val="11"/>
              <w:bidi w:val="0"/>
              <w:jc w:val="center"/>
              <w:rPr>
                <w:rFonts w:hint="eastAsia"/>
                <w:lang w:eastAsia="zh-CN"/>
              </w:rPr>
            </w:pPr>
            <w:r>
              <w:rPr>
                <w:rFonts w:hint="eastAsia"/>
              </w:rPr>
              <w:t>乌迳镇</w:t>
            </w:r>
          </w:p>
        </w:tc>
        <w:tc>
          <w:tcPr>
            <w:tcW w:w="624" w:type="pct"/>
            <w:vAlign w:val="center"/>
          </w:tcPr>
          <w:p w14:paraId="2CC9404F">
            <w:pPr>
              <w:pStyle w:val="11"/>
              <w:bidi w:val="0"/>
              <w:jc w:val="center"/>
              <w:rPr>
                <w:rFonts w:hint="eastAsia"/>
                <w:lang w:eastAsia="zh-CN"/>
              </w:rPr>
            </w:pPr>
            <w:r>
              <w:rPr>
                <w:rFonts w:hint="eastAsia"/>
              </w:rPr>
              <w:t>21</w:t>
            </w:r>
          </w:p>
        </w:tc>
        <w:tc>
          <w:tcPr>
            <w:tcW w:w="624" w:type="pct"/>
            <w:vAlign w:val="center"/>
          </w:tcPr>
          <w:p w14:paraId="6402DDA8">
            <w:pPr>
              <w:pStyle w:val="11"/>
              <w:bidi w:val="0"/>
              <w:jc w:val="center"/>
              <w:rPr>
                <w:rFonts w:hint="eastAsia"/>
                <w:lang w:eastAsia="zh-CN"/>
              </w:rPr>
            </w:pPr>
            <w:r>
              <w:rPr>
                <w:rFonts w:hint="eastAsia"/>
              </w:rPr>
              <w:t>8946</w:t>
            </w:r>
          </w:p>
        </w:tc>
        <w:tc>
          <w:tcPr>
            <w:tcW w:w="624" w:type="pct"/>
            <w:vAlign w:val="center"/>
          </w:tcPr>
          <w:p w14:paraId="0E24F60E">
            <w:pPr>
              <w:pStyle w:val="11"/>
              <w:bidi w:val="0"/>
              <w:jc w:val="center"/>
              <w:rPr>
                <w:rFonts w:hint="eastAsia"/>
                <w:lang w:eastAsia="zh-CN"/>
              </w:rPr>
            </w:pPr>
            <w:r>
              <w:rPr>
                <w:rFonts w:hint="eastAsia"/>
              </w:rPr>
              <w:t>27861</w:t>
            </w:r>
          </w:p>
        </w:tc>
        <w:tc>
          <w:tcPr>
            <w:tcW w:w="624" w:type="pct"/>
            <w:vAlign w:val="center"/>
          </w:tcPr>
          <w:p w14:paraId="63F015C1">
            <w:pPr>
              <w:pStyle w:val="11"/>
              <w:bidi w:val="0"/>
              <w:jc w:val="center"/>
              <w:rPr>
                <w:rFonts w:hint="eastAsia"/>
                <w:lang w:eastAsia="zh-CN"/>
              </w:rPr>
            </w:pPr>
            <w:r>
              <w:rPr>
                <w:rFonts w:hint="eastAsia"/>
              </w:rPr>
              <w:t>14144</w:t>
            </w:r>
          </w:p>
        </w:tc>
        <w:tc>
          <w:tcPr>
            <w:tcW w:w="625" w:type="pct"/>
            <w:vAlign w:val="center"/>
          </w:tcPr>
          <w:p w14:paraId="1E401572">
            <w:pPr>
              <w:pStyle w:val="11"/>
              <w:bidi w:val="0"/>
              <w:jc w:val="center"/>
              <w:rPr>
                <w:rFonts w:hint="eastAsia"/>
                <w:lang w:eastAsia="zh-CN"/>
              </w:rPr>
            </w:pPr>
            <w:r>
              <w:rPr>
                <w:rFonts w:hint="eastAsia"/>
              </w:rPr>
              <w:t>13717</w:t>
            </w:r>
          </w:p>
        </w:tc>
        <w:tc>
          <w:tcPr>
            <w:tcW w:w="625" w:type="pct"/>
            <w:vAlign w:val="center"/>
          </w:tcPr>
          <w:p w14:paraId="7DA3A126">
            <w:pPr>
              <w:pStyle w:val="11"/>
              <w:bidi w:val="0"/>
              <w:jc w:val="center"/>
              <w:rPr>
                <w:rFonts w:hint="eastAsia"/>
                <w:lang w:eastAsia="zh-CN"/>
              </w:rPr>
            </w:pPr>
            <w:r>
              <w:rPr>
                <w:rFonts w:hint="eastAsia"/>
              </w:rPr>
              <w:t>22639</w:t>
            </w:r>
          </w:p>
        </w:tc>
        <w:tc>
          <w:tcPr>
            <w:tcW w:w="627" w:type="pct"/>
            <w:vAlign w:val="center"/>
          </w:tcPr>
          <w:p w14:paraId="73E9874F">
            <w:pPr>
              <w:pStyle w:val="11"/>
              <w:bidi w:val="0"/>
              <w:jc w:val="center"/>
              <w:rPr>
                <w:rFonts w:hint="eastAsia"/>
                <w:lang w:eastAsia="zh-CN"/>
              </w:rPr>
            </w:pPr>
            <w:r>
              <w:rPr>
                <w:rFonts w:hint="eastAsia"/>
              </w:rPr>
              <w:t>11723</w:t>
            </w:r>
          </w:p>
        </w:tc>
      </w:tr>
      <w:tr w14:paraId="2835A08C">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428E08D3">
            <w:pPr>
              <w:pStyle w:val="11"/>
              <w:bidi w:val="0"/>
              <w:jc w:val="center"/>
              <w:rPr>
                <w:rFonts w:hint="eastAsia"/>
                <w:lang w:eastAsia="zh-CN"/>
              </w:rPr>
            </w:pPr>
            <w:r>
              <w:rPr>
                <w:rFonts w:hint="eastAsia"/>
              </w:rPr>
              <w:t>界址镇</w:t>
            </w:r>
          </w:p>
        </w:tc>
        <w:tc>
          <w:tcPr>
            <w:tcW w:w="624" w:type="pct"/>
            <w:vAlign w:val="center"/>
          </w:tcPr>
          <w:p w14:paraId="2918EFF2">
            <w:pPr>
              <w:pStyle w:val="11"/>
              <w:bidi w:val="0"/>
              <w:jc w:val="center"/>
              <w:rPr>
                <w:rFonts w:hint="eastAsia"/>
                <w:lang w:eastAsia="zh-CN"/>
              </w:rPr>
            </w:pPr>
            <w:r>
              <w:rPr>
                <w:rFonts w:hint="eastAsia"/>
              </w:rPr>
              <w:t>8</w:t>
            </w:r>
          </w:p>
        </w:tc>
        <w:tc>
          <w:tcPr>
            <w:tcW w:w="624" w:type="pct"/>
            <w:vAlign w:val="center"/>
          </w:tcPr>
          <w:p w14:paraId="3B2C1A46">
            <w:pPr>
              <w:pStyle w:val="11"/>
              <w:bidi w:val="0"/>
              <w:jc w:val="center"/>
              <w:rPr>
                <w:rFonts w:hint="eastAsia"/>
                <w:lang w:eastAsia="zh-CN"/>
              </w:rPr>
            </w:pPr>
            <w:r>
              <w:rPr>
                <w:rFonts w:hint="eastAsia"/>
              </w:rPr>
              <w:t>3475</w:t>
            </w:r>
          </w:p>
        </w:tc>
        <w:tc>
          <w:tcPr>
            <w:tcW w:w="624" w:type="pct"/>
            <w:vAlign w:val="center"/>
          </w:tcPr>
          <w:p w14:paraId="23320D1B">
            <w:pPr>
              <w:pStyle w:val="11"/>
              <w:bidi w:val="0"/>
              <w:jc w:val="center"/>
              <w:rPr>
                <w:rFonts w:hint="eastAsia"/>
                <w:lang w:eastAsia="zh-CN"/>
              </w:rPr>
            </w:pPr>
            <w:r>
              <w:rPr>
                <w:rFonts w:hint="eastAsia"/>
              </w:rPr>
              <w:t>8421</w:t>
            </w:r>
          </w:p>
        </w:tc>
        <w:tc>
          <w:tcPr>
            <w:tcW w:w="624" w:type="pct"/>
            <w:vAlign w:val="center"/>
          </w:tcPr>
          <w:p w14:paraId="6EC33FDC">
            <w:pPr>
              <w:pStyle w:val="11"/>
              <w:bidi w:val="0"/>
              <w:jc w:val="center"/>
              <w:rPr>
                <w:rFonts w:hint="eastAsia"/>
                <w:lang w:eastAsia="zh-CN"/>
              </w:rPr>
            </w:pPr>
            <w:r>
              <w:rPr>
                <w:rFonts w:hint="eastAsia"/>
              </w:rPr>
              <w:t>4454</w:t>
            </w:r>
          </w:p>
        </w:tc>
        <w:tc>
          <w:tcPr>
            <w:tcW w:w="625" w:type="pct"/>
            <w:vAlign w:val="center"/>
          </w:tcPr>
          <w:p w14:paraId="30D5E8CB">
            <w:pPr>
              <w:pStyle w:val="11"/>
              <w:bidi w:val="0"/>
              <w:jc w:val="center"/>
              <w:rPr>
                <w:rFonts w:hint="eastAsia"/>
                <w:lang w:eastAsia="zh-CN"/>
              </w:rPr>
            </w:pPr>
            <w:r>
              <w:rPr>
                <w:rFonts w:hint="eastAsia"/>
              </w:rPr>
              <w:t>3967</w:t>
            </w:r>
          </w:p>
        </w:tc>
        <w:tc>
          <w:tcPr>
            <w:tcW w:w="625" w:type="pct"/>
            <w:vAlign w:val="center"/>
          </w:tcPr>
          <w:p w14:paraId="0A9B9A44">
            <w:pPr>
              <w:pStyle w:val="11"/>
              <w:bidi w:val="0"/>
              <w:jc w:val="center"/>
              <w:rPr>
                <w:rFonts w:hint="eastAsia"/>
                <w:lang w:eastAsia="zh-CN"/>
              </w:rPr>
            </w:pPr>
            <w:r>
              <w:rPr>
                <w:rFonts w:hint="eastAsia"/>
              </w:rPr>
              <w:t>7125</w:t>
            </w:r>
          </w:p>
        </w:tc>
        <w:tc>
          <w:tcPr>
            <w:tcW w:w="627" w:type="pct"/>
            <w:vAlign w:val="center"/>
          </w:tcPr>
          <w:p w14:paraId="43BF1A40">
            <w:pPr>
              <w:pStyle w:val="11"/>
              <w:bidi w:val="0"/>
              <w:jc w:val="center"/>
              <w:rPr>
                <w:rFonts w:hint="eastAsia"/>
                <w:lang w:eastAsia="zh-CN"/>
              </w:rPr>
            </w:pPr>
            <w:r>
              <w:rPr>
                <w:rFonts w:hint="eastAsia"/>
              </w:rPr>
              <w:t>3746</w:t>
            </w:r>
          </w:p>
        </w:tc>
      </w:tr>
      <w:tr w14:paraId="29FCF23F">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707E0E15">
            <w:pPr>
              <w:pStyle w:val="11"/>
              <w:bidi w:val="0"/>
              <w:jc w:val="center"/>
              <w:rPr>
                <w:rFonts w:hint="eastAsia"/>
                <w:lang w:eastAsia="zh-CN"/>
              </w:rPr>
            </w:pPr>
            <w:r>
              <w:rPr>
                <w:rFonts w:hint="eastAsia"/>
              </w:rPr>
              <w:t>坪田镇</w:t>
            </w:r>
          </w:p>
        </w:tc>
        <w:tc>
          <w:tcPr>
            <w:tcW w:w="624" w:type="pct"/>
            <w:vAlign w:val="center"/>
          </w:tcPr>
          <w:p w14:paraId="7E67ECCA">
            <w:pPr>
              <w:pStyle w:val="11"/>
              <w:bidi w:val="0"/>
              <w:jc w:val="center"/>
              <w:rPr>
                <w:rFonts w:hint="eastAsia"/>
                <w:lang w:eastAsia="zh-CN"/>
              </w:rPr>
            </w:pPr>
            <w:r>
              <w:rPr>
                <w:rFonts w:hint="eastAsia"/>
              </w:rPr>
              <w:t>14</w:t>
            </w:r>
          </w:p>
        </w:tc>
        <w:tc>
          <w:tcPr>
            <w:tcW w:w="624" w:type="pct"/>
            <w:vAlign w:val="center"/>
          </w:tcPr>
          <w:p w14:paraId="3B7DB06A">
            <w:pPr>
              <w:pStyle w:val="11"/>
              <w:bidi w:val="0"/>
              <w:jc w:val="center"/>
              <w:rPr>
                <w:rFonts w:hint="eastAsia"/>
                <w:lang w:eastAsia="zh-CN"/>
              </w:rPr>
            </w:pPr>
            <w:r>
              <w:rPr>
                <w:rFonts w:hint="eastAsia"/>
              </w:rPr>
              <w:t>5498</w:t>
            </w:r>
          </w:p>
        </w:tc>
        <w:tc>
          <w:tcPr>
            <w:tcW w:w="624" w:type="pct"/>
            <w:vAlign w:val="center"/>
          </w:tcPr>
          <w:p w14:paraId="349631EB">
            <w:pPr>
              <w:pStyle w:val="11"/>
              <w:bidi w:val="0"/>
              <w:jc w:val="center"/>
              <w:rPr>
                <w:rFonts w:hint="eastAsia"/>
                <w:lang w:eastAsia="zh-CN"/>
              </w:rPr>
            </w:pPr>
            <w:r>
              <w:rPr>
                <w:rFonts w:hint="eastAsia"/>
              </w:rPr>
              <w:t>15653</w:t>
            </w:r>
          </w:p>
        </w:tc>
        <w:tc>
          <w:tcPr>
            <w:tcW w:w="624" w:type="pct"/>
            <w:vAlign w:val="center"/>
          </w:tcPr>
          <w:p w14:paraId="3E09E102">
            <w:pPr>
              <w:pStyle w:val="11"/>
              <w:bidi w:val="0"/>
              <w:jc w:val="center"/>
              <w:rPr>
                <w:rFonts w:hint="eastAsia"/>
                <w:lang w:eastAsia="zh-CN"/>
              </w:rPr>
            </w:pPr>
            <w:r>
              <w:rPr>
                <w:rFonts w:hint="eastAsia"/>
              </w:rPr>
              <w:t>8313</w:t>
            </w:r>
          </w:p>
        </w:tc>
        <w:tc>
          <w:tcPr>
            <w:tcW w:w="625" w:type="pct"/>
            <w:vAlign w:val="center"/>
          </w:tcPr>
          <w:p w14:paraId="63F438AE">
            <w:pPr>
              <w:pStyle w:val="11"/>
              <w:bidi w:val="0"/>
              <w:jc w:val="center"/>
              <w:rPr>
                <w:rFonts w:hint="eastAsia"/>
                <w:lang w:eastAsia="zh-CN"/>
              </w:rPr>
            </w:pPr>
            <w:r>
              <w:rPr>
                <w:rFonts w:hint="eastAsia"/>
              </w:rPr>
              <w:t>7340</w:t>
            </w:r>
          </w:p>
        </w:tc>
        <w:tc>
          <w:tcPr>
            <w:tcW w:w="625" w:type="pct"/>
            <w:vAlign w:val="center"/>
          </w:tcPr>
          <w:p w14:paraId="67959E58">
            <w:pPr>
              <w:pStyle w:val="11"/>
              <w:bidi w:val="0"/>
              <w:jc w:val="center"/>
              <w:rPr>
                <w:rFonts w:hint="eastAsia"/>
                <w:lang w:eastAsia="zh-CN"/>
              </w:rPr>
            </w:pPr>
            <w:r>
              <w:rPr>
                <w:rFonts w:hint="eastAsia"/>
              </w:rPr>
              <w:t>12621</w:t>
            </w:r>
          </w:p>
        </w:tc>
        <w:tc>
          <w:tcPr>
            <w:tcW w:w="627" w:type="pct"/>
            <w:vAlign w:val="center"/>
          </w:tcPr>
          <w:p w14:paraId="7273B744">
            <w:pPr>
              <w:pStyle w:val="11"/>
              <w:bidi w:val="0"/>
              <w:jc w:val="center"/>
              <w:rPr>
                <w:rFonts w:hint="eastAsia"/>
                <w:lang w:eastAsia="zh-CN"/>
              </w:rPr>
            </w:pPr>
            <w:r>
              <w:rPr>
                <w:rFonts w:hint="eastAsia"/>
              </w:rPr>
              <w:t>6511</w:t>
            </w:r>
          </w:p>
        </w:tc>
      </w:tr>
      <w:tr w14:paraId="588B736F">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35E69D58">
            <w:pPr>
              <w:pStyle w:val="11"/>
              <w:bidi w:val="0"/>
              <w:jc w:val="center"/>
              <w:rPr>
                <w:rFonts w:hint="eastAsia"/>
                <w:lang w:eastAsia="zh-CN"/>
              </w:rPr>
            </w:pPr>
            <w:r>
              <w:rPr>
                <w:rFonts w:hint="eastAsia"/>
              </w:rPr>
              <w:t>黄坑镇</w:t>
            </w:r>
          </w:p>
        </w:tc>
        <w:tc>
          <w:tcPr>
            <w:tcW w:w="624" w:type="pct"/>
            <w:vAlign w:val="center"/>
          </w:tcPr>
          <w:p w14:paraId="73F2916C">
            <w:pPr>
              <w:pStyle w:val="11"/>
              <w:bidi w:val="0"/>
              <w:jc w:val="center"/>
              <w:rPr>
                <w:rFonts w:hint="eastAsia"/>
                <w:lang w:eastAsia="zh-CN"/>
              </w:rPr>
            </w:pPr>
            <w:r>
              <w:rPr>
                <w:rFonts w:hint="eastAsia"/>
              </w:rPr>
              <w:t>10</w:t>
            </w:r>
          </w:p>
        </w:tc>
        <w:tc>
          <w:tcPr>
            <w:tcW w:w="624" w:type="pct"/>
            <w:vAlign w:val="center"/>
          </w:tcPr>
          <w:p w14:paraId="101FF36B">
            <w:pPr>
              <w:pStyle w:val="11"/>
              <w:bidi w:val="0"/>
              <w:jc w:val="center"/>
              <w:rPr>
                <w:rFonts w:hint="eastAsia"/>
                <w:lang w:eastAsia="zh-CN"/>
              </w:rPr>
            </w:pPr>
            <w:r>
              <w:rPr>
                <w:rFonts w:hint="eastAsia"/>
              </w:rPr>
              <w:t>5088</w:t>
            </w:r>
          </w:p>
        </w:tc>
        <w:tc>
          <w:tcPr>
            <w:tcW w:w="624" w:type="pct"/>
            <w:vAlign w:val="center"/>
          </w:tcPr>
          <w:p w14:paraId="12E2CF95">
            <w:pPr>
              <w:pStyle w:val="11"/>
              <w:bidi w:val="0"/>
              <w:jc w:val="center"/>
              <w:rPr>
                <w:rFonts w:hint="eastAsia"/>
                <w:lang w:eastAsia="zh-CN"/>
              </w:rPr>
            </w:pPr>
            <w:r>
              <w:rPr>
                <w:rFonts w:hint="eastAsia"/>
              </w:rPr>
              <w:t>14797</w:t>
            </w:r>
          </w:p>
        </w:tc>
        <w:tc>
          <w:tcPr>
            <w:tcW w:w="624" w:type="pct"/>
            <w:vAlign w:val="center"/>
          </w:tcPr>
          <w:p w14:paraId="65E20290">
            <w:pPr>
              <w:pStyle w:val="11"/>
              <w:bidi w:val="0"/>
              <w:jc w:val="center"/>
              <w:rPr>
                <w:rFonts w:hint="eastAsia"/>
                <w:lang w:eastAsia="zh-CN"/>
              </w:rPr>
            </w:pPr>
            <w:r>
              <w:rPr>
                <w:rFonts w:hint="eastAsia"/>
              </w:rPr>
              <w:t>7682</w:t>
            </w:r>
          </w:p>
        </w:tc>
        <w:tc>
          <w:tcPr>
            <w:tcW w:w="625" w:type="pct"/>
            <w:vAlign w:val="center"/>
          </w:tcPr>
          <w:p w14:paraId="3FD52F1A">
            <w:pPr>
              <w:pStyle w:val="11"/>
              <w:bidi w:val="0"/>
              <w:jc w:val="center"/>
              <w:rPr>
                <w:rFonts w:hint="eastAsia"/>
                <w:lang w:eastAsia="zh-CN"/>
              </w:rPr>
            </w:pPr>
            <w:r>
              <w:rPr>
                <w:rFonts w:hint="eastAsia"/>
              </w:rPr>
              <w:t>7115</w:t>
            </w:r>
          </w:p>
        </w:tc>
        <w:tc>
          <w:tcPr>
            <w:tcW w:w="625" w:type="pct"/>
            <w:vAlign w:val="center"/>
          </w:tcPr>
          <w:p w14:paraId="33039399">
            <w:pPr>
              <w:pStyle w:val="11"/>
              <w:bidi w:val="0"/>
              <w:jc w:val="center"/>
              <w:rPr>
                <w:rFonts w:hint="eastAsia"/>
                <w:lang w:eastAsia="zh-CN"/>
              </w:rPr>
            </w:pPr>
            <w:r>
              <w:rPr>
                <w:rFonts w:hint="eastAsia"/>
              </w:rPr>
              <w:t>12483</w:t>
            </w:r>
          </w:p>
        </w:tc>
        <w:tc>
          <w:tcPr>
            <w:tcW w:w="627" w:type="pct"/>
            <w:vAlign w:val="center"/>
          </w:tcPr>
          <w:p w14:paraId="1A7E3B29">
            <w:pPr>
              <w:pStyle w:val="11"/>
              <w:bidi w:val="0"/>
              <w:jc w:val="center"/>
              <w:rPr>
                <w:rFonts w:hint="eastAsia"/>
                <w:lang w:eastAsia="zh-CN"/>
              </w:rPr>
            </w:pPr>
            <w:r>
              <w:rPr>
                <w:rFonts w:hint="eastAsia"/>
              </w:rPr>
              <w:t>6416</w:t>
            </w:r>
          </w:p>
        </w:tc>
      </w:tr>
      <w:tr w14:paraId="1DD5FF0A">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132D4515">
            <w:pPr>
              <w:pStyle w:val="11"/>
              <w:bidi w:val="0"/>
              <w:jc w:val="center"/>
              <w:rPr>
                <w:rFonts w:hint="eastAsia"/>
                <w:lang w:eastAsia="zh-CN"/>
              </w:rPr>
            </w:pPr>
            <w:r>
              <w:rPr>
                <w:rFonts w:hint="eastAsia"/>
              </w:rPr>
              <w:t>邓坊镇</w:t>
            </w:r>
          </w:p>
        </w:tc>
        <w:tc>
          <w:tcPr>
            <w:tcW w:w="624" w:type="pct"/>
            <w:vAlign w:val="center"/>
          </w:tcPr>
          <w:p w14:paraId="67BF5463">
            <w:pPr>
              <w:pStyle w:val="11"/>
              <w:bidi w:val="0"/>
              <w:jc w:val="center"/>
              <w:rPr>
                <w:rFonts w:hint="eastAsia"/>
                <w:lang w:eastAsia="zh-CN"/>
              </w:rPr>
            </w:pPr>
            <w:r>
              <w:rPr>
                <w:rFonts w:hint="eastAsia"/>
              </w:rPr>
              <w:t>9</w:t>
            </w:r>
          </w:p>
        </w:tc>
        <w:tc>
          <w:tcPr>
            <w:tcW w:w="624" w:type="pct"/>
            <w:vAlign w:val="center"/>
          </w:tcPr>
          <w:p w14:paraId="47A60441">
            <w:pPr>
              <w:pStyle w:val="11"/>
              <w:bidi w:val="0"/>
              <w:jc w:val="center"/>
              <w:rPr>
                <w:rFonts w:hint="eastAsia"/>
                <w:lang w:eastAsia="zh-CN"/>
              </w:rPr>
            </w:pPr>
            <w:r>
              <w:rPr>
                <w:rFonts w:hint="eastAsia"/>
              </w:rPr>
              <w:t>3869</w:t>
            </w:r>
          </w:p>
        </w:tc>
        <w:tc>
          <w:tcPr>
            <w:tcW w:w="624" w:type="pct"/>
            <w:vAlign w:val="center"/>
          </w:tcPr>
          <w:p w14:paraId="02F0B934">
            <w:pPr>
              <w:pStyle w:val="11"/>
              <w:bidi w:val="0"/>
              <w:jc w:val="center"/>
              <w:rPr>
                <w:rFonts w:hint="eastAsia"/>
                <w:lang w:eastAsia="zh-CN"/>
              </w:rPr>
            </w:pPr>
            <w:r>
              <w:rPr>
                <w:rFonts w:hint="eastAsia"/>
              </w:rPr>
              <w:t>11139</w:t>
            </w:r>
          </w:p>
        </w:tc>
        <w:tc>
          <w:tcPr>
            <w:tcW w:w="624" w:type="pct"/>
            <w:vAlign w:val="center"/>
          </w:tcPr>
          <w:p w14:paraId="11DB4989">
            <w:pPr>
              <w:pStyle w:val="11"/>
              <w:bidi w:val="0"/>
              <w:jc w:val="center"/>
              <w:rPr>
                <w:rFonts w:hint="eastAsia"/>
                <w:lang w:eastAsia="zh-CN"/>
              </w:rPr>
            </w:pPr>
            <w:r>
              <w:rPr>
                <w:rFonts w:hint="eastAsia"/>
              </w:rPr>
              <w:t>5774</w:t>
            </w:r>
          </w:p>
        </w:tc>
        <w:tc>
          <w:tcPr>
            <w:tcW w:w="625" w:type="pct"/>
            <w:vAlign w:val="center"/>
          </w:tcPr>
          <w:p w14:paraId="03CD7719">
            <w:pPr>
              <w:pStyle w:val="11"/>
              <w:bidi w:val="0"/>
              <w:jc w:val="center"/>
              <w:rPr>
                <w:rFonts w:hint="eastAsia"/>
                <w:lang w:eastAsia="zh-CN"/>
              </w:rPr>
            </w:pPr>
            <w:r>
              <w:rPr>
                <w:rFonts w:hint="eastAsia"/>
              </w:rPr>
              <w:t>5365</w:t>
            </w:r>
          </w:p>
        </w:tc>
        <w:tc>
          <w:tcPr>
            <w:tcW w:w="625" w:type="pct"/>
            <w:vAlign w:val="center"/>
          </w:tcPr>
          <w:p w14:paraId="345A288B">
            <w:pPr>
              <w:pStyle w:val="11"/>
              <w:bidi w:val="0"/>
              <w:jc w:val="center"/>
              <w:rPr>
                <w:rFonts w:hint="eastAsia"/>
                <w:lang w:eastAsia="zh-CN"/>
              </w:rPr>
            </w:pPr>
            <w:r>
              <w:rPr>
                <w:rFonts w:hint="eastAsia"/>
              </w:rPr>
              <w:t>8904</w:t>
            </w:r>
          </w:p>
        </w:tc>
        <w:tc>
          <w:tcPr>
            <w:tcW w:w="627" w:type="pct"/>
            <w:vAlign w:val="center"/>
          </w:tcPr>
          <w:p w14:paraId="369C7F19">
            <w:pPr>
              <w:pStyle w:val="11"/>
              <w:bidi w:val="0"/>
              <w:jc w:val="center"/>
              <w:rPr>
                <w:rFonts w:hint="eastAsia"/>
                <w:lang w:eastAsia="zh-CN"/>
              </w:rPr>
            </w:pPr>
            <w:r>
              <w:rPr>
                <w:rFonts w:hint="eastAsia"/>
              </w:rPr>
              <w:t>4324</w:t>
            </w:r>
          </w:p>
        </w:tc>
      </w:tr>
      <w:tr w14:paraId="0A1A4643">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1AF741E8">
            <w:pPr>
              <w:pStyle w:val="11"/>
              <w:bidi w:val="0"/>
              <w:jc w:val="center"/>
              <w:rPr>
                <w:rFonts w:hint="eastAsia"/>
                <w:lang w:eastAsia="zh-CN"/>
              </w:rPr>
            </w:pPr>
            <w:r>
              <w:rPr>
                <w:rFonts w:hint="eastAsia"/>
              </w:rPr>
              <w:t>油山镇</w:t>
            </w:r>
          </w:p>
        </w:tc>
        <w:tc>
          <w:tcPr>
            <w:tcW w:w="624" w:type="pct"/>
            <w:vAlign w:val="center"/>
          </w:tcPr>
          <w:p w14:paraId="64F364EA">
            <w:pPr>
              <w:pStyle w:val="11"/>
              <w:bidi w:val="0"/>
              <w:jc w:val="center"/>
              <w:rPr>
                <w:rFonts w:hint="eastAsia"/>
                <w:lang w:eastAsia="zh-CN"/>
              </w:rPr>
            </w:pPr>
            <w:r>
              <w:rPr>
                <w:rFonts w:hint="eastAsia"/>
              </w:rPr>
              <w:t>17</w:t>
            </w:r>
          </w:p>
        </w:tc>
        <w:tc>
          <w:tcPr>
            <w:tcW w:w="624" w:type="pct"/>
            <w:vAlign w:val="center"/>
          </w:tcPr>
          <w:p w14:paraId="4995E277">
            <w:pPr>
              <w:pStyle w:val="11"/>
              <w:bidi w:val="0"/>
              <w:jc w:val="center"/>
              <w:rPr>
                <w:rFonts w:hint="eastAsia"/>
                <w:lang w:eastAsia="zh-CN"/>
              </w:rPr>
            </w:pPr>
            <w:r>
              <w:rPr>
                <w:rFonts w:hint="eastAsia"/>
              </w:rPr>
              <w:t>6806</w:t>
            </w:r>
          </w:p>
        </w:tc>
        <w:tc>
          <w:tcPr>
            <w:tcW w:w="624" w:type="pct"/>
            <w:vAlign w:val="center"/>
          </w:tcPr>
          <w:p w14:paraId="2ECB4A15">
            <w:pPr>
              <w:pStyle w:val="11"/>
              <w:bidi w:val="0"/>
              <w:jc w:val="center"/>
              <w:rPr>
                <w:rFonts w:hint="eastAsia"/>
                <w:lang w:eastAsia="zh-CN"/>
              </w:rPr>
            </w:pPr>
            <w:r>
              <w:rPr>
                <w:rFonts w:hint="eastAsia"/>
              </w:rPr>
              <w:t>17445</w:t>
            </w:r>
          </w:p>
        </w:tc>
        <w:tc>
          <w:tcPr>
            <w:tcW w:w="624" w:type="pct"/>
            <w:vAlign w:val="center"/>
          </w:tcPr>
          <w:p w14:paraId="2670BE04">
            <w:pPr>
              <w:pStyle w:val="11"/>
              <w:bidi w:val="0"/>
              <w:jc w:val="center"/>
              <w:rPr>
                <w:rFonts w:hint="eastAsia"/>
                <w:lang w:eastAsia="zh-CN"/>
              </w:rPr>
            </w:pPr>
            <w:r>
              <w:rPr>
                <w:rFonts w:hint="eastAsia"/>
              </w:rPr>
              <w:t>8986</w:t>
            </w:r>
          </w:p>
        </w:tc>
        <w:tc>
          <w:tcPr>
            <w:tcW w:w="625" w:type="pct"/>
            <w:vAlign w:val="center"/>
          </w:tcPr>
          <w:p w14:paraId="7CC25436">
            <w:pPr>
              <w:pStyle w:val="11"/>
              <w:bidi w:val="0"/>
              <w:jc w:val="center"/>
              <w:rPr>
                <w:rFonts w:hint="eastAsia"/>
                <w:lang w:eastAsia="zh-CN"/>
              </w:rPr>
            </w:pPr>
            <w:r>
              <w:rPr>
                <w:rFonts w:hint="eastAsia"/>
              </w:rPr>
              <w:t>8459</w:t>
            </w:r>
          </w:p>
        </w:tc>
        <w:tc>
          <w:tcPr>
            <w:tcW w:w="625" w:type="pct"/>
            <w:vAlign w:val="center"/>
          </w:tcPr>
          <w:p w14:paraId="7951FB8D">
            <w:pPr>
              <w:pStyle w:val="11"/>
              <w:bidi w:val="0"/>
              <w:jc w:val="center"/>
              <w:rPr>
                <w:rFonts w:hint="eastAsia"/>
                <w:lang w:eastAsia="zh-CN"/>
              </w:rPr>
            </w:pPr>
            <w:r>
              <w:rPr>
                <w:rFonts w:hint="eastAsia"/>
              </w:rPr>
              <w:t>14544</w:t>
            </w:r>
          </w:p>
        </w:tc>
        <w:tc>
          <w:tcPr>
            <w:tcW w:w="627" w:type="pct"/>
            <w:vAlign w:val="center"/>
          </w:tcPr>
          <w:p w14:paraId="06F011EC">
            <w:pPr>
              <w:pStyle w:val="11"/>
              <w:bidi w:val="0"/>
              <w:jc w:val="center"/>
              <w:rPr>
                <w:rFonts w:hint="eastAsia"/>
                <w:lang w:eastAsia="zh-CN"/>
              </w:rPr>
            </w:pPr>
            <w:r>
              <w:rPr>
                <w:rFonts w:hint="eastAsia"/>
              </w:rPr>
              <w:t>7624</w:t>
            </w:r>
          </w:p>
        </w:tc>
      </w:tr>
      <w:tr w14:paraId="429193EC">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36B91C1E">
            <w:pPr>
              <w:pStyle w:val="11"/>
              <w:bidi w:val="0"/>
              <w:jc w:val="center"/>
              <w:rPr>
                <w:rFonts w:hint="eastAsia"/>
                <w:lang w:eastAsia="zh-CN"/>
              </w:rPr>
            </w:pPr>
            <w:r>
              <w:rPr>
                <w:rFonts w:hint="eastAsia"/>
              </w:rPr>
              <w:t>南亩镇</w:t>
            </w:r>
          </w:p>
        </w:tc>
        <w:tc>
          <w:tcPr>
            <w:tcW w:w="624" w:type="pct"/>
            <w:vAlign w:val="center"/>
          </w:tcPr>
          <w:p w14:paraId="3034D89F">
            <w:pPr>
              <w:pStyle w:val="11"/>
              <w:bidi w:val="0"/>
              <w:jc w:val="center"/>
              <w:rPr>
                <w:rFonts w:hint="eastAsia"/>
                <w:lang w:eastAsia="zh-CN"/>
              </w:rPr>
            </w:pPr>
            <w:r>
              <w:rPr>
                <w:rFonts w:hint="eastAsia"/>
              </w:rPr>
              <w:t>11</w:t>
            </w:r>
          </w:p>
        </w:tc>
        <w:tc>
          <w:tcPr>
            <w:tcW w:w="624" w:type="pct"/>
            <w:vAlign w:val="center"/>
          </w:tcPr>
          <w:p w14:paraId="1F579529">
            <w:pPr>
              <w:pStyle w:val="11"/>
              <w:bidi w:val="0"/>
              <w:jc w:val="center"/>
              <w:rPr>
                <w:rFonts w:hint="eastAsia"/>
                <w:lang w:eastAsia="zh-CN"/>
              </w:rPr>
            </w:pPr>
            <w:r>
              <w:rPr>
                <w:rFonts w:hint="eastAsia"/>
              </w:rPr>
              <w:t>3512</w:t>
            </w:r>
          </w:p>
        </w:tc>
        <w:tc>
          <w:tcPr>
            <w:tcW w:w="624" w:type="pct"/>
            <w:vAlign w:val="center"/>
          </w:tcPr>
          <w:p w14:paraId="1D10A3A2">
            <w:pPr>
              <w:pStyle w:val="11"/>
              <w:bidi w:val="0"/>
              <w:jc w:val="center"/>
              <w:rPr>
                <w:rFonts w:hint="eastAsia"/>
                <w:lang w:eastAsia="zh-CN"/>
              </w:rPr>
            </w:pPr>
            <w:r>
              <w:rPr>
                <w:rFonts w:hint="eastAsia"/>
              </w:rPr>
              <w:t>8856</w:t>
            </w:r>
          </w:p>
        </w:tc>
        <w:tc>
          <w:tcPr>
            <w:tcW w:w="624" w:type="pct"/>
            <w:vAlign w:val="center"/>
          </w:tcPr>
          <w:p w14:paraId="4C333A14">
            <w:pPr>
              <w:pStyle w:val="11"/>
              <w:bidi w:val="0"/>
              <w:jc w:val="center"/>
              <w:rPr>
                <w:rFonts w:hint="eastAsia"/>
                <w:lang w:eastAsia="zh-CN"/>
              </w:rPr>
            </w:pPr>
            <w:r>
              <w:rPr>
                <w:rFonts w:hint="eastAsia"/>
              </w:rPr>
              <w:t>4699</w:t>
            </w:r>
          </w:p>
        </w:tc>
        <w:tc>
          <w:tcPr>
            <w:tcW w:w="625" w:type="pct"/>
            <w:vAlign w:val="center"/>
          </w:tcPr>
          <w:p w14:paraId="01E5E18C">
            <w:pPr>
              <w:pStyle w:val="11"/>
              <w:bidi w:val="0"/>
              <w:jc w:val="center"/>
              <w:rPr>
                <w:rFonts w:hint="eastAsia"/>
                <w:lang w:eastAsia="zh-CN"/>
              </w:rPr>
            </w:pPr>
            <w:r>
              <w:rPr>
                <w:rFonts w:hint="eastAsia"/>
              </w:rPr>
              <w:t>4157</w:t>
            </w:r>
          </w:p>
        </w:tc>
        <w:tc>
          <w:tcPr>
            <w:tcW w:w="625" w:type="pct"/>
            <w:vAlign w:val="center"/>
          </w:tcPr>
          <w:p w14:paraId="53C96B5E">
            <w:pPr>
              <w:pStyle w:val="11"/>
              <w:bidi w:val="0"/>
              <w:jc w:val="center"/>
              <w:rPr>
                <w:rFonts w:hint="eastAsia"/>
                <w:lang w:eastAsia="zh-CN"/>
              </w:rPr>
            </w:pPr>
            <w:r>
              <w:rPr>
                <w:rFonts w:hint="eastAsia"/>
              </w:rPr>
              <w:t>7634</w:t>
            </w:r>
          </w:p>
        </w:tc>
        <w:tc>
          <w:tcPr>
            <w:tcW w:w="627" w:type="pct"/>
            <w:vAlign w:val="center"/>
          </w:tcPr>
          <w:p w14:paraId="694E6791">
            <w:pPr>
              <w:pStyle w:val="11"/>
              <w:bidi w:val="0"/>
              <w:jc w:val="center"/>
              <w:rPr>
                <w:rFonts w:hint="eastAsia"/>
                <w:lang w:eastAsia="zh-CN"/>
              </w:rPr>
            </w:pPr>
            <w:r>
              <w:rPr>
                <w:rFonts w:hint="eastAsia"/>
              </w:rPr>
              <w:t>3903</w:t>
            </w:r>
          </w:p>
        </w:tc>
      </w:tr>
      <w:tr w14:paraId="22708053">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397B65BF">
            <w:pPr>
              <w:pStyle w:val="11"/>
              <w:bidi w:val="0"/>
              <w:jc w:val="center"/>
              <w:rPr>
                <w:rFonts w:hint="eastAsia"/>
                <w:lang w:eastAsia="zh-CN"/>
              </w:rPr>
            </w:pPr>
            <w:r>
              <w:rPr>
                <w:rFonts w:hint="eastAsia"/>
              </w:rPr>
              <w:t>水口镇</w:t>
            </w:r>
          </w:p>
        </w:tc>
        <w:tc>
          <w:tcPr>
            <w:tcW w:w="624" w:type="pct"/>
            <w:vAlign w:val="center"/>
          </w:tcPr>
          <w:p w14:paraId="4E744460">
            <w:pPr>
              <w:pStyle w:val="11"/>
              <w:bidi w:val="0"/>
              <w:jc w:val="center"/>
              <w:rPr>
                <w:rFonts w:hint="eastAsia"/>
                <w:lang w:eastAsia="zh-CN"/>
              </w:rPr>
            </w:pPr>
            <w:r>
              <w:rPr>
                <w:rFonts w:hint="eastAsia"/>
              </w:rPr>
              <w:t>13</w:t>
            </w:r>
          </w:p>
        </w:tc>
        <w:tc>
          <w:tcPr>
            <w:tcW w:w="624" w:type="pct"/>
            <w:vAlign w:val="center"/>
          </w:tcPr>
          <w:p w14:paraId="71BE345F">
            <w:pPr>
              <w:pStyle w:val="11"/>
              <w:bidi w:val="0"/>
              <w:jc w:val="center"/>
              <w:rPr>
                <w:rFonts w:hint="eastAsia"/>
                <w:lang w:eastAsia="zh-CN"/>
              </w:rPr>
            </w:pPr>
            <w:r>
              <w:rPr>
                <w:rFonts w:hint="eastAsia"/>
              </w:rPr>
              <w:t>5278</w:t>
            </w:r>
          </w:p>
        </w:tc>
        <w:tc>
          <w:tcPr>
            <w:tcW w:w="624" w:type="pct"/>
            <w:vAlign w:val="center"/>
          </w:tcPr>
          <w:p w14:paraId="3489C0AD">
            <w:pPr>
              <w:pStyle w:val="11"/>
              <w:bidi w:val="0"/>
              <w:jc w:val="center"/>
              <w:rPr>
                <w:rFonts w:hint="eastAsia"/>
                <w:lang w:eastAsia="zh-CN"/>
              </w:rPr>
            </w:pPr>
            <w:r>
              <w:rPr>
                <w:rFonts w:hint="eastAsia"/>
              </w:rPr>
              <w:t>16320</w:t>
            </w:r>
          </w:p>
        </w:tc>
        <w:tc>
          <w:tcPr>
            <w:tcW w:w="624" w:type="pct"/>
            <w:vAlign w:val="center"/>
          </w:tcPr>
          <w:p w14:paraId="19917378">
            <w:pPr>
              <w:pStyle w:val="11"/>
              <w:bidi w:val="0"/>
              <w:jc w:val="center"/>
              <w:rPr>
                <w:rFonts w:hint="eastAsia"/>
                <w:lang w:eastAsia="zh-CN"/>
              </w:rPr>
            </w:pPr>
            <w:r>
              <w:rPr>
                <w:rFonts w:hint="eastAsia"/>
              </w:rPr>
              <w:t>8634</w:t>
            </w:r>
          </w:p>
        </w:tc>
        <w:tc>
          <w:tcPr>
            <w:tcW w:w="625" w:type="pct"/>
            <w:vAlign w:val="center"/>
          </w:tcPr>
          <w:p w14:paraId="04E1A8E0">
            <w:pPr>
              <w:pStyle w:val="11"/>
              <w:bidi w:val="0"/>
              <w:jc w:val="center"/>
              <w:rPr>
                <w:rFonts w:hint="eastAsia"/>
                <w:lang w:eastAsia="zh-CN"/>
              </w:rPr>
            </w:pPr>
            <w:r>
              <w:rPr>
                <w:rFonts w:hint="eastAsia"/>
              </w:rPr>
              <w:t>7686</w:t>
            </w:r>
          </w:p>
        </w:tc>
        <w:tc>
          <w:tcPr>
            <w:tcW w:w="625" w:type="pct"/>
            <w:vAlign w:val="center"/>
          </w:tcPr>
          <w:p w14:paraId="1B772DB1">
            <w:pPr>
              <w:pStyle w:val="11"/>
              <w:bidi w:val="0"/>
              <w:jc w:val="center"/>
              <w:rPr>
                <w:rFonts w:hint="eastAsia"/>
                <w:lang w:eastAsia="zh-CN"/>
              </w:rPr>
            </w:pPr>
            <w:r>
              <w:rPr>
                <w:rFonts w:hint="eastAsia"/>
              </w:rPr>
              <w:t>13902</w:t>
            </w:r>
          </w:p>
        </w:tc>
        <w:tc>
          <w:tcPr>
            <w:tcW w:w="627" w:type="pct"/>
            <w:vAlign w:val="center"/>
          </w:tcPr>
          <w:p w14:paraId="35C16E5C">
            <w:pPr>
              <w:pStyle w:val="11"/>
              <w:bidi w:val="0"/>
              <w:jc w:val="center"/>
              <w:rPr>
                <w:rFonts w:hint="eastAsia"/>
                <w:lang w:eastAsia="zh-CN"/>
              </w:rPr>
            </w:pPr>
            <w:r>
              <w:rPr>
                <w:rFonts w:hint="eastAsia"/>
              </w:rPr>
              <w:t>7145</w:t>
            </w:r>
          </w:p>
        </w:tc>
      </w:tr>
      <w:tr w14:paraId="4F33CC68">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0035F812">
            <w:pPr>
              <w:pStyle w:val="11"/>
              <w:bidi w:val="0"/>
              <w:jc w:val="center"/>
              <w:rPr>
                <w:rFonts w:hint="eastAsia"/>
                <w:lang w:eastAsia="zh-CN"/>
              </w:rPr>
            </w:pPr>
            <w:r>
              <w:rPr>
                <w:rFonts w:hint="eastAsia"/>
              </w:rPr>
              <w:t>江头镇</w:t>
            </w:r>
          </w:p>
        </w:tc>
        <w:tc>
          <w:tcPr>
            <w:tcW w:w="624" w:type="pct"/>
            <w:vAlign w:val="center"/>
          </w:tcPr>
          <w:p w14:paraId="496E364A">
            <w:pPr>
              <w:pStyle w:val="11"/>
              <w:bidi w:val="0"/>
              <w:jc w:val="center"/>
              <w:rPr>
                <w:rFonts w:hint="eastAsia"/>
                <w:lang w:eastAsia="zh-CN"/>
              </w:rPr>
            </w:pPr>
            <w:r>
              <w:rPr>
                <w:rFonts w:hint="eastAsia"/>
              </w:rPr>
              <w:t>9</w:t>
            </w:r>
          </w:p>
        </w:tc>
        <w:tc>
          <w:tcPr>
            <w:tcW w:w="624" w:type="pct"/>
            <w:vAlign w:val="center"/>
          </w:tcPr>
          <w:p w14:paraId="3FA6760B">
            <w:pPr>
              <w:pStyle w:val="11"/>
              <w:bidi w:val="0"/>
              <w:jc w:val="center"/>
              <w:rPr>
                <w:rFonts w:hint="eastAsia"/>
                <w:lang w:eastAsia="zh-CN"/>
              </w:rPr>
            </w:pPr>
            <w:r>
              <w:rPr>
                <w:rFonts w:hint="eastAsia"/>
              </w:rPr>
              <w:t>2757</w:t>
            </w:r>
          </w:p>
        </w:tc>
        <w:tc>
          <w:tcPr>
            <w:tcW w:w="624" w:type="pct"/>
            <w:vAlign w:val="center"/>
          </w:tcPr>
          <w:p w14:paraId="7975D573">
            <w:pPr>
              <w:pStyle w:val="11"/>
              <w:bidi w:val="0"/>
              <w:jc w:val="center"/>
              <w:rPr>
                <w:rFonts w:hint="eastAsia"/>
                <w:lang w:eastAsia="zh-CN"/>
              </w:rPr>
            </w:pPr>
            <w:r>
              <w:rPr>
                <w:rFonts w:hint="eastAsia"/>
              </w:rPr>
              <w:t>7279</w:t>
            </w:r>
          </w:p>
        </w:tc>
        <w:tc>
          <w:tcPr>
            <w:tcW w:w="624" w:type="pct"/>
            <w:vAlign w:val="center"/>
          </w:tcPr>
          <w:p w14:paraId="2B4CD7FF">
            <w:pPr>
              <w:pStyle w:val="11"/>
              <w:bidi w:val="0"/>
              <w:jc w:val="center"/>
              <w:rPr>
                <w:rFonts w:hint="eastAsia"/>
                <w:lang w:eastAsia="zh-CN"/>
              </w:rPr>
            </w:pPr>
            <w:r>
              <w:rPr>
                <w:rFonts w:hint="eastAsia"/>
              </w:rPr>
              <w:t>3730</w:t>
            </w:r>
          </w:p>
        </w:tc>
        <w:tc>
          <w:tcPr>
            <w:tcW w:w="625" w:type="pct"/>
            <w:vAlign w:val="center"/>
          </w:tcPr>
          <w:p w14:paraId="1EB5095E">
            <w:pPr>
              <w:pStyle w:val="11"/>
              <w:bidi w:val="0"/>
              <w:jc w:val="center"/>
              <w:rPr>
                <w:rFonts w:hint="eastAsia"/>
                <w:lang w:eastAsia="zh-CN"/>
              </w:rPr>
            </w:pPr>
            <w:r>
              <w:rPr>
                <w:rFonts w:hint="eastAsia"/>
              </w:rPr>
              <w:t>3549</w:t>
            </w:r>
          </w:p>
        </w:tc>
        <w:tc>
          <w:tcPr>
            <w:tcW w:w="625" w:type="pct"/>
            <w:vAlign w:val="center"/>
          </w:tcPr>
          <w:p w14:paraId="456D8D39">
            <w:pPr>
              <w:pStyle w:val="11"/>
              <w:bidi w:val="0"/>
              <w:jc w:val="center"/>
              <w:rPr>
                <w:rFonts w:hint="eastAsia"/>
                <w:lang w:eastAsia="zh-CN"/>
              </w:rPr>
            </w:pPr>
            <w:r>
              <w:rPr>
                <w:rFonts w:hint="eastAsia"/>
              </w:rPr>
              <w:t>5686</w:t>
            </w:r>
          </w:p>
        </w:tc>
        <w:tc>
          <w:tcPr>
            <w:tcW w:w="627" w:type="pct"/>
            <w:vAlign w:val="center"/>
          </w:tcPr>
          <w:p w14:paraId="14DE826C">
            <w:pPr>
              <w:pStyle w:val="11"/>
              <w:bidi w:val="0"/>
              <w:jc w:val="center"/>
              <w:rPr>
                <w:rFonts w:hint="eastAsia"/>
                <w:lang w:eastAsia="zh-CN"/>
              </w:rPr>
            </w:pPr>
            <w:r>
              <w:rPr>
                <w:rFonts w:hint="eastAsia"/>
              </w:rPr>
              <w:t>2907</w:t>
            </w:r>
          </w:p>
        </w:tc>
      </w:tr>
      <w:tr w14:paraId="21A4FDFB">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7A85AF76">
            <w:pPr>
              <w:pStyle w:val="11"/>
              <w:bidi w:val="0"/>
              <w:jc w:val="center"/>
              <w:rPr>
                <w:rFonts w:hint="eastAsia"/>
                <w:lang w:eastAsia="zh-CN"/>
              </w:rPr>
            </w:pPr>
            <w:r>
              <w:rPr>
                <w:rFonts w:hint="eastAsia"/>
              </w:rPr>
              <w:t>湖口镇</w:t>
            </w:r>
          </w:p>
        </w:tc>
        <w:tc>
          <w:tcPr>
            <w:tcW w:w="624" w:type="pct"/>
            <w:vAlign w:val="center"/>
          </w:tcPr>
          <w:p w14:paraId="25177527">
            <w:pPr>
              <w:pStyle w:val="11"/>
              <w:bidi w:val="0"/>
              <w:jc w:val="center"/>
              <w:rPr>
                <w:rFonts w:hint="eastAsia"/>
                <w:lang w:eastAsia="zh-CN"/>
              </w:rPr>
            </w:pPr>
            <w:r>
              <w:rPr>
                <w:rFonts w:hint="eastAsia"/>
              </w:rPr>
              <w:t>12</w:t>
            </w:r>
          </w:p>
        </w:tc>
        <w:tc>
          <w:tcPr>
            <w:tcW w:w="624" w:type="pct"/>
            <w:vAlign w:val="center"/>
          </w:tcPr>
          <w:p w14:paraId="26849FCA">
            <w:pPr>
              <w:pStyle w:val="11"/>
              <w:bidi w:val="0"/>
              <w:jc w:val="center"/>
              <w:rPr>
                <w:rFonts w:hint="eastAsia"/>
                <w:lang w:eastAsia="zh-CN"/>
              </w:rPr>
            </w:pPr>
            <w:r>
              <w:rPr>
                <w:rFonts w:hint="eastAsia"/>
              </w:rPr>
              <w:t>8205</w:t>
            </w:r>
          </w:p>
        </w:tc>
        <w:tc>
          <w:tcPr>
            <w:tcW w:w="624" w:type="pct"/>
            <w:vAlign w:val="center"/>
          </w:tcPr>
          <w:p w14:paraId="105AFDE9">
            <w:pPr>
              <w:pStyle w:val="11"/>
              <w:bidi w:val="0"/>
              <w:jc w:val="center"/>
              <w:rPr>
                <w:rFonts w:hint="eastAsia"/>
                <w:lang w:eastAsia="zh-CN"/>
              </w:rPr>
            </w:pPr>
            <w:r>
              <w:rPr>
                <w:rFonts w:hint="eastAsia"/>
              </w:rPr>
              <w:t>19477</w:t>
            </w:r>
          </w:p>
        </w:tc>
        <w:tc>
          <w:tcPr>
            <w:tcW w:w="624" w:type="pct"/>
            <w:vAlign w:val="center"/>
          </w:tcPr>
          <w:p w14:paraId="54671AB7">
            <w:pPr>
              <w:pStyle w:val="11"/>
              <w:bidi w:val="0"/>
              <w:jc w:val="center"/>
              <w:rPr>
                <w:rFonts w:hint="eastAsia"/>
                <w:lang w:eastAsia="zh-CN"/>
              </w:rPr>
            </w:pPr>
            <w:r>
              <w:rPr>
                <w:rFonts w:hint="eastAsia"/>
              </w:rPr>
              <w:t>9881</w:t>
            </w:r>
          </w:p>
        </w:tc>
        <w:tc>
          <w:tcPr>
            <w:tcW w:w="625" w:type="pct"/>
            <w:vAlign w:val="center"/>
          </w:tcPr>
          <w:p w14:paraId="5BE56421">
            <w:pPr>
              <w:pStyle w:val="11"/>
              <w:bidi w:val="0"/>
              <w:jc w:val="center"/>
              <w:rPr>
                <w:rFonts w:hint="eastAsia"/>
                <w:lang w:eastAsia="zh-CN"/>
              </w:rPr>
            </w:pPr>
            <w:r>
              <w:rPr>
                <w:rFonts w:hint="eastAsia"/>
              </w:rPr>
              <w:t>9596</w:t>
            </w:r>
          </w:p>
        </w:tc>
        <w:tc>
          <w:tcPr>
            <w:tcW w:w="625" w:type="pct"/>
            <w:vAlign w:val="center"/>
          </w:tcPr>
          <w:p w14:paraId="4378C7EF">
            <w:pPr>
              <w:pStyle w:val="11"/>
              <w:bidi w:val="0"/>
              <w:jc w:val="center"/>
              <w:rPr>
                <w:rFonts w:hint="eastAsia"/>
                <w:lang w:eastAsia="zh-CN"/>
              </w:rPr>
            </w:pPr>
            <w:r>
              <w:rPr>
                <w:rFonts w:hint="eastAsia"/>
              </w:rPr>
              <w:t>16288</w:t>
            </w:r>
          </w:p>
        </w:tc>
        <w:tc>
          <w:tcPr>
            <w:tcW w:w="627" w:type="pct"/>
            <w:vAlign w:val="center"/>
          </w:tcPr>
          <w:p w14:paraId="446DF76C">
            <w:pPr>
              <w:pStyle w:val="11"/>
              <w:bidi w:val="0"/>
              <w:jc w:val="center"/>
              <w:rPr>
                <w:rFonts w:hint="eastAsia"/>
                <w:lang w:eastAsia="zh-CN"/>
              </w:rPr>
            </w:pPr>
            <w:r>
              <w:rPr>
                <w:rFonts w:hint="eastAsia"/>
              </w:rPr>
              <w:t>8122</w:t>
            </w:r>
          </w:p>
        </w:tc>
      </w:tr>
      <w:tr w14:paraId="662EE4D8">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4A0560F2">
            <w:pPr>
              <w:pStyle w:val="11"/>
              <w:bidi w:val="0"/>
              <w:jc w:val="center"/>
              <w:rPr>
                <w:rFonts w:hint="eastAsia"/>
                <w:lang w:eastAsia="zh-CN"/>
              </w:rPr>
            </w:pPr>
            <w:r>
              <w:rPr>
                <w:rFonts w:hint="eastAsia"/>
              </w:rPr>
              <w:t>珠玑镇</w:t>
            </w:r>
          </w:p>
        </w:tc>
        <w:tc>
          <w:tcPr>
            <w:tcW w:w="624" w:type="pct"/>
            <w:vAlign w:val="center"/>
          </w:tcPr>
          <w:p w14:paraId="3141E725">
            <w:pPr>
              <w:pStyle w:val="11"/>
              <w:bidi w:val="0"/>
              <w:jc w:val="center"/>
              <w:rPr>
                <w:rFonts w:hint="eastAsia"/>
                <w:lang w:eastAsia="zh-CN"/>
              </w:rPr>
            </w:pPr>
            <w:r>
              <w:rPr>
                <w:rFonts w:hint="eastAsia"/>
              </w:rPr>
              <w:t>22</w:t>
            </w:r>
          </w:p>
        </w:tc>
        <w:tc>
          <w:tcPr>
            <w:tcW w:w="624" w:type="pct"/>
            <w:vAlign w:val="center"/>
          </w:tcPr>
          <w:p w14:paraId="4BCC5678">
            <w:pPr>
              <w:pStyle w:val="11"/>
              <w:bidi w:val="0"/>
              <w:jc w:val="center"/>
              <w:rPr>
                <w:rFonts w:hint="eastAsia"/>
                <w:lang w:eastAsia="zh-CN"/>
              </w:rPr>
            </w:pPr>
            <w:r>
              <w:rPr>
                <w:rFonts w:hint="eastAsia"/>
              </w:rPr>
              <w:t>9522</w:t>
            </w:r>
          </w:p>
        </w:tc>
        <w:tc>
          <w:tcPr>
            <w:tcW w:w="624" w:type="pct"/>
            <w:vAlign w:val="center"/>
          </w:tcPr>
          <w:p w14:paraId="6DEED3AC">
            <w:pPr>
              <w:pStyle w:val="11"/>
              <w:bidi w:val="0"/>
              <w:jc w:val="center"/>
              <w:rPr>
                <w:rFonts w:hint="eastAsia"/>
                <w:lang w:eastAsia="zh-CN"/>
              </w:rPr>
            </w:pPr>
            <w:r>
              <w:rPr>
                <w:rFonts w:hint="eastAsia"/>
              </w:rPr>
              <w:t>23045</w:t>
            </w:r>
          </w:p>
        </w:tc>
        <w:tc>
          <w:tcPr>
            <w:tcW w:w="624" w:type="pct"/>
            <w:vAlign w:val="center"/>
          </w:tcPr>
          <w:p w14:paraId="0B50BA0F">
            <w:pPr>
              <w:pStyle w:val="11"/>
              <w:bidi w:val="0"/>
              <w:jc w:val="center"/>
              <w:rPr>
                <w:rFonts w:hint="eastAsia"/>
                <w:lang w:eastAsia="zh-CN"/>
              </w:rPr>
            </w:pPr>
            <w:r>
              <w:rPr>
                <w:rFonts w:hint="eastAsia"/>
              </w:rPr>
              <w:t>11690</w:t>
            </w:r>
          </w:p>
        </w:tc>
        <w:tc>
          <w:tcPr>
            <w:tcW w:w="625" w:type="pct"/>
            <w:vAlign w:val="center"/>
          </w:tcPr>
          <w:p w14:paraId="62438348">
            <w:pPr>
              <w:pStyle w:val="11"/>
              <w:bidi w:val="0"/>
              <w:jc w:val="center"/>
              <w:rPr>
                <w:rFonts w:hint="eastAsia"/>
                <w:lang w:eastAsia="zh-CN"/>
              </w:rPr>
            </w:pPr>
            <w:r>
              <w:rPr>
                <w:rFonts w:hint="eastAsia"/>
              </w:rPr>
              <w:t>11355</w:t>
            </w:r>
          </w:p>
        </w:tc>
        <w:tc>
          <w:tcPr>
            <w:tcW w:w="625" w:type="pct"/>
            <w:vAlign w:val="center"/>
          </w:tcPr>
          <w:p w14:paraId="7605566B">
            <w:pPr>
              <w:pStyle w:val="11"/>
              <w:bidi w:val="0"/>
              <w:jc w:val="center"/>
              <w:rPr>
                <w:rFonts w:hint="eastAsia"/>
                <w:lang w:eastAsia="zh-CN"/>
              </w:rPr>
            </w:pPr>
            <w:r>
              <w:rPr>
                <w:rFonts w:hint="eastAsia"/>
              </w:rPr>
              <w:t>17883</w:t>
            </w:r>
          </w:p>
        </w:tc>
        <w:tc>
          <w:tcPr>
            <w:tcW w:w="627" w:type="pct"/>
            <w:vAlign w:val="center"/>
          </w:tcPr>
          <w:p w14:paraId="04660B76">
            <w:pPr>
              <w:pStyle w:val="11"/>
              <w:bidi w:val="0"/>
              <w:jc w:val="center"/>
              <w:rPr>
                <w:rFonts w:hint="eastAsia"/>
                <w:lang w:eastAsia="zh-CN"/>
              </w:rPr>
            </w:pPr>
            <w:r>
              <w:rPr>
                <w:rFonts w:hint="eastAsia"/>
              </w:rPr>
              <w:t>9201</w:t>
            </w:r>
          </w:p>
        </w:tc>
      </w:tr>
      <w:tr w14:paraId="30C13A36">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79CE92ED">
            <w:pPr>
              <w:pStyle w:val="11"/>
              <w:bidi w:val="0"/>
              <w:jc w:val="center"/>
              <w:rPr>
                <w:rFonts w:hint="eastAsia"/>
                <w:lang w:eastAsia="zh-CN"/>
              </w:rPr>
            </w:pPr>
            <w:r>
              <w:rPr>
                <w:rFonts w:hint="eastAsia"/>
              </w:rPr>
              <w:t>主田镇</w:t>
            </w:r>
          </w:p>
        </w:tc>
        <w:tc>
          <w:tcPr>
            <w:tcW w:w="624" w:type="pct"/>
            <w:vAlign w:val="center"/>
          </w:tcPr>
          <w:p w14:paraId="4EC3464D">
            <w:pPr>
              <w:pStyle w:val="11"/>
              <w:bidi w:val="0"/>
              <w:jc w:val="center"/>
              <w:rPr>
                <w:rFonts w:hint="eastAsia"/>
                <w:lang w:eastAsia="zh-CN"/>
              </w:rPr>
            </w:pPr>
            <w:r>
              <w:rPr>
                <w:rFonts w:hint="eastAsia"/>
              </w:rPr>
              <w:t>8</w:t>
            </w:r>
          </w:p>
        </w:tc>
        <w:tc>
          <w:tcPr>
            <w:tcW w:w="624" w:type="pct"/>
            <w:vAlign w:val="center"/>
          </w:tcPr>
          <w:p w14:paraId="3D43ECDE">
            <w:pPr>
              <w:pStyle w:val="11"/>
              <w:bidi w:val="0"/>
              <w:jc w:val="center"/>
              <w:rPr>
                <w:rFonts w:hint="eastAsia"/>
                <w:lang w:eastAsia="zh-CN"/>
              </w:rPr>
            </w:pPr>
            <w:r>
              <w:rPr>
                <w:rFonts w:hint="eastAsia"/>
              </w:rPr>
              <w:t>3029</w:t>
            </w:r>
          </w:p>
        </w:tc>
        <w:tc>
          <w:tcPr>
            <w:tcW w:w="624" w:type="pct"/>
            <w:vAlign w:val="center"/>
          </w:tcPr>
          <w:p w14:paraId="7D1015E1">
            <w:pPr>
              <w:pStyle w:val="11"/>
              <w:bidi w:val="0"/>
              <w:jc w:val="center"/>
              <w:rPr>
                <w:rFonts w:hint="eastAsia"/>
                <w:lang w:eastAsia="zh-CN"/>
              </w:rPr>
            </w:pPr>
            <w:r>
              <w:rPr>
                <w:rFonts w:hint="eastAsia"/>
              </w:rPr>
              <w:t>9543</w:t>
            </w:r>
          </w:p>
        </w:tc>
        <w:tc>
          <w:tcPr>
            <w:tcW w:w="624" w:type="pct"/>
            <w:vAlign w:val="center"/>
          </w:tcPr>
          <w:p w14:paraId="637DB009">
            <w:pPr>
              <w:pStyle w:val="11"/>
              <w:bidi w:val="0"/>
              <w:jc w:val="center"/>
              <w:rPr>
                <w:rFonts w:hint="eastAsia"/>
                <w:lang w:eastAsia="zh-CN"/>
              </w:rPr>
            </w:pPr>
            <w:r>
              <w:rPr>
                <w:rFonts w:hint="eastAsia"/>
              </w:rPr>
              <w:t>4763</w:t>
            </w:r>
          </w:p>
        </w:tc>
        <w:tc>
          <w:tcPr>
            <w:tcW w:w="625" w:type="pct"/>
            <w:vAlign w:val="center"/>
          </w:tcPr>
          <w:p w14:paraId="34D88F5F">
            <w:pPr>
              <w:pStyle w:val="11"/>
              <w:bidi w:val="0"/>
              <w:jc w:val="center"/>
              <w:rPr>
                <w:rFonts w:hint="eastAsia"/>
                <w:lang w:eastAsia="zh-CN"/>
              </w:rPr>
            </w:pPr>
            <w:r>
              <w:rPr>
                <w:rFonts w:hint="eastAsia"/>
              </w:rPr>
              <w:t>4780</w:t>
            </w:r>
          </w:p>
        </w:tc>
        <w:tc>
          <w:tcPr>
            <w:tcW w:w="625" w:type="pct"/>
            <w:vAlign w:val="center"/>
          </w:tcPr>
          <w:p w14:paraId="66FF137B">
            <w:pPr>
              <w:pStyle w:val="11"/>
              <w:bidi w:val="0"/>
              <w:jc w:val="center"/>
              <w:rPr>
                <w:rFonts w:hint="eastAsia"/>
                <w:lang w:eastAsia="zh-CN"/>
              </w:rPr>
            </w:pPr>
            <w:r>
              <w:rPr>
                <w:rFonts w:hint="eastAsia"/>
              </w:rPr>
              <w:t>7568</w:t>
            </w:r>
          </w:p>
        </w:tc>
        <w:tc>
          <w:tcPr>
            <w:tcW w:w="627" w:type="pct"/>
            <w:vAlign w:val="center"/>
          </w:tcPr>
          <w:p w14:paraId="00E0B2C3">
            <w:pPr>
              <w:pStyle w:val="11"/>
              <w:bidi w:val="0"/>
              <w:jc w:val="center"/>
              <w:rPr>
                <w:rFonts w:hint="eastAsia"/>
                <w:lang w:eastAsia="zh-CN"/>
              </w:rPr>
            </w:pPr>
            <w:r>
              <w:rPr>
                <w:rFonts w:hint="eastAsia"/>
              </w:rPr>
              <w:t>3788</w:t>
            </w:r>
          </w:p>
        </w:tc>
      </w:tr>
      <w:tr w14:paraId="3D204043">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05FD7EE0">
            <w:pPr>
              <w:pStyle w:val="11"/>
              <w:bidi w:val="0"/>
              <w:jc w:val="center"/>
              <w:rPr>
                <w:rFonts w:hint="eastAsia"/>
                <w:lang w:eastAsia="zh-CN"/>
              </w:rPr>
            </w:pPr>
            <w:r>
              <w:rPr>
                <w:rFonts w:hint="eastAsia"/>
              </w:rPr>
              <w:t>古市镇</w:t>
            </w:r>
          </w:p>
        </w:tc>
        <w:tc>
          <w:tcPr>
            <w:tcW w:w="624" w:type="pct"/>
            <w:vAlign w:val="center"/>
          </w:tcPr>
          <w:p w14:paraId="2D4EE120">
            <w:pPr>
              <w:pStyle w:val="11"/>
              <w:bidi w:val="0"/>
              <w:jc w:val="center"/>
              <w:rPr>
                <w:rFonts w:hint="eastAsia"/>
                <w:lang w:eastAsia="zh-CN"/>
              </w:rPr>
            </w:pPr>
            <w:r>
              <w:rPr>
                <w:rFonts w:hint="eastAsia"/>
              </w:rPr>
              <w:t>8</w:t>
            </w:r>
          </w:p>
        </w:tc>
        <w:tc>
          <w:tcPr>
            <w:tcW w:w="624" w:type="pct"/>
            <w:vAlign w:val="center"/>
          </w:tcPr>
          <w:p w14:paraId="21FA17B4">
            <w:pPr>
              <w:pStyle w:val="11"/>
              <w:bidi w:val="0"/>
              <w:jc w:val="center"/>
              <w:rPr>
                <w:rFonts w:hint="eastAsia"/>
                <w:lang w:eastAsia="zh-CN"/>
              </w:rPr>
            </w:pPr>
            <w:r>
              <w:rPr>
                <w:rFonts w:hint="eastAsia"/>
              </w:rPr>
              <w:t>4248</w:t>
            </w:r>
          </w:p>
        </w:tc>
        <w:tc>
          <w:tcPr>
            <w:tcW w:w="624" w:type="pct"/>
            <w:vAlign w:val="center"/>
          </w:tcPr>
          <w:p w14:paraId="6A6DE20B">
            <w:pPr>
              <w:pStyle w:val="11"/>
              <w:bidi w:val="0"/>
              <w:jc w:val="center"/>
              <w:rPr>
                <w:rFonts w:hint="eastAsia"/>
                <w:lang w:eastAsia="zh-CN"/>
              </w:rPr>
            </w:pPr>
            <w:r>
              <w:rPr>
                <w:rFonts w:hint="eastAsia"/>
              </w:rPr>
              <w:t>12838</w:t>
            </w:r>
          </w:p>
        </w:tc>
        <w:tc>
          <w:tcPr>
            <w:tcW w:w="624" w:type="pct"/>
            <w:vAlign w:val="center"/>
          </w:tcPr>
          <w:p w14:paraId="47E1DECD">
            <w:pPr>
              <w:pStyle w:val="11"/>
              <w:bidi w:val="0"/>
              <w:jc w:val="center"/>
              <w:rPr>
                <w:rFonts w:hint="eastAsia"/>
                <w:lang w:eastAsia="zh-CN"/>
              </w:rPr>
            </w:pPr>
            <w:r>
              <w:rPr>
                <w:rFonts w:hint="eastAsia"/>
              </w:rPr>
              <w:t>6566</w:t>
            </w:r>
          </w:p>
        </w:tc>
        <w:tc>
          <w:tcPr>
            <w:tcW w:w="625" w:type="pct"/>
            <w:vAlign w:val="center"/>
          </w:tcPr>
          <w:p w14:paraId="5794D607">
            <w:pPr>
              <w:pStyle w:val="11"/>
              <w:bidi w:val="0"/>
              <w:jc w:val="center"/>
              <w:rPr>
                <w:rFonts w:hint="eastAsia"/>
                <w:lang w:eastAsia="zh-CN"/>
              </w:rPr>
            </w:pPr>
            <w:r>
              <w:rPr>
                <w:rFonts w:hint="eastAsia"/>
              </w:rPr>
              <w:t>6272</w:t>
            </w:r>
          </w:p>
        </w:tc>
        <w:tc>
          <w:tcPr>
            <w:tcW w:w="625" w:type="pct"/>
            <w:vAlign w:val="center"/>
          </w:tcPr>
          <w:p w14:paraId="14228F06">
            <w:pPr>
              <w:pStyle w:val="11"/>
              <w:bidi w:val="0"/>
              <w:jc w:val="center"/>
              <w:rPr>
                <w:rFonts w:hint="eastAsia"/>
                <w:lang w:eastAsia="zh-CN"/>
              </w:rPr>
            </w:pPr>
            <w:r>
              <w:rPr>
                <w:rFonts w:hint="eastAsia"/>
              </w:rPr>
              <w:t>10720</w:t>
            </w:r>
          </w:p>
        </w:tc>
        <w:tc>
          <w:tcPr>
            <w:tcW w:w="627" w:type="pct"/>
            <w:vAlign w:val="center"/>
          </w:tcPr>
          <w:p w14:paraId="0D08D830">
            <w:pPr>
              <w:pStyle w:val="11"/>
              <w:bidi w:val="0"/>
              <w:jc w:val="center"/>
              <w:rPr>
                <w:rFonts w:hint="eastAsia"/>
                <w:lang w:eastAsia="zh-CN"/>
              </w:rPr>
            </w:pPr>
            <w:r>
              <w:rPr>
                <w:rFonts w:hint="eastAsia"/>
              </w:rPr>
              <w:t>5434</w:t>
            </w:r>
          </w:p>
        </w:tc>
      </w:tr>
      <w:tr w14:paraId="1B01C4C9">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659D7BC5">
            <w:pPr>
              <w:pStyle w:val="11"/>
              <w:bidi w:val="0"/>
              <w:jc w:val="center"/>
              <w:rPr>
                <w:rFonts w:hint="eastAsia"/>
                <w:lang w:eastAsia="zh-CN"/>
              </w:rPr>
            </w:pPr>
            <w:r>
              <w:rPr>
                <w:rFonts w:hint="eastAsia"/>
              </w:rPr>
              <w:t>全安镇</w:t>
            </w:r>
          </w:p>
        </w:tc>
        <w:tc>
          <w:tcPr>
            <w:tcW w:w="624" w:type="pct"/>
            <w:vAlign w:val="center"/>
          </w:tcPr>
          <w:p w14:paraId="54183441">
            <w:pPr>
              <w:pStyle w:val="11"/>
              <w:bidi w:val="0"/>
              <w:jc w:val="center"/>
              <w:rPr>
                <w:rFonts w:hint="eastAsia"/>
                <w:lang w:eastAsia="zh-CN"/>
              </w:rPr>
            </w:pPr>
            <w:r>
              <w:rPr>
                <w:rFonts w:hint="eastAsia"/>
              </w:rPr>
              <w:t>13</w:t>
            </w:r>
          </w:p>
        </w:tc>
        <w:tc>
          <w:tcPr>
            <w:tcW w:w="624" w:type="pct"/>
            <w:vAlign w:val="center"/>
          </w:tcPr>
          <w:p w14:paraId="13553362">
            <w:pPr>
              <w:pStyle w:val="11"/>
              <w:bidi w:val="0"/>
              <w:jc w:val="center"/>
              <w:rPr>
                <w:rFonts w:hint="eastAsia"/>
                <w:lang w:eastAsia="zh-CN"/>
              </w:rPr>
            </w:pPr>
            <w:r>
              <w:rPr>
                <w:rFonts w:hint="eastAsia"/>
              </w:rPr>
              <w:t>5826</w:t>
            </w:r>
          </w:p>
        </w:tc>
        <w:tc>
          <w:tcPr>
            <w:tcW w:w="624" w:type="pct"/>
            <w:vAlign w:val="center"/>
          </w:tcPr>
          <w:p w14:paraId="26E873AF">
            <w:pPr>
              <w:pStyle w:val="11"/>
              <w:bidi w:val="0"/>
              <w:jc w:val="center"/>
              <w:rPr>
                <w:rFonts w:hint="eastAsia"/>
                <w:lang w:eastAsia="zh-CN"/>
              </w:rPr>
            </w:pPr>
            <w:r>
              <w:rPr>
                <w:rFonts w:hint="eastAsia"/>
              </w:rPr>
              <w:t>15362</w:t>
            </w:r>
          </w:p>
        </w:tc>
        <w:tc>
          <w:tcPr>
            <w:tcW w:w="624" w:type="pct"/>
            <w:vAlign w:val="center"/>
          </w:tcPr>
          <w:p w14:paraId="72AE6A62">
            <w:pPr>
              <w:pStyle w:val="11"/>
              <w:bidi w:val="0"/>
              <w:jc w:val="center"/>
              <w:rPr>
                <w:rFonts w:hint="eastAsia"/>
                <w:lang w:eastAsia="zh-CN"/>
              </w:rPr>
            </w:pPr>
            <w:r>
              <w:rPr>
                <w:rFonts w:hint="eastAsia"/>
              </w:rPr>
              <w:t>7748</w:t>
            </w:r>
          </w:p>
        </w:tc>
        <w:tc>
          <w:tcPr>
            <w:tcW w:w="625" w:type="pct"/>
            <w:vAlign w:val="center"/>
          </w:tcPr>
          <w:p w14:paraId="66D78A91">
            <w:pPr>
              <w:pStyle w:val="11"/>
              <w:bidi w:val="0"/>
              <w:jc w:val="center"/>
              <w:rPr>
                <w:rFonts w:hint="eastAsia"/>
                <w:lang w:eastAsia="zh-CN"/>
              </w:rPr>
            </w:pPr>
            <w:r>
              <w:rPr>
                <w:rFonts w:hint="eastAsia"/>
              </w:rPr>
              <w:t>7614</w:t>
            </w:r>
          </w:p>
        </w:tc>
        <w:tc>
          <w:tcPr>
            <w:tcW w:w="625" w:type="pct"/>
            <w:vAlign w:val="center"/>
          </w:tcPr>
          <w:p w14:paraId="30802681">
            <w:pPr>
              <w:pStyle w:val="11"/>
              <w:bidi w:val="0"/>
              <w:jc w:val="center"/>
              <w:rPr>
                <w:rFonts w:hint="eastAsia"/>
                <w:lang w:eastAsia="zh-CN"/>
              </w:rPr>
            </w:pPr>
            <w:r>
              <w:rPr>
                <w:rFonts w:hint="eastAsia"/>
              </w:rPr>
              <w:t>13104</w:t>
            </w:r>
          </w:p>
        </w:tc>
        <w:tc>
          <w:tcPr>
            <w:tcW w:w="627" w:type="pct"/>
            <w:vAlign w:val="center"/>
          </w:tcPr>
          <w:p w14:paraId="58419BD2">
            <w:pPr>
              <w:pStyle w:val="11"/>
              <w:bidi w:val="0"/>
              <w:jc w:val="center"/>
              <w:rPr>
                <w:rFonts w:hint="eastAsia"/>
                <w:lang w:eastAsia="zh-CN"/>
              </w:rPr>
            </w:pPr>
            <w:r>
              <w:rPr>
                <w:rFonts w:hint="eastAsia"/>
              </w:rPr>
              <w:t>6669</w:t>
            </w:r>
          </w:p>
        </w:tc>
      </w:tr>
      <w:tr w14:paraId="1753E1E5">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08092C2A">
            <w:pPr>
              <w:pStyle w:val="11"/>
              <w:bidi w:val="0"/>
              <w:jc w:val="center"/>
              <w:rPr>
                <w:rFonts w:hint="eastAsia"/>
                <w:lang w:eastAsia="zh-CN"/>
              </w:rPr>
            </w:pPr>
            <w:r>
              <w:rPr>
                <w:rFonts w:hint="eastAsia"/>
              </w:rPr>
              <w:t>百顺镇</w:t>
            </w:r>
          </w:p>
        </w:tc>
        <w:tc>
          <w:tcPr>
            <w:tcW w:w="624" w:type="pct"/>
            <w:vAlign w:val="center"/>
          </w:tcPr>
          <w:p w14:paraId="5C712C19">
            <w:pPr>
              <w:pStyle w:val="11"/>
              <w:bidi w:val="0"/>
              <w:jc w:val="center"/>
              <w:rPr>
                <w:rFonts w:hint="eastAsia"/>
                <w:lang w:eastAsia="zh-CN"/>
              </w:rPr>
            </w:pPr>
            <w:r>
              <w:rPr>
                <w:rFonts w:hint="eastAsia"/>
              </w:rPr>
              <w:t>9</w:t>
            </w:r>
          </w:p>
        </w:tc>
        <w:tc>
          <w:tcPr>
            <w:tcW w:w="624" w:type="pct"/>
            <w:vAlign w:val="center"/>
          </w:tcPr>
          <w:p w14:paraId="0F59D4A7">
            <w:pPr>
              <w:pStyle w:val="11"/>
              <w:bidi w:val="0"/>
              <w:jc w:val="center"/>
              <w:rPr>
                <w:rFonts w:hint="eastAsia"/>
                <w:lang w:eastAsia="zh-CN"/>
              </w:rPr>
            </w:pPr>
            <w:r>
              <w:rPr>
                <w:rFonts w:hint="eastAsia"/>
              </w:rPr>
              <w:t>2935</w:t>
            </w:r>
          </w:p>
        </w:tc>
        <w:tc>
          <w:tcPr>
            <w:tcW w:w="624" w:type="pct"/>
            <w:vAlign w:val="center"/>
          </w:tcPr>
          <w:p w14:paraId="2D90A914">
            <w:pPr>
              <w:pStyle w:val="11"/>
              <w:bidi w:val="0"/>
              <w:jc w:val="center"/>
              <w:rPr>
                <w:rFonts w:hint="eastAsia"/>
                <w:lang w:eastAsia="zh-CN"/>
              </w:rPr>
            </w:pPr>
            <w:r>
              <w:rPr>
                <w:rFonts w:hint="eastAsia"/>
              </w:rPr>
              <w:t>10468</w:t>
            </w:r>
          </w:p>
        </w:tc>
        <w:tc>
          <w:tcPr>
            <w:tcW w:w="624" w:type="pct"/>
            <w:vAlign w:val="center"/>
          </w:tcPr>
          <w:p w14:paraId="55D7906C">
            <w:pPr>
              <w:pStyle w:val="11"/>
              <w:bidi w:val="0"/>
              <w:jc w:val="center"/>
              <w:rPr>
                <w:rFonts w:hint="eastAsia"/>
                <w:lang w:eastAsia="zh-CN"/>
              </w:rPr>
            </w:pPr>
            <w:r>
              <w:rPr>
                <w:rFonts w:hint="eastAsia"/>
              </w:rPr>
              <w:t>5506</w:t>
            </w:r>
          </w:p>
        </w:tc>
        <w:tc>
          <w:tcPr>
            <w:tcW w:w="625" w:type="pct"/>
            <w:vAlign w:val="center"/>
          </w:tcPr>
          <w:p w14:paraId="51B1FFA5">
            <w:pPr>
              <w:pStyle w:val="11"/>
              <w:bidi w:val="0"/>
              <w:jc w:val="center"/>
              <w:rPr>
                <w:rFonts w:hint="eastAsia"/>
                <w:lang w:eastAsia="zh-CN"/>
              </w:rPr>
            </w:pPr>
            <w:r>
              <w:rPr>
                <w:rFonts w:hint="eastAsia"/>
              </w:rPr>
              <w:t>4962</w:t>
            </w:r>
          </w:p>
        </w:tc>
        <w:tc>
          <w:tcPr>
            <w:tcW w:w="625" w:type="pct"/>
            <w:vAlign w:val="center"/>
          </w:tcPr>
          <w:p w14:paraId="07FE9C31">
            <w:pPr>
              <w:pStyle w:val="11"/>
              <w:bidi w:val="0"/>
              <w:jc w:val="center"/>
              <w:rPr>
                <w:rFonts w:hint="eastAsia"/>
                <w:lang w:eastAsia="zh-CN"/>
              </w:rPr>
            </w:pPr>
            <w:r>
              <w:rPr>
                <w:rFonts w:hint="eastAsia"/>
              </w:rPr>
              <w:t>8550</w:t>
            </w:r>
          </w:p>
        </w:tc>
        <w:tc>
          <w:tcPr>
            <w:tcW w:w="627" w:type="pct"/>
            <w:vAlign w:val="center"/>
          </w:tcPr>
          <w:p w14:paraId="47240877">
            <w:pPr>
              <w:pStyle w:val="11"/>
              <w:bidi w:val="0"/>
              <w:jc w:val="center"/>
              <w:rPr>
                <w:rFonts w:hint="eastAsia"/>
                <w:lang w:eastAsia="zh-CN"/>
              </w:rPr>
            </w:pPr>
            <w:r>
              <w:rPr>
                <w:rFonts w:hint="eastAsia"/>
              </w:rPr>
              <w:t>4450</w:t>
            </w:r>
          </w:p>
        </w:tc>
      </w:tr>
      <w:tr w14:paraId="3607E1BE">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40003B7A">
            <w:pPr>
              <w:pStyle w:val="11"/>
              <w:bidi w:val="0"/>
              <w:jc w:val="center"/>
              <w:rPr>
                <w:rFonts w:hint="eastAsia"/>
                <w:lang w:eastAsia="zh-CN"/>
              </w:rPr>
            </w:pPr>
            <w:r>
              <w:rPr>
                <w:rFonts w:hint="eastAsia"/>
              </w:rPr>
              <w:t>澜河镇</w:t>
            </w:r>
          </w:p>
        </w:tc>
        <w:tc>
          <w:tcPr>
            <w:tcW w:w="624" w:type="pct"/>
            <w:vAlign w:val="center"/>
          </w:tcPr>
          <w:p w14:paraId="2EB18BDF">
            <w:pPr>
              <w:pStyle w:val="11"/>
              <w:bidi w:val="0"/>
              <w:jc w:val="center"/>
              <w:rPr>
                <w:rFonts w:hint="eastAsia"/>
                <w:lang w:eastAsia="zh-CN"/>
              </w:rPr>
            </w:pPr>
            <w:r>
              <w:rPr>
                <w:rFonts w:hint="eastAsia"/>
              </w:rPr>
              <w:t>6</w:t>
            </w:r>
          </w:p>
        </w:tc>
        <w:tc>
          <w:tcPr>
            <w:tcW w:w="624" w:type="pct"/>
            <w:vAlign w:val="center"/>
          </w:tcPr>
          <w:p w14:paraId="2BB920E4">
            <w:pPr>
              <w:pStyle w:val="11"/>
              <w:bidi w:val="0"/>
              <w:jc w:val="center"/>
              <w:rPr>
                <w:rFonts w:hint="eastAsia"/>
                <w:lang w:eastAsia="zh-CN"/>
              </w:rPr>
            </w:pPr>
            <w:r>
              <w:rPr>
                <w:rFonts w:hint="eastAsia"/>
              </w:rPr>
              <w:t>2355</w:t>
            </w:r>
          </w:p>
        </w:tc>
        <w:tc>
          <w:tcPr>
            <w:tcW w:w="624" w:type="pct"/>
            <w:vAlign w:val="center"/>
          </w:tcPr>
          <w:p w14:paraId="358282FC">
            <w:pPr>
              <w:pStyle w:val="11"/>
              <w:bidi w:val="0"/>
              <w:jc w:val="center"/>
              <w:rPr>
                <w:rFonts w:hint="eastAsia"/>
                <w:lang w:eastAsia="zh-CN"/>
              </w:rPr>
            </w:pPr>
            <w:r>
              <w:rPr>
                <w:rFonts w:hint="eastAsia"/>
              </w:rPr>
              <w:t>6428</w:t>
            </w:r>
          </w:p>
        </w:tc>
        <w:tc>
          <w:tcPr>
            <w:tcW w:w="624" w:type="pct"/>
            <w:vAlign w:val="center"/>
          </w:tcPr>
          <w:p w14:paraId="73A25C25">
            <w:pPr>
              <w:pStyle w:val="11"/>
              <w:bidi w:val="0"/>
              <w:jc w:val="center"/>
              <w:rPr>
                <w:rFonts w:hint="eastAsia"/>
                <w:lang w:eastAsia="zh-CN"/>
              </w:rPr>
            </w:pPr>
            <w:r>
              <w:rPr>
                <w:rFonts w:hint="eastAsia"/>
              </w:rPr>
              <w:t>3476</w:t>
            </w:r>
          </w:p>
        </w:tc>
        <w:tc>
          <w:tcPr>
            <w:tcW w:w="625" w:type="pct"/>
            <w:vAlign w:val="center"/>
          </w:tcPr>
          <w:p w14:paraId="06B8E14E">
            <w:pPr>
              <w:pStyle w:val="11"/>
              <w:bidi w:val="0"/>
              <w:jc w:val="center"/>
              <w:rPr>
                <w:rFonts w:hint="eastAsia"/>
                <w:lang w:eastAsia="zh-CN"/>
              </w:rPr>
            </w:pPr>
            <w:r>
              <w:rPr>
                <w:rFonts w:hint="eastAsia"/>
              </w:rPr>
              <w:t>2952</w:t>
            </w:r>
          </w:p>
        </w:tc>
        <w:tc>
          <w:tcPr>
            <w:tcW w:w="625" w:type="pct"/>
            <w:vAlign w:val="center"/>
          </w:tcPr>
          <w:p w14:paraId="334E0C3F">
            <w:pPr>
              <w:pStyle w:val="11"/>
              <w:bidi w:val="0"/>
              <w:jc w:val="center"/>
              <w:rPr>
                <w:rFonts w:hint="eastAsia"/>
                <w:lang w:eastAsia="zh-CN"/>
              </w:rPr>
            </w:pPr>
            <w:r>
              <w:rPr>
                <w:rFonts w:hint="eastAsia"/>
              </w:rPr>
              <w:t>5288</w:t>
            </w:r>
          </w:p>
        </w:tc>
        <w:tc>
          <w:tcPr>
            <w:tcW w:w="627" w:type="pct"/>
            <w:vAlign w:val="center"/>
          </w:tcPr>
          <w:p w14:paraId="721B909E">
            <w:pPr>
              <w:pStyle w:val="11"/>
              <w:bidi w:val="0"/>
              <w:jc w:val="center"/>
              <w:rPr>
                <w:rFonts w:hint="eastAsia"/>
                <w:lang w:eastAsia="zh-CN"/>
              </w:rPr>
            </w:pPr>
            <w:r>
              <w:rPr>
                <w:rFonts w:hint="eastAsia"/>
              </w:rPr>
              <w:t>2774</w:t>
            </w:r>
          </w:p>
        </w:tc>
      </w:tr>
      <w:tr w14:paraId="34EB8957">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6ECCDF2F">
            <w:pPr>
              <w:pStyle w:val="11"/>
              <w:bidi w:val="0"/>
              <w:jc w:val="center"/>
              <w:rPr>
                <w:rFonts w:hint="eastAsia"/>
                <w:lang w:eastAsia="zh-CN"/>
              </w:rPr>
            </w:pPr>
            <w:r>
              <w:rPr>
                <w:rFonts w:hint="eastAsia"/>
              </w:rPr>
              <w:t>帽子峰镇</w:t>
            </w:r>
          </w:p>
        </w:tc>
        <w:tc>
          <w:tcPr>
            <w:tcW w:w="624" w:type="pct"/>
            <w:vAlign w:val="center"/>
          </w:tcPr>
          <w:p w14:paraId="42718861">
            <w:pPr>
              <w:pStyle w:val="11"/>
              <w:bidi w:val="0"/>
              <w:jc w:val="center"/>
              <w:rPr>
                <w:rFonts w:hint="eastAsia"/>
                <w:lang w:eastAsia="zh-CN"/>
              </w:rPr>
            </w:pPr>
            <w:r>
              <w:rPr>
                <w:rFonts w:hint="eastAsia"/>
              </w:rPr>
              <w:t>5</w:t>
            </w:r>
          </w:p>
        </w:tc>
        <w:tc>
          <w:tcPr>
            <w:tcW w:w="624" w:type="pct"/>
            <w:vAlign w:val="center"/>
          </w:tcPr>
          <w:p w14:paraId="09B24C48">
            <w:pPr>
              <w:pStyle w:val="11"/>
              <w:bidi w:val="0"/>
              <w:jc w:val="center"/>
              <w:rPr>
                <w:rFonts w:hint="eastAsia"/>
                <w:lang w:eastAsia="zh-CN"/>
              </w:rPr>
            </w:pPr>
            <w:r>
              <w:rPr>
                <w:rFonts w:hint="eastAsia"/>
              </w:rPr>
              <w:t>2092</w:t>
            </w:r>
          </w:p>
        </w:tc>
        <w:tc>
          <w:tcPr>
            <w:tcW w:w="624" w:type="pct"/>
            <w:vAlign w:val="center"/>
          </w:tcPr>
          <w:p w14:paraId="77320E63">
            <w:pPr>
              <w:pStyle w:val="11"/>
              <w:bidi w:val="0"/>
              <w:jc w:val="center"/>
              <w:rPr>
                <w:rFonts w:hint="eastAsia"/>
                <w:lang w:eastAsia="zh-CN"/>
              </w:rPr>
            </w:pPr>
            <w:r>
              <w:rPr>
                <w:rFonts w:hint="eastAsia"/>
              </w:rPr>
              <w:t>6310</w:t>
            </w:r>
          </w:p>
        </w:tc>
        <w:tc>
          <w:tcPr>
            <w:tcW w:w="624" w:type="pct"/>
            <w:vAlign w:val="center"/>
          </w:tcPr>
          <w:p w14:paraId="189DEE48">
            <w:pPr>
              <w:pStyle w:val="11"/>
              <w:bidi w:val="0"/>
              <w:jc w:val="center"/>
              <w:rPr>
                <w:rFonts w:hint="eastAsia"/>
                <w:lang w:eastAsia="zh-CN"/>
              </w:rPr>
            </w:pPr>
            <w:r>
              <w:rPr>
                <w:rFonts w:hint="eastAsia"/>
              </w:rPr>
              <w:t>3248</w:t>
            </w:r>
          </w:p>
        </w:tc>
        <w:tc>
          <w:tcPr>
            <w:tcW w:w="625" w:type="pct"/>
            <w:vAlign w:val="center"/>
          </w:tcPr>
          <w:p w14:paraId="41BF0F2F">
            <w:pPr>
              <w:pStyle w:val="11"/>
              <w:bidi w:val="0"/>
              <w:jc w:val="center"/>
              <w:rPr>
                <w:rFonts w:hint="eastAsia"/>
                <w:lang w:eastAsia="zh-CN"/>
              </w:rPr>
            </w:pPr>
            <w:r>
              <w:rPr>
                <w:rFonts w:hint="eastAsia"/>
              </w:rPr>
              <w:t>3062</w:t>
            </w:r>
          </w:p>
        </w:tc>
        <w:tc>
          <w:tcPr>
            <w:tcW w:w="625" w:type="pct"/>
            <w:vAlign w:val="center"/>
          </w:tcPr>
          <w:p w14:paraId="00A755EF">
            <w:pPr>
              <w:pStyle w:val="11"/>
              <w:bidi w:val="0"/>
              <w:jc w:val="center"/>
              <w:rPr>
                <w:rFonts w:hint="eastAsia"/>
                <w:lang w:eastAsia="zh-CN"/>
              </w:rPr>
            </w:pPr>
            <w:r>
              <w:rPr>
                <w:rFonts w:hint="eastAsia"/>
              </w:rPr>
              <w:t>4998</w:t>
            </w:r>
          </w:p>
        </w:tc>
        <w:tc>
          <w:tcPr>
            <w:tcW w:w="627" w:type="pct"/>
            <w:vAlign w:val="center"/>
          </w:tcPr>
          <w:p w14:paraId="2466EAB1">
            <w:pPr>
              <w:pStyle w:val="11"/>
              <w:bidi w:val="0"/>
              <w:jc w:val="center"/>
              <w:rPr>
                <w:rFonts w:hint="eastAsia"/>
                <w:lang w:eastAsia="zh-CN"/>
              </w:rPr>
            </w:pPr>
            <w:r>
              <w:rPr>
                <w:rFonts w:hint="eastAsia"/>
              </w:rPr>
              <w:t>2601</w:t>
            </w:r>
          </w:p>
        </w:tc>
      </w:tr>
      <w:tr w14:paraId="376B86E1">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58E3CB96">
            <w:pPr>
              <w:pStyle w:val="11"/>
              <w:bidi w:val="0"/>
              <w:jc w:val="center"/>
              <w:rPr>
                <w:rFonts w:hint="eastAsia"/>
                <w:lang w:eastAsia="zh-CN"/>
              </w:rPr>
            </w:pPr>
            <w:r>
              <w:rPr>
                <w:rFonts w:hint="eastAsia"/>
              </w:rPr>
              <w:t>雄州街道</w:t>
            </w:r>
          </w:p>
        </w:tc>
        <w:tc>
          <w:tcPr>
            <w:tcW w:w="624" w:type="pct"/>
            <w:vAlign w:val="center"/>
          </w:tcPr>
          <w:p w14:paraId="1BEBB884">
            <w:pPr>
              <w:pStyle w:val="11"/>
              <w:bidi w:val="0"/>
              <w:jc w:val="center"/>
              <w:rPr>
                <w:rFonts w:hint="eastAsia"/>
                <w:lang w:eastAsia="zh-CN"/>
              </w:rPr>
            </w:pPr>
            <w:r>
              <w:rPr>
                <w:rFonts w:hint="eastAsia"/>
              </w:rPr>
              <w:t>13</w:t>
            </w:r>
          </w:p>
        </w:tc>
        <w:tc>
          <w:tcPr>
            <w:tcW w:w="624" w:type="pct"/>
            <w:vAlign w:val="center"/>
          </w:tcPr>
          <w:p w14:paraId="7CDD48A7">
            <w:pPr>
              <w:pStyle w:val="11"/>
              <w:bidi w:val="0"/>
              <w:jc w:val="center"/>
              <w:rPr>
                <w:rFonts w:hint="eastAsia"/>
                <w:lang w:eastAsia="zh-CN"/>
              </w:rPr>
            </w:pPr>
            <w:r>
              <w:rPr>
                <w:rFonts w:hint="eastAsia"/>
              </w:rPr>
              <w:t>6999</w:t>
            </w:r>
          </w:p>
        </w:tc>
        <w:tc>
          <w:tcPr>
            <w:tcW w:w="624" w:type="pct"/>
            <w:vAlign w:val="center"/>
          </w:tcPr>
          <w:p w14:paraId="241A3259">
            <w:pPr>
              <w:pStyle w:val="11"/>
              <w:bidi w:val="0"/>
              <w:jc w:val="center"/>
              <w:rPr>
                <w:rFonts w:hint="eastAsia"/>
                <w:lang w:eastAsia="zh-CN"/>
              </w:rPr>
            </w:pPr>
            <w:r>
              <w:rPr>
                <w:rFonts w:hint="eastAsia"/>
              </w:rPr>
              <w:t>39667</w:t>
            </w:r>
          </w:p>
        </w:tc>
        <w:tc>
          <w:tcPr>
            <w:tcW w:w="624" w:type="pct"/>
            <w:vAlign w:val="center"/>
          </w:tcPr>
          <w:p w14:paraId="25D01A2B">
            <w:pPr>
              <w:pStyle w:val="11"/>
              <w:bidi w:val="0"/>
              <w:jc w:val="center"/>
              <w:rPr>
                <w:rFonts w:hint="eastAsia"/>
                <w:lang w:eastAsia="zh-CN"/>
              </w:rPr>
            </w:pPr>
            <w:r>
              <w:rPr>
                <w:rFonts w:hint="eastAsia"/>
              </w:rPr>
              <w:t>19451</w:t>
            </w:r>
          </w:p>
        </w:tc>
        <w:tc>
          <w:tcPr>
            <w:tcW w:w="625" w:type="pct"/>
            <w:vAlign w:val="center"/>
          </w:tcPr>
          <w:p w14:paraId="4E7AC5FC">
            <w:pPr>
              <w:pStyle w:val="11"/>
              <w:bidi w:val="0"/>
              <w:jc w:val="center"/>
              <w:rPr>
                <w:rFonts w:hint="eastAsia"/>
                <w:lang w:eastAsia="zh-CN"/>
              </w:rPr>
            </w:pPr>
            <w:r>
              <w:rPr>
                <w:rFonts w:hint="eastAsia"/>
              </w:rPr>
              <w:t>20216</w:t>
            </w:r>
          </w:p>
        </w:tc>
        <w:tc>
          <w:tcPr>
            <w:tcW w:w="625" w:type="pct"/>
            <w:vAlign w:val="center"/>
          </w:tcPr>
          <w:p w14:paraId="4F5877F2">
            <w:pPr>
              <w:pStyle w:val="11"/>
              <w:bidi w:val="0"/>
              <w:jc w:val="center"/>
              <w:rPr>
                <w:rFonts w:hint="eastAsia"/>
                <w:lang w:eastAsia="zh-CN"/>
              </w:rPr>
            </w:pPr>
            <w:r>
              <w:rPr>
                <w:rFonts w:hint="eastAsia"/>
              </w:rPr>
              <w:t>33823</w:t>
            </w:r>
          </w:p>
        </w:tc>
        <w:tc>
          <w:tcPr>
            <w:tcW w:w="627" w:type="pct"/>
            <w:vAlign w:val="center"/>
          </w:tcPr>
          <w:p w14:paraId="62658154">
            <w:pPr>
              <w:pStyle w:val="11"/>
              <w:bidi w:val="0"/>
              <w:jc w:val="center"/>
              <w:rPr>
                <w:rFonts w:hint="eastAsia"/>
                <w:lang w:eastAsia="zh-CN"/>
              </w:rPr>
            </w:pPr>
            <w:r>
              <w:rPr>
                <w:rFonts w:hint="eastAsia"/>
              </w:rPr>
              <w:t>17028</w:t>
            </w:r>
          </w:p>
        </w:tc>
      </w:tr>
    </w:tbl>
    <w:p w14:paraId="3EE03106">
      <w:pPr>
        <w:bidi w:val="0"/>
        <w:rPr>
          <w:rFonts w:hint="eastAsia"/>
        </w:rPr>
      </w:pPr>
    </w:p>
    <w:tbl>
      <w:tblPr>
        <w:tblStyle w:val="8"/>
        <w:tblW w:w="4987" w:type="pct"/>
        <w:tblInd w:w="0" w:type="dxa"/>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94"/>
        <w:gridCol w:w="1745"/>
        <w:gridCol w:w="1401"/>
        <w:gridCol w:w="1324"/>
        <w:gridCol w:w="1646"/>
        <w:gridCol w:w="1147"/>
        <w:gridCol w:w="1479"/>
      </w:tblGrid>
      <w:tr w14:paraId="693C8814">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Merge w:val="restart"/>
            <w:vAlign w:val="center"/>
          </w:tcPr>
          <w:p w14:paraId="719E914B">
            <w:pPr>
              <w:pStyle w:val="11"/>
              <w:bidi w:val="0"/>
              <w:jc w:val="center"/>
              <w:rPr>
                <w:rFonts w:hint="eastAsia"/>
                <w:b/>
                <w:bCs/>
                <w:lang w:eastAsia="zh-CN"/>
              </w:rPr>
            </w:pPr>
            <w:r>
              <w:rPr>
                <w:rFonts w:hint="eastAsia"/>
                <w:b/>
                <w:bCs/>
              </w:rPr>
              <w:t>单位名称</w:t>
            </w:r>
          </w:p>
        </w:tc>
        <w:tc>
          <w:tcPr>
            <w:tcW w:w="4398" w:type="pct"/>
            <w:gridSpan w:val="6"/>
            <w:vAlign w:val="center"/>
          </w:tcPr>
          <w:p w14:paraId="716DF452">
            <w:pPr>
              <w:pStyle w:val="11"/>
              <w:bidi w:val="0"/>
              <w:jc w:val="center"/>
              <w:rPr>
                <w:rFonts w:hint="eastAsia"/>
                <w:b/>
                <w:bCs/>
                <w:lang w:eastAsia="zh-CN"/>
              </w:rPr>
            </w:pPr>
            <w:r>
              <w:rPr>
                <w:rFonts w:hint="eastAsia"/>
                <w:b/>
                <w:bCs/>
              </w:rPr>
              <w:t>二、乡村人口与从业人员</w:t>
            </w:r>
          </w:p>
        </w:tc>
      </w:tr>
      <w:tr w14:paraId="5DE73FB0">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Merge w:val="continue"/>
            <w:vAlign w:val="center"/>
          </w:tcPr>
          <w:p w14:paraId="57DA4A88">
            <w:pPr>
              <w:pStyle w:val="11"/>
              <w:bidi w:val="0"/>
              <w:jc w:val="center"/>
              <w:rPr>
                <w:rFonts w:hint="eastAsia"/>
                <w:b/>
                <w:bCs/>
                <w:lang w:eastAsia="zh-CN"/>
              </w:rPr>
            </w:pPr>
          </w:p>
        </w:tc>
        <w:tc>
          <w:tcPr>
            <w:tcW w:w="878" w:type="pct"/>
            <w:vAlign w:val="center"/>
          </w:tcPr>
          <w:p w14:paraId="7449C430">
            <w:pPr>
              <w:pStyle w:val="11"/>
              <w:bidi w:val="0"/>
              <w:jc w:val="center"/>
              <w:rPr>
                <w:rFonts w:hint="eastAsia"/>
                <w:b/>
                <w:bCs/>
                <w:lang w:eastAsia="zh-CN"/>
              </w:rPr>
            </w:pPr>
          </w:p>
        </w:tc>
        <w:tc>
          <w:tcPr>
            <w:tcW w:w="705" w:type="pct"/>
            <w:vMerge w:val="restart"/>
            <w:vAlign w:val="center"/>
          </w:tcPr>
          <w:p w14:paraId="40C49176">
            <w:pPr>
              <w:pStyle w:val="11"/>
              <w:bidi w:val="0"/>
              <w:jc w:val="center"/>
              <w:rPr>
                <w:rFonts w:hint="eastAsia"/>
                <w:b/>
                <w:bCs/>
                <w:lang w:eastAsia="zh-CN"/>
              </w:rPr>
            </w:pPr>
            <w:r>
              <w:rPr>
                <w:rFonts w:hint="eastAsia"/>
                <w:b/>
                <w:bCs/>
              </w:rPr>
              <w:t>乡村从业人员（人）</w:t>
            </w:r>
          </w:p>
        </w:tc>
        <w:tc>
          <w:tcPr>
            <w:tcW w:w="666" w:type="pct"/>
            <w:vMerge w:val="restart"/>
            <w:tcBorders>
              <w:right w:val="nil"/>
            </w:tcBorders>
            <w:vAlign w:val="center"/>
          </w:tcPr>
          <w:p w14:paraId="09196E63">
            <w:pPr>
              <w:pStyle w:val="11"/>
              <w:bidi w:val="0"/>
              <w:jc w:val="center"/>
              <w:rPr>
                <w:rFonts w:hint="default"/>
                <w:b/>
                <w:bCs/>
                <w:lang w:val="en-US" w:eastAsia="zh-CN"/>
              </w:rPr>
            </w:pPr>
            <w:r>
              <w:rPr>
                <w:rFonts w:hint="eastAsia"/>
                <w:b/>
                <w:bCs/>
              </w:rPr>
              <w:t>1.男（人）</w:t>
            </w:r>
          </w:p>
        </w:tc>
        <w:tc>
          <w:tcPr>
            <w:tcW w:w="828" w:type="pct"/>
            <w:tcBorders>
              <w:left w:val="nil"/>
              <w:bottom w:val="single" w:color="000000" w:sz="4" w:space="0"/>
            </w:tcBorders>
            <w:vAlign w:val="center"/>
          </w:tcPr>
          <w:p w14:paraId="02860B37">
            <w:pPr>
              <w:pStyle w:val="11"/>
              <w:bidi w:val="0"/>
              <w:jc w:val="center"/>
              <w:rPr>
                <w:rFonts w:hint="eastAsia"/>
                <w:b/>
                <w:bCs/>
              </w:rPr>
            </w:pPr>
          </w:p>
        </w:tc>
        <w:tc>
          <w:tcPr>
            <w:tcW w:w="577" w:type="pct"/>
            <w:vMerge w:val="restart"/>
            <w:tcBorders>
              <w:right w:val="nil"/>
            </w:tcBorders>
            <w:vAlign w:val="center"/>
          </w:tcPr>
          <w:p w14:paraId="27377A80">
            <w:pPr>
              <w:pStyle w:val="11"/>
              <w:bidi w:val="0"/>
              <w:jc w:val="center"/>
              <w:rPr>
                <w:rFonts w:hint="eastAsia"/>
                <w:b/>
                <w:bCs/>
                <w:lang w:eastAsia="zh-CN"/>
              </w:rPr>
            </w:pPr>
            <w:r>
              <w:rPr>
                <w:rFonts w:hint="eastAsia"/>
                <w:b/>
                <w:bCs/>
              </w:rPr>
              <w:t>2.女（人）</w:t>
            </w:r>
          </w:p>
        </w:tc>
        <w:tc>
          <w:tcPr>
            <w:tcW w:w="743" w:type="pct"/>
            <w:tcBorders>
              <w:left w:val="nil"/>
            </w:tcBorders>
            <w:vAlign w:val="center"/>
          </w:tcPr>
          <w:p w14:paraId="26D0A070">
            <w:pPr>
              <w:pStyle w:val="11"/>
              <w:bidi w:val="0"/>
              <w:jc w:val="center"/>
              <w:rPr>
                <w:rFonts w:hint="eastAsia"/>
                <w:b/>
                <w:bCs/>
                <w:lang w:eastAsia="zh-CN"/>
              </w:rPr>
            </w:pPr>
          </w:p>
        </w:tc>
      </w:tr>
      <w:tr w14:paraId="05AD5165">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Merge w:val="continue"/>
            <w:vAlign w:val="center"/>
          </w:tcPr>
          <w:p w14:paraId="44D5C342">
            <w:pPr>
              <w:pStyle w:val="11"/>
              <w:bidi w:val="0"/>
              <w:jc w:val="center"/>
              <w:rPr>
                <w:rFonts w:hint="eastAsia"/>
                <w:b/>
                <w:bCs/>
                <w:lang w:eastAsia="zh-CN"/>
              </w:rPr>
            </w:pPr>
          </w:p>
        </w:tc>
        <w:tc>
          <w:tcPr>
            <w:tcW w:w="878" w:type="pct"/>
            <w:vAlign w:val="center"/>
          </w:tcPr>
          <w:p w14:paraId="69A73E80">
            <w:pPr>
              <w:pStyle w:val="11"/>
              <w:bidi w:val="0"/>
              <w:jc w:val="center"/>
              <w:rPr>
                <w:rFonts w:hint="default"/>
                <w:b/>
                <w:bCs/>
                <w:lang w:val="en-US" w:eastAsia="zh-CN"/>
              </w:rPr>
            </w:pPr>
            <w:r>
              <w:rPr>
                <w:rFonts w:hint="eastAsia"/>
                <w:b/>
                <w:bCs/>
                <w:lang w:val="en-US" w:eastAsia="zh-CN"/>
              </w:rPr>
              <w:t>2.女（人）</w:t>
            </w:r>
          </w:p>
        </w:tc>
        <w:tc>
          <w:tcPr>
            <w:tcW w:w="705" w:type="pct"/>
            <w:vMerge w:val="continue"/>
            <w:vAlign w:val="center"/>
          </w:tcPr>
          <w:p w14:paraId="6562C0D6">
            <w:pPr>
              <w:pStyle w:val="11"/>
              <w:bidi w:val="0"/>
              <w:jc w:val="center"/>
              <w:rPr>
                <w:rFonts w:hint="eastAsia"/>
                <w:b/>
                <w:bCs/>
                <w:lang w:eastAsia="zh-CN"/>
              </w:rPr>
            </w:pPr>
          </w:p>
        </w:tc>
        <w:tc>
          <w:tcPr>
            <w:tcW w:w="666" w:type="pct"/>
            <w:vMerge w:val="continue"/>
            <w:vAlign w:val="center"/>
          </w:tcPr>
          <w:p w14:paraId="639308C7">
            <w:pPr>
              <w:pStyle w:val="11"/>
              <w:bidi w:val="0"/>
              <w:jc w:val="center"/>
              <w:rPr>
                <w:rFonts w:hint="eastAsia"/>
                <w:b/>
                <w:bCs/>
                <w:lang w:eastAsia="zh-CN"/>
              </w:rPr>
            </w:pPr>
          </w:p>
        </w:tc>
        <w:tc>
          <w:tcPr>
            <w:tcW w:w="828" w:type="pct"/>
            <w:tcBorders>
              <w:top w:val="single" w:color="000000" w:sz="4" w:space="0"/>
              <w:left w:val="single" w:color="000000" w:sz="4" w:space="0"/>
              <w:bottom w:val="single" w:color="000000" w:sz="4" w:space="0"/>
              <w:right w:val="single" w:color="000000" w:sz="4" w:space="0"/>
            </w:tcBorders>
            <w:vAlign w:val="center"/>
          </w:tcPr>
          <w:p w14:paraId="751E4401">
            <w:pPr>
              <w:pStyle w:val="11"/>
              <w:bidi w:val="0"/>
              <w:jc w:val="center"/>
              <w:rPr>
                <w:rFonts w:hint="eastAsia"/>
                <w:b/>
                <w:bCs/>
                <w:lang w:eastAsia="zh-CN"/>
              </w:rPr>
            </w:pPr>
            <w:r>
              <w:rPr>
                <w:rFonts w:hint="eastAsia"/>
                <w:b/>
                <w:bCs/>
              </w:rPr>
              <w:t>其中：从事农业人员（人）</w:t>
            </w:r>
          </w:p>
        </w:tc>
        <w:tc>
          <w:tcPr>
            <w:tcW w:w="577" w:type="pct"/>
            <w:vMerge w:val="continue"/>
            <w:vAlign w:val="center"/>
          </w:tcPr>
          <w:p w14:paraId="49A4DD60">
            <w:pPr>
              <w:pStyle w:val="11"/>
              <w:bidi w:val="0"/>
              <w:jc w:val="center"/>
              <w:rPr>
                <w:rFonts w:hint="eastAsia"/>
                <w:b/>
                <w:bCs/>
                <w:lang w:eastAsia="zh-CN"/>
              </w:rPr>
            </w:pPr>
          </w:p>
        </w:tc>
        <w:tc>
          <w:tcPr>
            <w:tcW w:w="743" w:type="pct"/>
            <w:vAlign w:val="center"/>
          </w:tcPr>
          <w:p w14:paraId="1511975E">
            <w:pPr>
              <w:pStyle w:val="11"/>
              <w:bidi w:val="0"/>
              <w:jc w:val="center"/>
              <w:rPr>
                <w:rFonts w:hint="eastAsia"/>
                <w:b/>
                <w:bCs/>
                <w:lang w:eastAsia="zh-CN"/>
              </w:rPr>
            </w:pPr>
            <w:r>
              <w:rPr>
                <w:rFonts w:hint="eastAsia"/>
                <w:b/>
                <w:bCs/>
              </w:rPr>
              <w:t>其中：从事农业人员（人）</w:t>
            </w:r>
          </w:p>
        </w:tc>
      </w:tr>
      <w:tr w14:paraId="7A73B727">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Align w:val="center"/>
          </w:tcPr>
          <w:p w14:paraId="72C49E03">
            <w:pPr>
              <w:pStyle w:val="11"/>
              <w:bidi w:val="0"/>
              <w:jc w:val="center"/>
              <w:rPr>
                <w:rFonts w:hint="eastAsia"/>
                <w:lang w:eastAsia="zh-CN"/>
              </w:rPr>
            </w:pPr>
            <w:r>
              <w:rPr>
                <w:rFonts w:hint="eastAsia"/>
              </w:rPr>
              <w:t>南雄市</w:t>
            </w:r>
          </w:p>
        </w:tc>
        <w:tc>
          <w:tcPr>
            <w:tcW w:w="878" w:type="pct"/>
            <w:vAlign w:val="center"/>
          </w:tcPr>
          <w:p w14:paraId="0F5652D8">
            <w:pPr>
              <w:pStyle w:val="11"/>
              <w:bidi w:val="0"/>
              <w:jc w:val="center"/>
              <w:rPr>
                <w:rFonts w:hint="eastAsia"/>
                <w:lang w:eastAsia="zh-CN"/>
              </w:rPr>
            </w:pPr>
            <w:r>
              <w:rPr>
                <w:rFonts w:hint="eastAsia"/>
              </w:rPr>
              <w:t>109394</w:t>
            </w:r>
          </w:p>
        </w:tc>
        <w:tc>
          <w:tcPr>
            <w:tcW w:w="705" w:type="pct"/>
            <w:vAlign w:val="center"/>
          </w:tcPr>
          <w:p w14:paraId="2F8872AF">
            <w:pPr>
              <w:pStyle w:val="11"/>
              <w:bidi w:val="0"/>
              <w:jc w:val="center"/>
              <w:rPr>
                <w:rFonts w:hint="eastAsia"/>
                <w:lang w:eastAsia="zh-CN"/>
              </w:rPr>
            </w:pPr>
            <w:r>
              <w:rPr>
                <w:rFonts w:hint="eastAsia"/>
              </w:rPr>
              <w:t>153197</w:t>
            </w:r>
          </w:p>
        </w:tc>
        <w:tc>
          <w:tcPr>
            <w:tcW w:w="666" w:type="pct"/>
            <w:vAlign w:val="center"/>
          </w:tcPr>
          <w:p w14:paraId="4553A6D2">
            <w:pPr>
              <w:pStyle w:val="11"/>
              <w:bidi w:val="0"/>
              <w:jc w:val="center"/>
              <w:rPr>
                <w:rFonts w:hint="eastAsia"/>
                <w:lang w:eastAsia="zh-CN"/>
              </w:rPr>
            </w:pPr>
            <w:r>
              <w:rPr>
                <w:rFonts w:hint="eastAsia"/>
              </w:rPr>
              <w:t>78722</w:t>
            </w:r>
          </w:p>
        </w:tc>
        <w:tc>
          <w:tcPr>
            <w:tcW w:w="828" w:type="pct"/>
            <w:tcBorders>
              <w:top w:val="single" w:color="000000" w:sz="4" w:space="0"/>
            </w:tcBorders>
            <w:vAlign w:val="center"/>
          </w:tcPr>
          <w:p w14:paraId="5D78E525">
            <w:pPr>
              <w:pStyle w:val="11"/>
              <w:bidi w:val="0"/>
              <w:jc w:val="center"/>
              <w:rPr>
                <w:rFonts w:hint="eastAsia"/>
                <w:lang w:eastAsia="zh-CN"/>
              </w:rPr>
            </w:pPr>
            <w:r>
              <w:rPr>
                <w:rFonts w:hint="eastAsia"/>
              </w:rPr>
              <w:t>47402</w:t>
            </w:r>
          </w:p>
        </w:tc>
        <w:tc>
          <w:tcPr>
            <w:tcW w:w="577" w:type="pct"/>
            <w:vAlign w:val="center"/>
          </w:tcPr>
          <w:p w14:paraId="5CD04E0F">
            <w:pPr>
              <w:pStyle w:val="11"/>
              <w:bidi w:val="0"/>
              <w:jc w:val="center"/>
              <w:rPr>
                <w:rFonts w:hint="eastAsia"/>
                <w:lang w:eastAsia="zh-CN"/>
              </w:rPr>
            </w:pPr>
            <w:r>
              <w:rPr>
                <w:rFonts w:hint="eastAsia"/>
              </w:rPr>
              <w:t>74475</w:t>
            </w:r>
          </w:p>
        </w:tc>
        <w:tc>
          <w:tcPr>
            <w:tcW w:w="743" w:type="pct"/>
            <w:vAlign w:val="center"/>
          </w:tcPr>
          <w:p w14:paraId="03F9A844">
            <w:pPr>
              <w:pStyle w:val="11"/>
              <w:bidi w:val="0"/>
              <w:jc w:val="center"/>
              <w:rPr>
                <w:rFonts w:hint="eastAsia"/>
                <w:lang w:eastAsia="zh-CN"/>
              </w:rPr>
            </w:pPr>
            <w:r>
              <w:rPr>
                <w:rFonts w:hint="eastAsia"/>
              </w:rPr>
              <w:t>44226</w:t>
            </w:r>
          </w:p>
        </w:tc>
      </w:tr>
      <w:tr w14:paraId="6C1D8E88">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601" w:type="pct"/>
            <w:vAlign w:val="center"/>
          </w:tcPr>
          <w:p w14:paraId="79CDE80E">
            <w:pPr>
              <w:pStyle w:val="11"/>
              <w:bidi w:val="0"/>
              <w:jc w:val="center"/>
              <w:rPr>
                <w:rFonts w:hint="eastAsia"/>
                <w:lang w:eastAsia="zh-CN"/>
              </w:rPr>
            </w:pPr>
            <w:r>
              <w:rPr>
                <w:rFonts w:hint="eastAsia"/>
              </w:rPr>
              <w:t>乌迳镇</w:t>
            </w:r>
          </w:p>
        </w:tc>
        <w:tc>
          <w:tcPr>
            <w:tcW w:w="878" w:type="pct"/>
            <w:vAlign w:val="center"/>
          </w:tcPr>
          <w:p w14:paraId="358CC92C">
            <w:pPr>
              <w:pStyle w:val="11"/>
              <w:bidi w:val="0"/>
              <w:jc w:val="center"/>
              <w:rPr>
                <w:rFonts w:hint="eastAsia"/>
                <w:lang w:eastAsia="zh-CN"/>
              </w:rPr>
            </w:pPr>
            <w:r>
              <w:rPr>
                <w:rFonts w:hint="eastAsia"/>
              </w:rPr>
              <w:t>10916</w:t>
            </w:r>
          </w:p>
        </w:tc>
        <w:tc>
          <w:tcPr>
            <w:tcW w:w="705" w:type="pct"/>
            <w:vAlign w:val="center"/>
          </w:tcPr>
          <w:p w14:paraId="6A476681">
            <w:pPr>
              <w:pStyle w:val="11"/>
              <w:bidi w:val="0"/>
              <w:jc w:val="center"/>
              <w:rPr>
                <w:rFonts w:hint="eastAsia"/>
                <w:lang w:eastAsia="zh-CN"/>
              </w:rPr>
            </w:pPr>
            <w:r>
              <w:rPr>
                <w:rFonts w:hint="eastAsia"/>
              </w:rPr>
              <w:t>12170</w:t>
            </w:r>
          </w:p>
        </w:tc>
        <w:tc>
          <w:tcPr>
            <w:tcW w:w="666" w:type="pct"/>
            <w:vAlign w:val="center"/>
          </w:tcPr>
          <w:p w14:paraId="69D65B42">
            <w:pPr>
              <w:pStyle w:val="11"/>
              <w:bidi w:val="0"/>
              <w:jc w:val="center"/>
              <w:rPr>
                <w:rFonts w:hint="eastAsia"/>
                <w:lang w:eastAsia="zh-CN"/>
              </w:rPr>
            </w:pPr>
            <w:r>
              <w:rPr>
                <w:rFonts w:hint="eastAsia"/>
              </w:rPr>
              <w:t>5856</w:t>
            </w:r>
          </w:p>
        </w:tc>
        <w:tc>
          <w:tcPr>
            <w:tcW w:w="828" w:type="pct"/>
            <w:vAlign w:val="center"/>
          </w:tcPr>
          <w:p w14:paraId="2BEA7966">
            <w:pPr>
              <w:pStyle w:val="11"/>
              <w:bidi w:val="0"/>
              <w:jc w:val="center"/>
              <w:rPr>
                <w:rFonts w:hint="eastAsia"/>
                <w:lang w:eastAsia="zh-CN"/>
              </w:rPr>
            </w:pPr>
            <w:r>
              <w:rPr>
                <w:rFonts w:hint="eastAsia"/>
              </w:rPr>
              <w:t>4608</w:t>
            </w:r>
          </w:p>
        </w:tc>
        <w:tc>
          <w:tcPr>
            <w:tcW w:w="577" w:type="pct"/>
            <w:vAlign w:val="center"/>
          </w:tcPr>
          <w:p w14:paraId="29E27D77">
            <w:pPr>
              <w:pStyle w:val="11"/>
              <w:bidi w:val="0"/>
              <w:jc w:val="center"/>
              <w:rPr>
                <w:rFonts w:hint="eastAsia"/>
                <w:lang w:eastAsia="zh-CN"/>
              </w:rPr>
            </w:pPr>
            <w:r>
              <w:rPr>
                <w:rFonts w:hint="eastAsia"/>
              </w:rPr>
              <w:t>6314</w:t>
            </w:r>
          </w:p>
        </w:tc>
        <w:tc>
          <w:tcPr>
            <w:tcW w:w="743" w:type="pct"/>
            <w:vAlign w:val="center"/>
          </w:tcPr>
          <w:p w14:paraId="441A2196">
            <w:pPr>
              <w:pStyle w:val="11"/>
              <w:bidi w:val="0"/>
              <w:jc w:val="center"/>
              <w:rPr>
                <w:rFonts w:hint="eastAsia"/>
                <w:lang w:eastAsia="zh-CN"/>
              </w:rPr>
            </w:pPr>
            <w:r>
              <w:rPr>
                <w:rFonts w:hint="eastAsia"/>
              </w:rPr>
              <w:t>4802</w:t>
            </w:r>
          </w:p>
        </w:tc>
      </w:tr>
      <w:tr w14:paraId="248C6E65">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Align w:val="center"/>
          </w:tcPr>
          <w:p w14:paraId="2952EBE4">
            <w:pPr>
              <w:pStyle w:val="11"/>
              <w:bidi w:val="0"/>
              <w:jc w:val="center"/>
              <w:rPr>
                <w:rFonts w:hint="eastAsia"/>
                <w:lang w:eastAsia="zh-CN"/>
              </w:rPr>
            </w:pPr>
            <w:r>
              <w:rPr>
                <w:rFonts w:hint="eastAsia"/>
              </w:rPr>
              <w:t>界址镇</w:t>
            </w:r>
          </w:p>
        </w:tc>
        <w:tc>
          <w:tcPr>
            <w:tcW w:w="878" w:type="pct"/>
            <w:vAlign w:val="center"/>
          </w:tcPr>
          <w:p w14:paraId="569ED8A8">
            <w:pPr>
              <w:pStyle w:val="11"/>
              <w:bidi w:val="0"/>
              <w:jc w:val="center"/>
              <w:rPr>
                <w:rFonts w:hint="eastAsia"/>
                <w:lang w:eastAsia="zh-CN"/>
              </w:rPr>
            </w:pPr>
            <w:r>
              <w:rPr>
                <w:rFonts w:hint="eastAsia"/>
              </w:rPr>
              <w:t>3379</w:t>
            </w:r>
          </w:p>
        </w:tc>
        <w:tc>
          <w:tcPr>
            <w:tcW w:w="705" w:type="pct"/>
            <w:vAlign w:val="center"/>
          </w:tcPr>
          <w:p w14:paraId="3892D233">
            <w:pPr>
              <w:pStyle w:val="11"/>
              <w:bidi w:val="0"/>
              <w:jc w:val="center"/>
              <w:rPr>
                <w:rFonts w:hint="eastAsia"/>
                <w:lang w:eastAsia="zh-CN"/>
              </w:rPr>
            </w:pPr>
            <w:r>
              <w:rPr>
                <w:rFonts w:hint="eastAsia"/>
              </w:rPr>
              <w:t>6118</w:t>
            </w:r>
          </w:p>
        </w:tc>
        <w:tc>
          <w:tcPr>
            <w:tcW w:w="666" w:type="pct"/>
            <w:vAlign w:val="center"/>
          </w:tcPr>
          <w:p w14:paraId="1545F453">
            <w:pPr>
              <w:pStyle w:val="11"/>
              <w:bidi w:val="0"/>
              <w:jc w:val="center"/>
              <w:rPr>
                <w:rFonts w:hint="eastAsia"/>
                <w:lang w:eastAsia="zh-CN"/>
              </w:rPr>
            </w:pPr>
            <w:r>
              <w:rPr>
                <w:rFonts w:hint="eastAsia"/>
              </w:rPr>
              <w:t>3147</w:t>
            </w:r>
          </w:p>
        </w:tc>
        <w:tc>
          <w:tcPr>
            <w:tcW w:w="828" w:type="pct"/>
            <w:vAlign w:val="center"/>
          </w:tcPr>
          <w:p w14:paraId="00792530">
            <w:pPr>
              <w:pStyle w:val="11"/>
              <w:bidi w:val="0"/>
              <w:jc w:val="center"/>
              <w:rPr>
                <w:rFonts w:hint="eastAsia"/>
                <w:lang w:eastAsia="zh-CN"/>
              </w:rPr>
            </w:pPr>
            <w:r>
              <w:rPr>
                <w:rFonts w:hint="eastAsia"/>
              </w:rPr>
              <w:t>1979</w:t>
            </w:r>
          </w:p>
        </w:tc>
        <w:tc>
          <w:tcPr>
            <w:tcW w:w="577" w:type="pct"/>
            <w:vAlign w:val="center"/>
          </w:tcPr>
          <w:p w14:paraId="5DB87F4F">
            <w:pPr>
              <w:pStyle w:val="11"/>
              <w:bidi w:val="0"/>
              <w:jc w:val="center"/>
              <w:rPr>
                <w:rFonts w:hint="eastAsia"/>
                <w:lang w:eastAsia="zh-CN"/>
              </w:rPr>
            </w:pPr>
            <w:r>
              <w:rPr>
                <w:rFonts w:hint="eastAsia"/>
              </w:rPr>
              <w:t>2971</w:t>
            </w:r>
          </w:p>
        </w:tc>
        <w:tc>
          <w:tcPr>
            <w:tcW w:w="743" w:type="pct"/>
            <w:vAlign w:val="center"/>
          </w:tcPr>
          <w:p w14:paraId="5FB19160">
            <w:pPr>
              <w:pStyle w:val="11"/>
              <w:bidi w:val="0"/>
              <w:jc w:val="center"/>
              <w:rPr>
                <w:rFonts w:hint="eastAsia"/>
                <w:lang w:eastAsia="zh-CN"/>
              </w:rPr>
            </w:pPr>
            <w:r>
              <w:rPr>
                <w:rFonts w:hint="eastAsia"/>
              </w:rPr>
              <w:t>2008</w:t>
            </w:r>
          </w:p>
        </w:tc>
      </w:tr>
      <w:tr w14:paraId="57E8E26C">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Align w:val="center"/>
          </w:tcPr>
          <w:p w14:paraId="1D769337">
            <w:pPr>
              <w:pStyle w:val="11"/>
              <w:bidi w:val="0"/>
              <w:jc w:val="center"/>
              <w:rPr>
                <w:rFonts w:hint="eastAsia"/>
                <w:lang w:eastAsia="zh-CN"/>
              </w:rPr>
            </w:pPr>
            <w:r>
              <w:rPr>
                <w:rFonts w:hint="eastAsia"/>
              </w:rPr>
              <w:t>坪田镇</w:t>
            </w:r>
          </w:p>
        </w:tc>
        <w:tc>
          <w:tcPr>
            <w:tcW w:w="878" w:type="pct"/>
            <w:vAlign w:val="center"/>
          </w:tcPr>
          <w:p w14:paraId="3C10D628">
            <w:pPr>
              <w:pStyle w:val="11"/>
              <w:bidi w:val="0"/>
              <w:jc w:val="center"/>
              <w:rPr>
                <w:rFonts w:hint="eastAsia"/>
                <w:lang w:eastAsia="zh-CN"/>
              </w:rPr>
            </w:pPr>
            <w:r>
              <w:rPr>
                <w:rFonts w:hint="eastAsia"/>
              </w:rPr>
              <w:t>6110</w:t>
            </w:r>
          </w:p>
        </w:tc>
        <w:tc>
          <w:tcPr>
            <w:tcW w:w="705" w:type="pct"/>
            <w:vAlign w:val="center"/>
          </w:tcPr>
          <w:p w14:paraId="7A884597">
            <w:pPr>
              <w:pStyle w:val="11"/>
              <w:bidi w:val="0"/>
              <w:jc w:val="center"/>
              <w:rPr>
                <w:rFonts w:hint="eastAsia"/>
                <w:lang w:eastAsia="zh-CN"/>
              </w:rPr>
            </w:pPr>
            <w:r>
              <w:rPr>
                <w:rFonts w:hint="eastAsia"/>
              </w:rPr>
              <w:t>9492</w:t>
            </w:r>
          </w:p>
        </w:tc>
        <w:tc>
          <w:tcPr>
            <w:tcW w:w="666" w:type="pct"/>
            <w:vAlign w:val="center"/>
          </w:tcPr>
          <w:p w14:paraId="18D84470">
            <w:pPr>
              <w:pStyle w:val="11"/>
              <w:bidi w:val="0"/>
              <w:jc w:val="center"/>
              <w:rPr>
                <w:rFonts w:hint="eastAsia"/>
                <w:lang w:eastAsia="zh-CN"/>
              </w:rPr>
            </w:pPr>
            <w:r>
              <w:rPr>
                <w:rFonts w:hint="eastAsia"/>
              </w:rPr>
              <w:t>4881</w:t>
            </w:r>
          </w:p>
        </w:tc>
        <w:tc>
          <w:tcPr>
            <w:tcW w:w="828" w:type="pct"/>
            <w:vAlign w:val="center"/>
          </w:tcPr>
          <w:p w14:paraId="46216270">
            <w:pPr>
              <w:pStyle w:val="11"/>
              <w:bidi w:val="0"/>
              <w:jc w:val="center"/>
              <w:rPr>
                <w:rFonts w:hint="eastAsia"/>
                <w:lang w:eastAsia="zh-CN"/>
              </w:rPr>
            </w:pPr>
            <w:r>
              <w:rPr>
                <w:rFonts w:hint="eastAsia"/>
              </w:rPr>
              <w:t>3041</w:t>
            </w:r>
          </w:p>
        </w:tc>
        <w:tc>
          <w:tcPr>
            <w:tcW w:w="577" w:type="pct"/>
            <w:vAlign w:val="center"/>
          </w:tcPr>
          <w:p w14:paraId="5F9DB761">
            <w:pPr>
              <w:pStyle w:val="11"/>
              <w:bidi w:val="0"/>
              <w:jc w:val="center"/>
              <w:rPr>
                <w:rFonts w:hint="eastAsia"/>
                <w:lang w:eastAsia="zh-CN"/>
              </w:rPr>
            </w:pPr>
            <w:r>
              <w:rPr>
                <w:rFonts w:hint="eastAsia"/>
              </w:rPr>
              <w:t>4611</w:t>
            </w:r>
          </w:p>
        </w:tc>
        <w:tc>
          <w:tcPr>
            <w:tcW w:w="743" w:type="pct"/>
            <w:vAlign w:val="center"/>
          </w:tcPr>
          <w:p w14:paraId="133864B3">
            <w:pPr>
              <w:pStyle w:val="11"/>
              <w:bidi w:val="0"/>
              <w:jc w:val="center"/>
              <w:rPr>
                <w:rFonts w:hint="eastAsia"/>
                <w:lang w:eastAsia="zh-CN"/>
              </w:rPr>
            </w:pPr>
            <w:r>
              <w:rPr>
                <w:rFonts w:hint="eastAsia"/>
              </w:rPr>
              <w:t>2772</w:t>
            </w:r>
          </w:p>
        </w:tc>
      </w:tr>
      <w:tr w14:paraId="6F14318F">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Align w:val="center"/>
          </w:tcPr>
          <w:p w14:paraId="47E79024">
            <w:pPr>
              <w:pStyle w:val="11"/>
              <w:bidi w:val="0"/>
              <w:jc w:val="center"/>
              <w:rPr>
                <w:rFonts w:hint="eastAsia"/>
                <w:lang w:eastAsia="zh-CN"/>
              </w:rPr>
            </w:pPr>
            <w:r>
              <w:rPr>
                <w:rFonts w:hint="eastAsia"/>
              </w:rPr>
              <w:t>黄坑镇</w:t>
            </w:r>
          </w:p>
        </w:tc>
        <w:tc>
          <w:tcPr>
            <w:tcW w:w="878" w:type="pct"/>
            <w:vAlign w:val="center"/>
          </w:tcPr>
          <w:p w14:paraId="43CFB252">
            <w:pPr>
              <w:pStyle w:val="11"/>
              <w:bidi w:val="0"/>
              <w:jc w:val="center"/>
              <w:rPr>
                <w:rFonts w:hint="eastAsia"/>
                <w:lang w:eastAsia="zh-CN"/>
              </w:rPr>
            </w:pPr>
            <w:r>
              <w:rPr>
                <w:rFonts w:hint="eastAsia"/>
              </w:rPr>
              <w:t>6067</w:t>
            </w:r>
          </w:p>
        </w:tc>
        <w:tc>
          <w:tcPr>
            <w:tcW w:w="705" w:type="pct"/>
            <w:vAlign w:val="center"/>
          </w:tcPr>
          <w:p w14:paraId="362B6A4E">
            <w:pPr>
              <w:pStyle w:val="11"/>
              <w:bidi w:val="0"/>
              <w:jc w:val="center"/>
              <w:rPr>
                <w:rFonts w:hint="eastAsia"/>
                <w:lang w:eastAsia="zh-CN"/>
              </w:rPr>
            </w:pPr>
            <w:r>
              <w:rPr>
                <w:rFonts w:hint="eastAsia"/>
              </w:rPr>
              <w:t>8864</w:t>
            </w:r>
          </w:p>
        </w:tc>
        <w:tc>
          <w:tcPr>
            <w:tcW w:w="666" w:type="pct"/>
            <w:vAlign w:val="center"/>
          </w:tcPr>
          <w:p w14:paraId="449394DF">
            <w:pPr>
              <w:pStyle w:val="11"/>
              <w:bidi w:val="0"/>
              <w:jc w:val="center"/>
              <w:rPr>
                <w:rFonts w:hint="eastAsia"/>
                <w:lang w:eastAsia="zh-CN"/>
              </w:rPr>
            </w:pPr>
            <w:r>
              <w:rPr>
                <w:rFonts w:hint="eastAsia"/>
              </w:rPr>
              <w:t>4624</w:t>
            </w:r>
          </w:p>
        </w:tc>
        <w:tc>
          <w:tcPr>
            <w:tcW w:w="828" w:type="pct"/>
            <w:vAlign w:val="center"/>
          </w:tcPr>
          <w:p w14:paraId="7FDB8FDD">
            <w:pPr>
              <w:pStyle w:val="11"/>
              <w:bidi w:val="0"/>
              <w:jc w:val="center"/>
              <w:rPr>
                <w:rFonts w:hint="eastAsia"/>
                <w:lang w:eastAsia="zh-CN"/>
              </w:rPr>
            </w:pPr>
            <w:r>
              <w:rPr>
                <w:rFonts w:hint="eastAsia"/>
              </w:rPr>
              <w:t>3118</w:t>
            </w:r>
          </w:p>
        </w:tc>
        <w:tc>
          <w:tcPr>
            <w:tcW w:w="577" w:type="pct"/>
            <w:vAlign w:val="center"/>
          </w:tcPr>
          <w:p w14:paraId="14EC13CE">
            <w:pPr>
              <w:pStyle w:val="11"/>
              <w:bidi w:val="0"/>
              <w:jc w:val="center"/>
              <w:rPr>
                <w:rFonts w:hint="eastAsia"/>
                <w:lang w:eastAsia="zh-CN"/>
              </w:rPr>
            </w:pPr>
            <w:r>
              <w:rPr>
                <w:rFonts w:hint="eastAsia"/>
              </w:rPr>
              <w:t>4240</w:t>
            </w:r>
          </w:p>
        </w:tc>
        <w:tc>
          <w:tcPr>
            <w:tcW w:w="743" w:type="pct"/>
            <w:vAlign w:val="center"/>
          </w:tcPr>
          <w:p w14:paraId="6F0EAE10">
            <w:pPr>
              <w:pStyle w:val="11"/>
              <w:bidi w:val="0"/>
              <w:jc w:val="center"/>
              <w:rPr>
                <w:rFonts w:hint="eastAsia"/>
                <w:lang w:eastAsia="zh-CN"/>
              </w:rPr>
            </w:pPr>
            <w:r>
              <w:rPr>
                <w:rFonts w:hint="eastAsia"/>
              </w:rPr>
              <w:t>2796</w:t>
            </w:r>
          </w:p>
        </w:tc>
      </w:tr>
      <w:tr w14:paraId="534A7D28">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Align w:val="center"/>
          </w:tcPr>
          <w:p w14:paraId="036F708A">
            <w:pPr>
              <w:pStyle w:val="11"/>
              <w:bidi w:val="0"/>
              <w:jc w:val="center"/>
              <w:rPr>
                <w:rFonts w:hint="eastAsia"/>
                <w:lang w:eastAsia="zh-CN"/>
              </w:rPr>
            </w:pPr>
            <w:r>
              <w:rPr>
                <w:rFonts w:hint="eastAsia"/>
              </w:rPr>
              <w:t>邓坊镇</w:t>
            </w:r>
          </w:p>
        </w:tc>
        <w:tc>
          <w:tcPr>
            <w:tcW w:w="878" w:type="pct"/>
            <w:vAlign w:val="center"/>
          </w:tcPr>
          <w:p w14:paraId="12878636">
            <w:pPr>
              <w:pStyle w:val="11"/>
              <w:bidi w:val="0"/>
              <w:jc w:val="center"/>
              <w:rPr>
                <w:rFonts w:hint="eastAsia"/>
                <w:lang w:eastAsia="zh-CN"/>
              </w:rPr>
            </w:pPr>
            <w:r>
              <w:rPr>
                <w:rFonts w:hint="eastAsia"/>
              </w:rPr>
              <w:t>4580</w:t>
            </w:r>
          </w:p>
        </w:tc>
        <w:tc>
          <w:tcPr>
            <w:tcW w:w="705" w:type="pct"/>
            <w:vAlign w:val="center"/>
          </w:tcPr>
          <w:p w14:paraId="0F44660A">
            <w:pPr>
              <w:pStyle w:val="11"/>
              <w:bidi w:val="0"/>
              <w:jc w:val="center"/>
              <w:rPr>
                <w:rFonts w:hint="eastAsia"/>
                <w:lang w:eastAsia="zh-CN"/>
              </w:rPr>
            </w:pPr>
            <w:r>
              <w:rPr>
                <w:rFonts w:hint="eastAsia"/>
              </w:rPr>
              <w:t>6254</w:t>
            </w:r>
          </w:p>
        </w:tc>
        <w:tc>
          <w:tcPr>
            <w:tcW w:w="666" w:type="pct"/>
            <w:vAlign w:val="center"/>
          </w:tcPr>
          <w:p w14:paraId="1E63581E">
            <w:pPr>
              <w:pStyle w:val="11"/>
              <w:bidi w:val="0"/>
              <w:jc w:val="center"/>
              <w:rPr>
                <w:rFonts w:hint="eastAsia"/>
                <w:lang w:eastAsia="zh-CN"/>
              </w:rPr>
            </w:pPr>
            <w:r>
              <w:rPr>
                <w:rFonts w:hint="eastAsia"/>
              </w:rPr>
              <w:t>3152</w:t>
            </w:r>
          </w:p>
        </w:tc>
        <w:tc>
          <w:tcPr>
            <w:tcW w:w="828" w:type="pct"/>
            <w:vAlign w:val="center"/>
          </w:tcPr>
          <w:p w14:paraId="4486DA17">
            <w:pPr>
              <w:pStyle w:val="11"/>
              <w:bidi w:val="0"/>
              <w:jc w:val="center"/>
              <w:rPr>
                <w:rFonts w:hint="eastAsia"/>
                <w:lang w:eastAsia="zh-CN"/>
              </w:rPr>
            </w:pPr>
            <w:r>
              <w:rPr>
                <w:rFonts w:hint="eastAsia"/>
              </w:rPr>
              <w:t>2516</w:t>
            </w:r>
          </w:p>
        </w:tc>
        <w:tc>
          <w:tcPr>
            <w:tcW w:w="577" w:type="pct"/>
            <w:vAlign w:val="center"/>
          </w:tcPr>
          <w:p w14:paraId="52485658">
            <w:pPr>
              <w:pStyle w:val="11"/>
              <w:bidi w:val="0"/>
              <w:jc w:val="center"/>
              <w:rPr>
                <w:rFonts w:hint="eastAsia"/>
                <w:lang w:eastAsia="zh-CN"/>
              </w:rPr>
            </w:pPr>
            <w:r>
              <w:rPr>
                <w:rFonts w:hint="eastAsia"/>
              </w:rPr>
              <w:t>3102</w:t>
            </w:r>
          </w:p>
        </w:tc>
        <w:tc>
          <w:tcPr>
            <w:tcW w:w="743" w:type="pct"/>
            <w:vAlign w:val="center"/>
          </w:tcPr>
          <w:p w14:paraId="75AEAD12">
            <w:pPr>
              <w:pStyle w:val="11"/>
              <w:bidi w:val="0"/>
              <w:jc w:val="center"/>
              <w:rPr>
                <w:rFonts w:hint="eastAsia"/>
                <w:lang w:eastAsia="zh-CN"/>
              </w:rPr>
            </w:pPr>
            <w:r>
              <w:rPr>
                <w:rFonts w:hint="eastAsia"/>
              </w:rPr>
              <w:t>2569</w:t>
            </w:r>
          </w:p>
        </w:tc>
      </w:tr>
      <w:tr w14:paraId="3E9D283C">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Align w:val="center"/>
          </w:tcPr>
          <w:p w14:paraId="2D034B3A">
            <w:pPr>
              <w:pStyle w:val="11"/>
              <w:bidi w:val="0"/>
              <w:jc w:val="center"/>
              <w:rPr>
                <w:rFonts w:hint="eastAsia"/>
                <w:lang w:eastAsia="zh-CN"/>
              </w:rPr>
            </w:pPr>
            <w:r>
              <w:rPr>
                <w:rFonts w:hint="eastAsia"/>
              </w:rPr>
              <w:t>油山镇</w:t>
            </w:r>
          </w:p>
        </w:tc>
        <w:tc>
          <w:tcPr>
            <w:tcW w:w="878" w:type="pct"/>
            <w:vAlign w:val="center"/>
          </w:tcPr>
          <w:p w14:paraId="6ADAF342">
            <w:pPr>
              <w:pStyle w:val="11"/>
              <w:bidi w:val="0"/>
              <w:jc w:val="center"/>
              <w:rPr>
                <w:rFonts w:hint="eastAsia"/>
                <w:lang w:eastAsia="zh-CN"/>
              </w:rPr>
            </w:pPr>
            <w:r>
              <w:rPr>
                <w:rFonts w:hint="eastAsia"/>
              </w:rPr>
              <w:t>6920</w:t>
            </w:r>
          </w:p>
        </w:tc>
        <w:tc>
          <w:tcPr>
            <w:tcW w:w="705" w:type="pct"/>
            <w:vAlign w:val="center"/>
          </w:tcPr>
          <w:p w14:paraId="26567BE6">
            <w:pPr>
              <w:pStyle w:val="11"/>
              <w:bidi w:val="0"/>
              <w:jc w:val="center"/>
              <w:rPr>
                <w:rFonts w:hint="eastAsia"/>
                <w:lang w:eastAsia="zh-CN"/>
              </w:rPr>
            </w:pPr>
            <w:r>
              <w:rPr>
                <w:rFonts w:hint="eastAsia"/>
              </w:rPr>
              <w:t>11359</w:t>
            </w:r>
          </w:p>
        </w:tc>
        <w:tc>
          <w:tcPr>
            <w:tcW w:w="666" w:type="pct"/>
            <w:vAlign w:val="center"/>
          </w:tcPr>
          <w:p w14:paraId="0700F22E">
            <w:pPr>
              <w:pStyle w:val="11"/>
              <w:bidi w:val="0"/>
              <w:jc w:val="center"/>
              <w:rPr>
                <w:rFonts w:hint="eastAsia"/>
                <w:lang w:eastAsia="zh-CN"/>
              </w:rPr>
            </w:pPr>
            <w:r>
              <w:rPr>
                <w:rFonts w:hint="eastAsia"/>
              </w:rPr>
              <w:t>5796</w:t>
            </w:r>
          </w:p>
        </w:tc>
        <w:tc>
          <w:tcPr>
            <w:tcW w:w="828" w:type="pct"/>
            <w:vAlign w:val="center"/>
          </w:tcPr>
          <w:p w14:paraId="27CBE4CA">
            <w:pPr>
              <w:pStyle w:val="11"/>
              <w:bidi w:val="0"/>
              <w:jc w:val="center"/>
              <w:rPr>
                <w:rFonts w:hint="eastAsia"/>
                <w:lang w:eastAsia="zh-CN"/>
              </w:rPr>
            </w:pPr>
            <w:r>
              <w:rPr>
                <w:rFonts w:hint="eastAsia"/>
              </w:rPr>
              <w:t>3655</w:t>
            </w:r>
          </w:p>
        </w:tc>
        <w:tc>
          <w:tcPr>
            <w:tcW w:w="577" w:type="pct"/>
            <w:vAlign w:val="center"/>
          </w:tcPr>
          <w:p w14:paraId="3AE0ACC4">
            <w:pPr>
              <w:pStyle w:val="11"/>
              <w:bidi w:val="0"/>
              <w:jc w:val="center"/>
              <w:rPr>
                <w:rFonts w:hint="eastAsia"/>
                <w:lang w:eastAsia="zh-CN"/>
              </w:rPr>
            </w:pPr>
            <w:r>
              <w:rPr>
                <w:rFonts w:hint="eastAsia"/>
              </w:rPr>
              <w:t>5563</w:t>
            </w:r>
          </w:p>
        </w:tc>
        <w:tc>
          <w:tcPr>
            <w:tcW w:w="743" w:type="pct"/>
            <w:vAlign w:val="center"/>
          </w:tcPr>
          <w:p w14:paraId="6C172230">
            <w:pPr>
              <w:pStyle w:val="11"/>
              <w:bidi w:val="0"/>
              <w:jc w:val="center"/>
              <w:rPr>
                <w:rFonts w:hint="eastAsia"/>
                <w:lang w:eastAsia="zh-CN"/>
              </w:rPr>
            </w:pPr>
            <w:r>
              <w:rPr>
                <w:rFonts w:hint="eastAsia"/>
              </w:rPr>
              <w:t>3107</w:t>
            </w:r>
          </w:p>
        </w:tc>
      </w:tr>
      <w:tr w14:paraId="3C900A87">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601" w:type="pct"/>
            <w:vAlign w:val="center"/>
          </w:tcPr>
          <w:p w14:paraId="4835CED9">
            <w:pPr>
              <w:pStyle w:val="11"/>
              <w:bidi w:val="0"/>
              <w:jc w:val="center"/>
              <w:rPr>
                <w:rFonts w:hint="eastAsia"/>
                <w:lang w:eastAsia="zh-CN"/>
              </w:rPr>
            </w:pPr>
            <w:r>
              <w:rPr>
                <w:rFonts w:hint="eastAsia"/>
              </w:rPr>
              <w:t>南亩镇</w:t>
            </w:r>
          </w:p>
        </w:tc>
        <w:tc>
          <w:tcPr>
            <w:tcW w:w="878" w:type="pct"/>
            <w:vAlign w:val="center"/>
          </w:tcPr>
          <w:p w14:paraId="6E19674A">
            <w:pPr>
              <w:pStyle w:val="11"/>
              <w:bidi w:val="0"/>
              <w:jc w:val="center"/>
              <w:rPr>
                <w:rFonts w:hint="eastAsia"/>
                <w:lang w:eastAsia="zh-CN"/>
              </w:rPr>
            </w:pPr>
            <w:r>
              <w:rPr>
                <w:rFonts w:hint="eastAsia"/>
              </w:rPr>
              <w:t>3731</w:t>
            </w:r>
          </w:p>
        </w:tc>
        <w:tc>
          <w:tcPr>
            <w:tcW w:w="705" w:type="pct"/>
            <w:vAlign w:val="center"/>
          </w:tcPr>
          <w:p w14:paraId="11687E03">
            <w:pPr>
              <w:pStyle w:val="11"/>
              <w:bidi w:val="0"/>
              <w:jc w:val="center"/>
              <w:rPr>
                <w:rFonts w:hint="eastAsia"/>
                <w:lang w:eastAsia="zh-CN"/>
              </w:rPr>
            </w:pPr>
            <w:r>
              <w:rPr>
                <w:rFonts w:hint="eastAsia"/>
              </w:rPr>
              <w:t>6215</w:t>
            </w:r>
          </w:p>
        </w:tc>
        <w:tc>
          <w:tcPr>
            <w:tcW w:w="666" w:type="pct"/>
            <w:vAlign w:val="center"/>
          </w:tcPr>
          <w:p w14:paraId="4E456759">
            <w:pPr>
              <w:pStyle w:val="11"/>
              <w:bidi w:val="0"/>
              <w:jc w:val="center"/>
              <w:rPr>
                <w:rFonts w:hint="eastAsia"/>
                <w:lang w:eastAsia="zh-CN"/>
              </w:rPr>
            </w:pPr>
            <w:r>
              <w:rPr>
                <w:rFonts w:hint="eastAsia"/>
              </w:rPr>
              <w:t>3222</w:t>
            </w:r>
          </w:p>
        </w:tc>
        <w:tc>
          <w:tcPr>
            <w:tcW w:w="828" w:type="pct"/>
            <w:vAlign w:val="center"/>
          </w:tcPr>
          <w:p w14:paraId="2355F8A3">
            <w:pPr>
              <w:pStyle w:val="11"/>
              <w:bidi w:val="0"/>
              <w:jc w:val="center"/>
              <w:rPr>
                <w:rFonts w:hint="eastAsia"/>
                <w:lang w:eastAsia="zh-CN"/>
              </w:rPr>
            </w:pPr>
            <w:r>
              <w:rPr>
                <w:rFonts w:hint="eastAsia"/>
              </w:rPr>
              <w:t>1605</w:t>
            </w:r>
          </w:p>
        </w:tc>
        <w:tc>
          <w:tcPr>
            <w:tcW w:w="577" w:type="pct"/>
            <w:vAlign w:val="center"/>
          </w:tcPr>
          <w:p w14:paraId="648DAFA9">
            <w:pPr>
              <w:pStyle w:val="11"/>
              <w:bidi w:val="0"/>
              <w:jc w:val="center"/>
              <w:rPr>
                <w:rFonts w:hint="eastAsia"/>
                <w:lang w:eastAsia="zh-CN"/>
              </w:rPr>
            </w:pPr>
            <w:r>
              <w:rPr>
                <w:rFonts w:hint="eastAsia"/>
              </w:rPr>
              <w:t>2993</w:t>
            </w:r>
          </w:p>
        </w:tc>
        <w:tc>
          <w:tcPr>
            <w:tcW w:w="743" w:type="pct"/>
            <w:vAlign w:val="center"/>
          </w:tcPr>
          <w:p w14:paraId="0EC259E7">
            <w:pPr>
              <w:pStyle w:val="11"/>
              <w:bidi w:val="0"/>
              <w:jc w:val="center"/>
              <w:rPr>
                <w:rFonts w:hint="eastAsia"/>
                <w:lang w:eastAsia="zh-CN"/>
              </w:rPr>
            </w:pPr>
            <w:r>
              <w:rPr>
                <w:rFonts w:hint="eastAsia"/>
              </w:rPr>
              <w:t>1536</w:t>
            </w:r>
          </w:p>
        </w:tc>
      </w:tr>
      <w:tr w14:paraId="12C73AD1">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Align w:val="center"/>
          </w:tcPr>
          <w:p w14:paraId="14E4E53A">
            <w:pPr>
              <w:pStyle w:val="11"/>
              <w:bidi w:val="0"/>
              <w:jc w:val="center"/>
              <w:rPr>
                <w:rFonts w:hint="eastAsia"/>
                <w:lang w:eastAsia="zh-CN"/>
              </w:rPr>
            </w:pPr>
            <w:r>
              <w:rPr>
                <w:rFonts w:hint="eastAsia"/>
              </w:rPr>
              <w:t>水口镇</w:t>
            </w:r>
          </w:p>
        </w:tc>
        <w:tc>
          <w:tcPr>
            <w:tcW w:w="878" w:type="pct"/>
            <w:vAlign w:val="center"/>
          </w:tcPr>
          <w:p w14:paraId="20E3F9AE">
            <w:pPr>
              <w:pStyle w:val="11"/>
              <w:bidi w:val="0"/>
              <w:jc w:val="center"/>
              <w:rPr>
                <w:rFonts w:hint="eastAsia"/>
                <w:lang w:eastAsia="zh-CN"/>
              </w:rPr>
            </w:pPr>
            <w:r>
              <w:rPr>
                <w:rFonts w:hint="eastAsia"/>
              </w:rPr>
              <w:t>6757</w:t>
            </w:r>
          </w:p>
        </w:tc>
        <w:tc>
          <w:tcPr>
            <w:tcW w:w="705" w:type="pct"/>
            <w:vAlign w:val="center"/>
          </w:tcPr>
          <w:p w14:paraId="18F42919">
            <w:pPr>
              <w:pStyle w:val="11"/>
              <w:bidi w:val="0"/>
              <w:jc w:val="center"/>
              <w:rPr>
                <w:rFonts w:hint="eastAsia"/>
                <w:lang w:eastAsia="zh-CN"/>
              </w:rPr>
            </w:pPr>
            <w:r>
              <w:rPr>
                <w:rFonts w:hint="eastAsia"/>
              </w:rPr>
              <w:t>9561</w:t>
            </w:r>
          </w:p>
        </w:tc>
        <w:tc>
          <w:tcPr>
            <w:tcW w:w="666" w:type="pct"/>
            <w:vAlign w:val="center"/>
          </w:tcPr>
          <w:p w14:paraId="26C07B13">
            <w:pPr>
              <w:pStyle w:val="11"/>
              <w:bidi w:val="0"/>
              <w:jc w:val="center"/>
              <w:rPr>
                <w:rFonts w:hint="eastAsia"/>
                <w:lang w:eastAsia="zh-CN"/>
              </w:rPr>
            </w:pPr>
            <w:r>
              <w:rPr>
                <w:rFonts w:hint="eastAsia"/>
              </w:rPr>
              <w:t>4983</w:t>
            </w:r>
          </w:p>
        </w:tc>
        <w:tc>
          <w:tcPr>
            <w:tcW w:w="828" w:type="pct"/>
            <w:vAlign w:val="center"/>
          </w:tcPr>
          <w:p w14:paraId="219D20C1">
            <w:pPr>
              <w:pStyle w:val="11"/>
              <w:bidi w:val="0"/>
              <w:jc w:val="center"/>
              <w:rPr>
                <w:rFonts w:hint="eastAsia"/>
                <w:lang w:eastAsia="zh-CN"/>
              </w:rPr>
            </w:pPr>
            <w:r>
              <w:rPr>
                <w:rFonts w:hint="eastAsia"/>
              </w:rPr>
              <w:t>3226</w:t>
            </w:r>
          </w:p>
        </w:tc>
        <w:tc>
          <w:tcPr>
            <w:tcW w:w="577" w:type="pct"/>
            <w:vAlign w:val="center"/>
          </w:tcPr>
          <w:p w14:paraId="13673CDB">
            <w:pPr>
              <w:pStyle w:val="11"/>
              <w:bidi w:val="0"/>
              <w:jc w:val="center"/>
              <w:rPr>
                <w:rFonts w:hint="eastAsia"/>
                <w:lang w:eastAsia="zh-CN"/>
              </w:rPr>
            </w:pPr>
            <w:r>
              <w:rPr>
                <w:rFonts w:hint="eastAsia"/>
              </w:rPr>
              <w:t>4578</w:t>
            </w:r>
          </w:p>
        </w:tc>
        <w:tc>
          <w:tcPr>
            <w:tcW w:w="743" w:type="pct"/>
            <w:vAlign w:val="center"/>
          </w:tcPr>
          <w:p w14:paraId="4C74A823">
            <w:pPr>
              <w:pStyle w:val="11"/>
              <w:bidi w:val="0"/>
              <w:jc w:val="center"/>
              <w:rPr>
                <w:rFonts w:hint="eastAsia"/>
                <w:lang w:eastAsia="zh-CN"/>
              </w:rPr>
            </w:pPr>
            <w:r>
              <w:rPr>
                <w:rFonts w:hint="eastAsia"/>
              </w:rPr>
              <w:t>2955</w:t>
            </w:r>
          </w:p>
        </w:tc>
      </w:tr>
      <w:tr w14:paraId="565B01D4">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Align w:val="center"/>
          </w:tcPr>
          <w:p w14:paraId="09585C82">
            <w:pPr>
              <w:pStyle w:val="11"/>
              <w:bidi w:val="0"/>
              <w:jc w:val="center"/>
              <w:rPr>
                <w:rFonts w:hint="eastAsia"/>
                <w:lang w:eastAsia="zh-CN"/>
              </w:rPr>
            </w:pPr>
            <w:r>
              <w:rPr>
                <w:rFonts w:hint="eastAsia"/>
              </w:rPr>
              <w:t>江头镇</w:t>
            </w:r>
          </w:p>
        </w:tc>
        <w:tc>
          <w:tcPr>
            <w:tcW w:w="878" w:type="pct"/>
            <w:vAlign w:val="center"/>
          </w:tcPr>
          <w:p w14:paraId="6522B98A">
            <w:pPr>
              <w:pStyle w:val="11"/>
              <w:bidi w:val="0"/>
              <w:jc w:val="center"/>
              <w:rPr>
                <w:rFonts w:hint="eastAsia"/>
                <w:lang w:eastAsia="zh-CN"/>
              </w:rPr>
            </w:pPr>
            <w:r>
              <w:rPr>
                <w:rFonts w:hint="eastAsia"/>
              </w:rPr>
              <w:t>2779</w:t>
            </w:r>
          </w:p>
        </w:tc>
        <w:tc>
          <w:tcPr>
            <w:tcW w:w="705" w:type="pct"/>
            <w:vAlign w:val="center"/>
          </w:tcPr>
          <w:p w14:paraId="07EC789D">
            <w:pPr>
              <w:pStyle w:val="11"/>
              <w:bidi w:val="0"/>
              <w:jc w:val="center"/>
              <w:rPr>
                <w:rFonts w:hint="eastAsia"/>
                <w:lang w:eastAsia="zh-CN"/>
              </w:rPr>
            </w:pPr>
            <w:r>
              <w:rPr>
                <w:rFonts w:hint="eastAsia"/>
              </w:rPr>
              <w:t>4158</w:t>
            </w:r>
          </w:p>
        </w:tc>
        <w:tc>
          <w:tcPr>
            <w:tcW w:w="666" w:type="pct"/>
            <w:vAlign w:val="center"/>
          </w:tcPr>
          <w:p w14:paraId="04589EF0">
            <w:pPr>
              <w:pStyle w:val="11"/>
              <w:bidi w:val="0"/>
              <w:jc w:val="center"/>
              <w:rPr>
                <w:rFonts w:hint="eastAsia"/>
                <w:lang w:eastAsia="zh-CN"/>
              </w:rPr>
            </w:pPr>
            <w:r>
              <w:rPr>
                <w:rFonts w:hint="eastAsia"/>
              </w:rPr>
              <w:t>2121</w:t>
            </w:r>
          </w:p>
        </w:tc>
        <w:tc>
          <w:tcPr>
            <w:tcW w:w="828" w:type="pct"/>
            <w:vAlign w:val="center"/>
          </w:tcPr>
          <w:p w14:paraId="604F149F">
            <w:pPr>
              <w:pStyle w:val="11"/>
              <w:bidi w:val="0"/>
              <w:jc w:val="center"/>
              <w:rPr>
                <w:rFonts w:hint="eastAsia"/>
                <w:lang w:eastAsia="zh-CN"/>
              </w:rPr>
            </w:pPr>
            <w:r>
              <w:rPr>
                <w:rFonts w:hint="eastAsia"/>
              </w:rPr>
              <w:t>1066</w:t>
            </w:r>
          </w:p>
        </w:tc>
        <w:tc>
          <w:tcPr>
            <w:tcW w:w="577" w:type="pct"/>
            <w:vAlign w:val="center"/>
          </w:tcPr>
          <w:p w14:paraId="6D8551BE">
            <w:pPr>
              <w:pStyle w:val="11"/>
              <w:bidi w:val="0"/>
              <w:jc w:val="center"/>
              <w:rPr>
                <w:rFonts w:hint="eastAsia"/>
                <w:lang w:eastAsia="zh-CN"/>
              </w:rPr>
            </w:pPr>
            <w:r>
              <w:rPr>
                <w:rFonts w:hint="eastAsia"/>
              </w:rPr>
              <w:t>2037</w:t>
            </w:r>
          </w:p>
        </w:tc>
        <w:tc>
          <w:tcPr>
            <w:tcW w:w="743" w:type="pct"/>
            <w:vAlign w:val="center"/>
          </w:tcPr>
          <w:p w14:paraId="0FC55C4B">
            <w:pPr>
              <w:pStyle w:val="11"/>
              <w:bidi w:val="0"/>
              <w:jc w:val="center"/>
              <w:rPr>
                <w:rFonts w:hint="eastAsia"/>
                <w:lang w:eastAsia="zh-CN"/>
              </w:rPr>
            </w:pPr>
            <w:r>
              <w:rPr>
                <w:rFonts w:hint="eastAsia"/>
              </w:rPr>
              <w:t>1061</w:t>
            </w:r>
          </w:p>
        </w:tc>
      </w:tr>
      <w:tr w14:paraId="3AE28A6F">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Align w:val="center"/>
          </w:tcPr>
          <w:p w14:paraId="0A5321A3">
            <w:pPr>
              <w:pStyle w:val="11"/>
              <w:bidi w:val="0"/>
              <w:jc w:val="center"/>
              <w:rPr>
                <w:rFonts w:hint="eastAsia"/>
                <w:lang w:eastAsia="zh-CN"/>
              </w:rPr>
            </w:pPr>
            <w:r>
              <w:rPr>
                <w:rFonts w:hint="eastAsia"/>
              </w:rPr>
              <w:t>湖口镇</w:t>
            </w:r>
          </w:p>
        </w:tc>
        <w:tc>
          <w:tcPr>
            <w:tcW w:w="878" w:type="pct"/>
            <w:vAlign w:val="center"/>
          </w:tcPr>
          <w:p w14:paraId="5B9C1B25">
            <w:pPr>
              <w:pStyle w:val="11"/>
              <w:bidi w:val="0"/>
              <w:jc w:val="center"/>
              <w:rPr>
                <w:rFonts w:hint="eastAsia"/>
                <w:lang w:eastAsia="zh-CN"/>
              </w:rPr>
            </w:pPr>
            <w:r>
              <w:rPr>
                <w:rFonts w:hint="eastAsia"/>
              </w:rPr>
              <w:t>8166</w:t>
            </w:r>
          </w:p>
        </w:tc>
        <w:tc>
          <w:tcPr>
            <w:tcW w:w="705" w:type="pct"/>
            <w:vAlign w:val="center"/>
          </w:tcPr>
          <w:p w14:paraId="71836014">
            <w:pPr>
              <w:pStyle w:val="11"/>
              <w:bidi w:val="0"/>
              <w:jc w:val="center"/>
              <w:rPr>
                <w:rFonts w:hint="eastAsia"/>
                <w:lang w:eastAsia="zh-CN"/>
              </w:rPr>
            </w:pPr>
            <w:r>
              <w:rPr>
                <w:rFonts w:hint="eastAsia"/>
              </w:rPr>
              <w:t>12812</w:t>
            </w:r>
          </w:p>
        </w:tc>
        <w:tc>
          <w:tcPr>
            <w:tcW w:w="666" w:type="pct"/>
            <w:vAlign w:val="center"/>
          </w:tcPr>
          <w:p w14:paraId="7420BE6C">
            <w:pPr>
              <w:pStyle w:val="11"/>
              <w:bidi w:val="0"/>
              <w:jc w:val="center"/>
              <w:rPr>
                <w:rFonts w:hint="eastAsia"/>
                <w:lang w:eastAsia="zh-CN"/>
              </w:rPr>
            </w:pPr>
            <w:r>
              <w:rPr>
                <w:rFonts w:hint="eastAsia"/>
              </w:rPr>
              <w:t>6460</w:t>
            </w:r>
          </w:p>
        </w:tc>
        <w:tc>
          <w:tcPr>
            <w:tcW w:w="828" w:type="pct"/>
            <w:vAlign w:val="center"/>
          </w:tcPr>
          <w:p w14:paraId="5C5C364A">
            <w:pPr>
              <w:pStyle w:val="11"/>
              <w:bidi w:val="0"/>
              <w:jc w:val="center"/>
              <w:rPr>
                <w:rFonts w:hint="eastAsia"/>
                <w:lang w:eastAsia="zh-CN"/>
              </w:rPr>
            </w:pPr>
            <w:r>
              <w:rPr>
                <w:rFonts w:hint="eastAsia"/>
              </w:rPr>
              <w:t>4243</w:t>
            </w:r>
          </w:p>
        </w:tc>
        <w:tc>
          <w:tcPr>
            <w:tcW w:w="577" w:type="pct"/>
            <w:vAlign w:val="center"/>
          </w:tcPr>
          <w:p w14:paraId="685EFE69">
            <w:pPr>
              <w:pStyle w:val="11"/>
              <w:bidi w:val="0"/>
              <w:jc w:val="center"/>
              <w:rPr>
                <w:rFonts w:hint="eastAsia"/>
                <w:lang w:eastAsia="zh-CN"/>
              </w:rPr>
            </w:pPr>
            <w:r>
              <w:rPr>
                <w:rFonts w:hint="eastAsia"/>
              </w:rPr>
              <w:t>6352</w:t>
            </w:r>
          </w:p>
        </w:tc>
        <w:tc>
          <w:tcPr>
            <w:tcW w:w="743" w:type="pct"/>
            <w:vAlign w:val="center"/>
          </w:tcPr>
          <w:p w14:paraId="0B02E776">
            <w:pPr>
              <w:pStyle w:val="11"/>
              <w:bidi w:val="0"/>
              <w:jc w:val="center"/>
              <w:rPr>
                <w:rFonts w:hint="eastAsia"/>
                <w:lang w:eastAsia="zh-CN"/>
              </w:rPr>
            </w:pPr>
            <w:r>
              <w:rPr>
                <w:rFonts w:hint="eastAsia"/>
              </w:rPr>
              <w:t>4051</w:t>
            </w:r>
          </w:p>
        </w:tc>
      </w:tr>
      <w:tr w14:paraId="03485F0A">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Align w:val="center"/>
          </w:tcPr>
          <w:p w14:paraId="7E95E743">
            <w:pPr>
              <w:pStyle w:val="11"/>
              <w:bidi w:val="0"/>
              <w:jc w:val="center"/>
              <w:rPr>
                <w:rFonts w:hint="eastAsia"/>
                <w:lang w:eastAsia="zh-CN"/>
              </w:rPr>
            </w:pPr>
            <w:r>
              <w:rPr>
                <w:rFonts w:hint="eastAsia"/>
              </w:rPr>
              <w:t>珠玑镇</w:t>
            </w:r>
          </w:p>
        </w:tc>
        <w:tc>
          <w:tcPr>
            <w:tcW w:w="878" w:type="pct"/>
            <w:vAlign w:val="center"/>
          </w:tcPr>
          <w:p w14:paraId="3DEDBEC8">
            <w:pPr>
              <w:pStyle w:val="11"/>
              <w:bidi w:val="0"/>
              <w:jc w:val="center"/>
              <w:rPr>
                <w:rFonts w:hint="eastAsia"/>
                <w:lang w:eastAsia="zh-CN"/>
              </w:rPr>
            </w:pPr>
            <w:r>
              <w:rPr>
                <w:rFonts w:hint="eastAsia"/>
              </w:rPr>
              <w:t>8682</w:t>
            </w:r>
          </w:p>
        </w:tc>
        <w:tc>
          <w:tcPr>
            <w:tcW w:w="705" w:type="pct"/>
            <w:vAlign w:val="center"/>
          </w:tcPr>
          <w:p w14:paraId="248A7EF2">
            <w:pPr>
              <w:pStyle w:val="11"/>
              <w:bidi w:val="0"/>
              <w:jc w:val="center"/>
              <w:rPr>
                <w:rFonts w:hint="eastAsia"/>
                <w:lang w:eastAsia="zh-CN"/>
              </w:rPr>
            </w:pPr>
            <w:r>
              <w:rPr>
                <w:rFonts w:hint="eastAsia"/>
              </w:rPr>
              <w:t>12751</w:t>
            </w:r>
          </w:p>
        </w:tc>
        <w:tc>
          <w:tcPr>
            <w:tcW w:w="666" w:type="pct"/>
            <w:vAlign w:val="center"/>
          </w:tcPr>
          <w:p w14:paraId="2C943CBF">
            <w:pPr>
              <w:pStyle w:val="11"/>
              <w:bidi w:val="0"/>
              <w:jc w:val="center"/>
              <w:rPr>
                <w:rFonts w:hint="eastAsia"/>
                <w:lang w:eastAsia="zh-CN"/>
              </w:rPr>
            </w:pPr>
            <w:r>
              <w:rPr>
                <w:rFonts w:hint="eastAsia"/>
              </w:rPr>
              <w:t>6546</w:t>
            </w:r>
          </w:p>
        </w:tc>
        <w:tc>
          <w:tcPr>
            <w:tcW w:w="828" w:type="pct"/>
            <w:vAlign w:val="center"/>
          </w:tcPr>
          <w:p w14:paraId="34EB5CBA">
            <w:pPr>
              <w:pStyle w:val="11"/>
              <w:bidi w:val="0"/>
              <w:jc w:val="center"/>
              <w:rPr>
                <w:rFonts w:hint="eastAsia"/>
                <w:lang w:eastAsia="zh-CN"/>
              </w:rPr>
            </w:pPr>
            <w:r>
              <w:rPr>
                <w:rFonts w:hint="eastAsia"/>
              </w:rPr>
              <w:t>3656</w:t>
            </w:r>
          </w:p>
        </w:tc>
        <w:tc>
          <w:tcPr>
            <w:tcW w:w="577" w:type="pct"/>
            <w:vAlign w:val="center"/>
          </w:tcPr>
          <w:p w14:paraId="1A943181">
            <w:pPr>
              <w:pStyle w:val="11"/>
              <w:bidi w:val="0"/>
              <w:jc w:val="center"/>
              <w:rPr>
                <w:rFonts w:hint="eastAsia"/>
                <w:lang w:eastAsia="zh-CN"/>
              </w:rPr>
            </w:pPr>
            <w:r>
              <w:rPr>
                <w:rFonts w:hint="eastAsia"/>
              </w:rPr>
              <w:t>6205</w:t>
            </w:r>
          </w:p>
        </w:tc>
        <w:tc>
          <w:tcPr>
            <w:tcW w:w="743" w:type="pct"/>
            <w:vAlign w:val="center"/>
          </w:tcPr>
          <w:p w14:paraId="5B1EF416">
            <w:pPr>
              <w:pStyle w:val="11"/>
              <w:bidi w:val="0"/>
              <w:jc w:val="center"/>
              <w:rPr>
                <w:rFonts w:hint="eastAsia"/>
                <w:lang w:eastAsia="zh-CN"/>
              </w:rPr>
            </w:pPr>
            <w:r>
              <w:rPr>
                <w:rFonts w:hint="eastAsia"/>
              </w:rPr>
              <w:t>3612</w:t>
            </w:r>
          </w:p>
        </w:tc>
      </w:tr>
      <w:tr w14:paraId="68590F7B">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Align w:val="center"/>
          </w:tcPr>
          <w:p w14:paraId="3808F3AD">
            <w:pPr>
              <w:pStyle w:val="11"/>
              <w:bidi w:val="0"/>
              <w:jc w:val="center"/>
              <w:rPr>
                <w:rFonts w:hint="eastAsia"/>
                <w:lang w:eastAsia="zh-CN"/>
              </w:rPr>
            </w:pPr>
            <w:r>
              <w:rPr>
                <w:rFonts w:hint="eastAsia"/>
              </w:rPr>
              <w:t>主田镇</w:t>
            </w:r>
          </w:p>
        </w:tc>
        <w:tc>
          <w:tcPr>
            <w:tcW w:w="878" w:type="pct"/>
            <w:vAlign w:val="center"/>
          </w:tcPr>
          <w:p w14:paraId="298FC51C">
            <w:pPr>
              <w:pStyle w:val="11"/>
              <w:bidi w:val="0"/>
              <w:jc w:val="center"/>
              <w:rPr>
                <w:rFonts w:hint="eastAsia"/>
                <w:lang w:eastAsia="zh-CN"/>
              </w:rPr>
            </w:pPr>
            <w:r>
              <w:rPr>
                <w:rFonts w:hint="eastAsia"/>
              </w:rPr>
              <w:t>3780</w:t>
            </w:r>
          </w:p>
        </w:tc>
        <w:tc>
          <w:tcPr>
            <w:tcW w:w="705" w:type="pct"/>
            <w:vAlign w:val="center"/>
          </w:tcPr>
          <w:p w14:paraId="76C834F6">
            <w:pPr>
              <w:pStyle w:val="11"/>
              <w:bidi w:val="0"/>
              <w:jc w:val="center"/>
              <w:rPr>
                <w:rFonts w:hint="eastAsia"/>
                <w:lang w:eastAsia="zh-CN"/>
              </w:rPr>
            </w:pPr>
            <w:r>
              <w:rPr>
                <w:rFonts w:hint="eastAsia"/>
              </w:rPr>
              <w:t>5811</w:t>
            </w:r>
          </w:p>
        </w:tc>
        <w:tc>
          <w:tcPr>
            <w:tcW w:w="666" w:type="pct"/>
            <w:vAlign w:val="center"/>
          </w:tcPr>
          <w:p w14:paraId="359911C4">
            <w:pPr>
              <w:pStyle w:val="11"/>
              <w:bidi w:val="0"/>
              <w:jc w:val="center"/>
              <w:rPr>
                <w:rFonts w:hint="eastAsia"/>
                <w:lang w:eastAsia="zh-CN"/>
              </w:rPr>
            </w:pPr>
            <w:r>
              <w:rPr>
                <w:rFonts w:hint="eastAsia"/>
              </w:rPr>
              <w:t>2951</w:t>
            </w:r>
          </w:p>
        </w:tc>
        <w:tc>
          <w:tcPr>
            <w:tcW w:w="828" w:type="pct"/>
            <w:vAlign w:val="center"/>
          </w:tcPr>
          <w:p w14:paraId="06C61693">
            <w:pPr>
              <w:pStyle w:val="11"/>
              <w:bidi w:val="0"/>
              <w:jc w:val="center"/>
              <w:rPr>
                <w:rFonts w:hint="eastAsia"/>
                <w:lang w:eastAsia="zh-CN"/>
              </w:rPr>
            </w:pPr>
            <w:r>
              <w:rPr>
                <w:rFonts w:hint="eastAsia"/>
              </w:rPr>
              <w:t>1845</w:t>
            </w:r>
          </w:p>
        </w:tc>
        <w:tc>
          <w:tcPr>
            <w:tcW w:w="577" w:type="pct"/>
            <w:vAlign w:val="center"/>
          </w:tcPr>
          <w:p w14:paraId="3E5861DD">
            <w:pPr>
              <w:pStyle w:val="11"/>
              <w:bidi w:val="0"/>
              <w:jc w:val="center"/>
              <w:rPr>
                <w:rFonts w:hint="eastAsia"/>
                <w:lang w:eastAsia="zh-CN"/>
              </w:rPr>
            </w:pPr>
            <w:r>
              <w:rPr>
                <w:rFonts w:hint="eastAsia"/>
              </w:rPr>
              <w:t>2860</w:t>
            </w:r>
          </w:p>
        </w:tc>
        <w:tc>
          <w:tcPr>
            <w:tcW w:w="743" w:type="pct"/>
            <w:vAlign w:val="center"/>
          </w:tcPr>
          <w:p w14:paraId="3081C48A">
            <w:pPr>
              <w:pStyle w:val="11"/>
              <w:bidi w:val="0"/>
              <w:jc w:val="center"/>
              <w:rPr>
                <w:rFonts w:hint="eastAsia"/>
                <w:lang w:eastAsia="zh-CN"/>
              </w:rPr>
            </w:pPr>
            <w:r>
              <w:rPr>
                <w:rFonts w:hint="eastAsia"/>
              </w:rPr>
              <w:t>1763</w:t>
            </w:r>
          </w:p>
        </w:tc>
      </w:tr>
      <w:tr w14:paraId="25D8270C">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Align w:val="center"/>
          </w:tcPr>
          <w:p w14:paraId="3D240E90">
            <w:pPr>
              <w:pStyle w:val="11"/>
              <w:bidi w:val="0"/>
              <w:jc w:val="center"/>
              <w:rPr>
                <w:rFonts w:hint="eastAsia"/>
                <w:lang w:eastAsia="zh-CN"/>
              </w:rPr>
            </w:pPr>
            <w:r>
              <w:rPr>
                <w:rFonts w:hint="eastAsia"/>
              </w:rPr>
              <w:t>古市镇</w:t>
            </w:r>
          </w:p>
        </w:tc>
        <w:tc>
          <w:tcPr>
            <w:tcW w:w="878" w:type="pct"/>
            <w:vAlign w:val="center"/>
          </w:tcPr>
          <w:p w14:paraId="607196AC">
            <w:pPr>
              <w:pStyle w:val="11"/>
              <w:bidi w:val="0"/>
              <w:jc w:val="center"/>
              <w:rPr>
                <w:rFonts w:hint="eastAsia"/>
                <w:lang w:eastAsia="zh-CN"/>
              </w:rPr>
            </w:pPr>
            <w:r>
              <w:rPr>
                <w:rFonts w:hint="eastAsia"/>
              </w:rPr>
              <w:t>5286</w:t>
            </w:r>
          </w:p>
        </w:tc>
        <w:tc>
          <w:tcPr>
            <w:tcW w:w="705" w:type="pct"/>
            <w:vAlign w:val="center"/>
          </w:tcPr>
          <w:p w14:paraId="4F213C2B">
            <w:pPr>
              <w:pStyle w:val="11"/>
              <w:bidi w:val="0"/>
              <w:jc w:val="center"/>
              <w:rPr>
                <w:rFonts w:hint="eastAsia"/>
                <w:lang w:eastAsia="zh-CN"/>
              </w:rPr>
            </w:pPr>
            <w:r>
              <w:rPr>
                <w:rFonts w:hint="eastAsia"/>
              </w:rPr>
              <w:t>5984</w:t>
            </w:r>
          </w:p>
        </w:tc>
        <w:tc>
          <w:tcPr>
            <w:tcW w:w="666" w:type="pct"/>
            <w:vAlign w:val="center"/>
          </w:tcPr>
          <w:p w14:paraId="6A9A6540">
            <w:pPr>
              <w:pStyle w:val="11"/>
              <w:bidi w:val="0"/>
              <w:jc w:val="center"/>
              <w:rPr>
                <w:rFonts w:hint="eastAsia"/>
                <w:lang w:eastAsia="zh-CN"/>
              </w:rPr>
            </w:pPr>
            <w:r>
              <w:rPr>
                <w:rFonts w:hint="eastAsia"/>
              </w:rPr>
              <w:t>3269</w:t>
            </w:r>
          </w:p>
        </w:tc>
        <w:tc>
          <w:tcPr>
            <w:tcW w:w="828" w:type="pct"/>
            <w:vAlign w:val="center"/>
          </w:tcPr>
          <w:p w14:paraId="32E0BC76">
            <w:pPr>
              <w:pStyle w:val="11"/>
              <w:bidi w:val="0"/>
              <w:jc w:val="center"/>
              <w:rPr>
                <w:rFonts w:hint="eastAsia"/>
                <w:lang w:eastAsia="zh-CN"/>
              </w:rPr>
            </w:pPr>
            <w:r>
              <w:rPr>
                <w:rFonts w:hint="eastAsia"/>
              </w:rPr>
              <w:t>2383</w:t>
            </w:r>
          </w:p>
        </w:tc>
        <w:tc>
          <w:tcPr>
            <w:tcW w:w="577" w:type="pct"/>
            <w:vAlign w:val="center"/>
          </w:tcPr>
          <w:p w14:paraId="4400FDBE">
            <w:pPr>
              <w:pStyle w:val="11"/>
              <w:bidi w:val="0"/>
              <w:jc w:val="center"/>
              <w:rPr>
                <w:rFonts w:hint="eastAsia"/>
                <w:lang w:eastAsia="zh-CN"/>
              </w:rPr>
            </w:pPr>
            <w:r>
              <w:rPr>
                <w:rFonts w:hint="eastAsia"/>
              </w:rPr>
              <w:t>2715</w:t>
            </w:r>
          </w:p>
        </w:tc>
        <w:tc>
          <w:tcPr>
            <w:tcW w:w="743" w:type="pct"/>
            <w:vAlign w:val="center"/>
          </w:tcPr>
          <w:p w14:paraId="4972A540">
            <w:pPr>
              <w:pStyle w:val="11"/>
              <w:bidi w:val="0"/>
              <w:jc w:val="center"/>
              <w:rPr>
                <w:rFonts w:hint="eastAsia"/>
                <w:lang w:eastAsia="zh-CN"/>
              </w:rPr>
            </w:pPr>
            <w:r>
              <w:rPr>
                <w:rFonts w:hint="eastAsia"/>
              </w:rPr>
              <w:t>1995</w:t>
            </w:r>
          </w:p>
        </w:tc>
      </w:tr>
      <w:tr w14:paraId="4E0E95F0">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Align w:val="center"/>
          </w:tcPr>
          <w:p w14:paraId="5EC3B159">
            <w:pPr>
              <w:pStyle w:val="11"/>
              <w:bidi w:val="0"/>
              <w:jc w:val="center"/>
              <w:rPr>
                <w:rFonts w:hint="eastAsia"/>
                <w:lang w:eastAsia="zh-CN"/>
              </w:rPr>
            </w:pPr>
            <w:r>
              <w:rPr>
                <w:rFonts w:hint="eastAsia"/>
              </w:rPr>
              <w:t>全安镇</w:t>
            </w:r>
          </w:p>
        </w:tc>
        <w:tc>
          <w:tcPr>
            <w:tcW w:w="878" w:type="pct"/>
            <w:vAlign w:val="center"/>
          </w:tcPr>
          <w:p w14:paraId="2EF791C0">
            <w:pPr>
              <w:pStyle w:val="11"/>
              <w:bidi w:val="0"/>
              <w:jc w:val="center"/>
              <w:rPr>
                <w:rFonts w:hint="eastAsia"/>
                <w:lang w:eastAsia="zh-CN"/>
              </w:rPr>
            </w:pPr>
            <w:r>
              <w:rPr>
                <w:rFonts w:hint="eastAsia"/>
              </w:rPr>
              <w:t>6435</w:t>
            </w:r>
          </w:p>
        </w:tc>
        <w:tc>
          <w:tcPr>
            <w:tcW w:w="705" w:type="pct"/>
            <w:vAlign w:val="center"/>
          </w:tcPr>
          <w:p w14:paraId="45E36CC5">
            <w:pPr>
              <w:pStyle w:val="11"/>
              <w:bidi w:val="0"/>
              <w:jc w:val="center"/>
              <w:rPr>
                <w:rFonts w:hint="eastAsia"/>
                <w:lang w:eastAsia="zh-CN"/>
              </w:rPr>
            </w:pPr>
            <w:r>
              <w:rPr>
                <w:rFonts w:hint="eastAsia"/>
              </w:rPr>
              <w:t>7631</w:t>
            </w:r>
          </w:p>
        </w:tc>
        <w:tc>
          <w:tcPr>
            <w:tcW w:w="666" w:type="pct"/>
            <w:vAlign w:val="center"/>
          </w:tcPr>
          <w:p w14:paraId="63D6783B">
            <w:pPr>
              <w:pStyle w:val="11"/>
              <w:bidi w:val="0"/>
              <w:jc w:val="center"/>
              <w:rPr>
                <w:rFonts w:hint="eastAsia"/>
                <w:lang w:eastAsia="zh-CN"/>
              </w:rPr>
            </w:pPr>
            <w:r>
              <w:rPr>
                <w:rFonts w:hint="eastAsia"/>
              </w:rPr>
              <w:t>3896</w:t>
            </w:r>
          </w:p>
        </w:tc>
        <w:tc>
          <w:tcPr>
            <w:tcW w:w="828" w:type="pct"/>
            <w:vAlign w:val="center"/>
          </w:tcPr>
          <w:p w14:paraId="3E1F7578">
            <w:pPr>
              <w:pStyle w:val="11"/>
              <w:bidi w:val="0"/>
              <w:jc w:val="center"/>
              <w:rPr>
                <w:rFonts w:hint="eastAsia"/>
                <w:lang w:eastAsia="zh-CN"/>
              </w:rPr>
            </w:pPr>
            <w:r>
              <w:rPr>
                <w:rFonts w:hint="eastAsia"/>
              </w:rPr>
              <w:t>2672</w:t>
            </w:r>
          </w:p>
        </w:tc>
        <w:tc>
          <w:tcPr>
            <w:tcW w:w="577" w:type="pct"/>
            <w:vAlign w:val="center"/>
          </w:tcPr>
          <w:p w14:paraId="02D01C23">
            <w:pPr>
              <w:pStyle w:val="11"/>
              <w:bidi w:val="0"/>
              <w:jc w:val="center"/>
              <w:rPr>
                <w:rFonts w:hint="eastAsia"/>
                <w:lang w:eastAsia="zh-CN"/>
              </w:rPr>
            </w:pPr>
            <w:r>
              <w:rPr>
                <w:rFonts w:hint="eastAsia"/>
              </w:rPr>
              <w:t>3735</w:t>
            </w:r>
          </w:p>
        </w:tc>
        <w:tc>
          <w:tcPr>
            <w:tcW w:w="743" w:type="pct"/>
            <w:vAlign w:val="center"/>
          </w:tcPr>
          <w:p w14:paraId="48A08C3C">
            <w:pPr>
              <w:pStyle w:val="11"/>
              <w:bidi w:val="0"/>
              <w:jc w:val="center"/>
              <w:rPr>
                <w:rFonts w:hint="eastAsia"/>
                <w:lang w:eastAsia="zh-CN"/>
              </w:rPr>
            </w:pPr>
            <w:r>
              <w:rPr>
                <w:rFonts w:hint="eastAsia"/>
              </w:rPr>
              <w:t>2545</w:t>
            </w:r>
          </w:p>
        </w:tc>
      </w:tr>
      <w:tr w14:paraId="353BAAA0">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601" w:type="pct"/>
            <w:vAlign w:val="center"/>
          </w:tcPr>
          <w:p w14:paraId="2518B052">
            <w:pPr>
              <w:pStyle w:val="11"/>
              <w:bidi w:val="0"/>
              <w:jc w:val="center"/>
              <w:rPr>
                <w:rFonts w:hint="eastAsia"/>
                <w:lang w:eastAsia="zh-CN"/>
              </w:rPr>
            </w:pPr>
            <w:r>
              <w:rPr>
                <w:rFonts w:hint="eastAsia"/>
              </w:rPr>
              <w:t>百顺镇</w:t>
            </w:r>
          </w:p>
        </w:tc>
        <w:tc>
          <w:tcPr>
            <w:tcW w:w="878" w:type="pct"/>
            <w:vAlign w:val="center"/>
          </w:tcPr>
          <w:p w14:paraId="1A4FCCF2">
            <w:pPr>
              <w:pStyle w:val="11"/>
              <w:bidi w:val="0"/>
              <w:jc w:val="center"/>
              <w:rPr>
                <w:rFonts w:hint="eastAsia"/>
                <w:lang w:eastAsia="zh-CN"/>
              </w:rPr>
            </w:pPr>
            <w:r>
              <w:rPr>
                <w:rFonts w:hint="eastAsia"/>
              </w:rPr>
              <w:t>4100</w:t>
            </w:r>
          </w:p>
        </w:tc>
        <w:tc>
          <w:tcPr>
            <w:tcW w:w="705" w:type="pct"/>
            <w:vAlign w:val="center"/>
          </w:tcPr>
          <w:p w14:paraId="22E872D4">
            <w:pPr>
              <w:pStyle w:val="11"/>
              <w:bidi w:val="0"/>
              <w:jc w:val="center"/>
              <w:rPr>
                <w:rFonts w:hint="eastAsia"/>
                <w:lang w:eastAsia="zh-CN"/>
              </w:rPr>
            </w:pPr>
            <w:r>
              <w:rPr>
                <w:rFonts w:hint="eastAsia"/>
              </w:rPr>
              <w:t>6768</w:t>
            </w:r>
          </w:p>
        </w:tc>
        <w:tc>
          <w:tcPr>
            <w:tcW w:w="666" w:type="pct"/>
            <w:vAlign w:val="center"/>
          </w:tcPr>
          <w:p w14:paraId="606D1B87">
            <w:pPr>
              <w:pStyle w:val="11"/>
              <w:bidi w:val="0"/>
              <w:jc w:val="center"/>
              <w:rPr>
                <w:rFonts w:hint="eastAsia"/>
                <w:lang w:eastAsia="zh-CN"/>
              </w:rPr>
            </w:pPr>
            <w:r>
              <w:rPr>
                <w:rFonts w:hint="eastAsia"/>
              </w:rPr>
              <w:t>3467</w:t>
            </w:r>
          </w:p>
        </w:tc>
        <w:tc>
          <w:tcPr>
            <w:tcW w:w="828" w:type="pct"/>
            <w:vAlign w:val="center"/>
          </w:tcPr>
          <w:p w14:paraId="01432D12">
            <w:pPr>
              <w:pStyle w:val="11"/>
              <w:bidi w:val="0"/>
              <w:jc w:val="center"/>
              <w:rPr>
                <w:rFonts w:hint="eastAsia"/>
                <w:lang w:eastAsia="zh-CN"/>
              </w:rPr>
            </w:pPr>
            <w:r>
              <w:rPr>
                <w:rFonts w:hint="eastAsia"/>
              </w:rPr>
              <w:t>1949</w:t>
            </w:r>
          </w:p>
        </w:tc>
        <w:tc>
          <w:tcPr>
            <w:tcW w:w="577" w:type="pct"/>
            <w:vAlign w:val="center"/>
          </w:tcPr>
          <w:p w14:paraId="6A1C3B5E">
            <w:pPr>
              <w:pStyle w:val="11"/>
              <w:bidi w:val="0"/>
              <w:jc w:val="center"/>
              <w:rPr>
                <w:rFonts w:hint="eastAsia"/>
                <w:lang w:eastAsia="zh-CN"/>
              </w:rPr>
            </w:pPr>
            <w:r>
              <w:rPr>
                <w:rFonts w:hint="eastAsia"/>
              </w:rPr>
              <w:t>3301</w:t>
            </w:r>
          </w:p>
        </w:tc>
        <w:tc>
          <w:tcPr>
            <w:tcW w:w="743" w:type="pct"/>
            <w:vAlign w:val="center"/>
          </w:tcPr>
          <w:p w14:paraId="1F5A6F39">
            <w:pPr>
              <w:pStyle w:val="11"/>
              <w:bidi w:val="0"/>
              <w:jc w:val="center"/>
              <w:rPr>
                <w:rFonts w:hint="eastAsia"/>
                <w:lang w:eastAsia="zh-CN"/>
              </w:rPr>
            </w:pPr>
            <w:r>
              <w:rPr>
                <w:rFonts w:hint="eastAsia"/>
              </w:rPr>
              <w:t>1768</w:t>
            </w:r>
          </w:p>
        </w:tc>
      </w:tr>
      <w:tr w14:paraId="7E48D6C6">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Align w:val="center"/>
          </w:tcPr>
          <w:p w14:paraId="1F1D9ADD">
            <w:pPr>
              <w:pStyle w:val="11"/>
              <w:bidi w:val="0"/>
              <w:jc w:val="center"/>
              <w:rPr>
                <w:rFonts w:hint="eastAsia"/>
                <w:lang w:eastAsia="zh-CN"/>
              </w:rPr>
            </w:pPr>
            <w:r>
              <w:rPr>
                <w:rFonts w:hint="eastAsia"/>
              </w:rPr>
              <w:t>澜河镇</w:t>
            </w:r>
          </w:p>
        </w:tc>
        <w:tc>
          <w:tcPr>
            <w:tcW w:w="878" w:type="pct"/>
            <w:vAlign w:val="center"/>
          </w:tcPr>
          <w:p w14:paraId="4C47F291">
            <w:pPr>
              <w:pStyle w:val="11"/>
              <w:bidi w:val="0"/>
              <w:jc w:val="center"/>
              <w:rPr>
                <w:rFonts w:hint="eastAsia"/>
                <w:lang w:eastAsia="zh-CN"/>
              </w:rPr>
            </w:pPr>
            <w:r>
              <w:rPr>
                <w:rFonts w:hint="eastAsia"/>
              </w:rPr>
              <w:t>2514</w:t>
            </w:r>
          </w:p>
        </w:tc>
        <w:tc>
          <w:tcPr>
            <w:tcW w:w="705" w:type="pct"/>
            <w:vAlign w:val="center"/>
          </w:tcPr>
          <w:p w14:paraId="71F47FA4">
            <w:pPr>
              <w:pStyle w:val="11"/>
              <w:bidi w:val="0"/>
              <w:jc w:val="center"/>
              <w:rPr>
                <w:rFonts w:hint="eastAsia"/>
                <w:lang w:eastAsia="zh-CN"/>
              </w:rPr>
            </w:pPr>
            <w:r>
              <w:rPr>
                <w:rFonts w:hint="eastAsia"/>
              </w:rPr>
              <w:t>2945</w:t>
            </w:r>
          </w:p>
        </w:tc>
        <w:tc>
          <w:tcPr>
            <w:tcW w:w="666" w:type="pct"/>
            <w:vAlign w:val="center"/>
          </w:tcPr>
          <w:p w14:paraId="275B2FD6">
            <w:pPr>
              <w:pStyle w:val="11"/>
              <w:bidi w:val="0"/>
              <w:jc w:val="center"/>
              <w:rPr>
                <w:rFonts w:hint="eastAsia"/>
                <w:lang w:eastAsia="zh-CN"/>
              </w:rPr>
            </w:pPr>
            <w:r>
              <w:rPr>
                <w:rFonts w:hint="eastAsia"/>
              </w:rPr>
              <w:t>1748</w:t>
            </w:r>
          </w:p>
        </w:tc>
        <w:tc>
          <w:tcPr>
            <w:tcW w:w="828" w:type="pct"/>
            <w:vAlign w:val="center"/>
          </w:tcPr>
          <w:p w14:paraId="6DF69985">
            <w:pPr>
              <w:pStyle w:val="11"/>
              <w:bidi w:val="0"/>
              <w:jc w:val="center"/>
              <w:rPr>
                <w:rFonts w:hint="eastAsia"/>
                <w:lang w:eastAsia="zh-CN"/>
              </w:rPr>
            </w:pPr>
            <w:r>
              <w:rPr>
                <w:rFonts w:hint="eastAsia"/>
              </w:rPr>
              <w:t>1305</w:t>
            </w:r>
          </w:p>
        </w:tc>
        <w:tc>
          <w:tcPr>
            <w:tcW w:w="577" w:type="pct"/>
            <w:vAlign w:val="center"/>
          </w:tcPr>
          <w:p w14:paraId="7D2843D0">
            <w:pPr>
              <w:pStyle w:val="11"/>
              <w:bidi w:val="0"/>
              <w:jc w:val="center"/>
              <w:rPr>
                <w:rFonts w:hint="eastAsia"/>
                <w:lang w:eastAsia="zh-CN"/>
              </w:rPr>
            </w:pPr>
            <w:r>
              <w:rPr>
                <w:rFonts w:hint="eastAsia"/>
              </w:rPr>
              <w:t>1197</w:t>
            </w:r>
          </w:p>
        </w:tc>
        <w:tc>
          <w:tcPr>
            <w:tcW w:w="743" w:type="pct"/>
            <w:vAlign w:val="center"/>
          </w:tcPr>
          <w:p w14:paraId="46A12DE2">
            <w:pPr>
              <w:pStyle w:val="11"/>
              <w:bidi w:val="0"/>
              <w:jc w:val="center"/>
              <w:rPr>
                <w:rFonts w:hint="eastAsia"/>
                <w:lang w:eastAsia="zh-CN"/>
              </w:rPr>
            </w:pPr>
            <w:r>
              <w:rPr>
                <w:rFonts w:hint="eastAsia"/>
              </w:rPr>
              <w:t>770</w:t>
            </w:r>
          </w:p>
        </w:tc>
      </w:tr>
      <w:tr w14:paraId="11453008">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Align w:val="center"/>
          </w:tcPr>
          <w:p w14:paraId="02537496">
            <w:pPr>
              <w:pStyle w:val="11"/>
              <w:bidi w:val="0"/>
              <w:jc w:val="center"/>
              <w:rPr>
                <w:rFonts w:hint="eastAsia"/>
                <w:lang w:eastAsia="zh-CN"/>
              </w:rPr>
            </w:pPr>
            <w:r>
              <w:rPr>
                <w:rFonts w:hint="eastAsia"/>
              </w:rPr>
              <w:t>帽子峰镇</w:t>
            </w:r>
          </w:p>
        </w:tc>
        <w:tc>
          <w:tcPr>
            <w:tcW w:w="878" w:type="pct"/>
            <w:vAlign w:val="center"/>
          </w:tcPr>
          <w:p w14:paraId="2258FA2C">
            <w:pPr>
              <w:pStyle w:val="11"/>
              <w:bidi w:val="0"/>
              <w:jc w:val="center"/>
              <w:rPr>
                <w:rFonts w:hint="eastAsia"/>
                <w:lang w:eastAsia="zh-CN"/>
              </w:rPr>
            </w:pPr>
            <w:r>
              <w:rPr>
                <w:rFonts w:hint="eastAsia"/>
              </w:rPr>
              <w:t>2397</w:t>
            </w:r>
          </w:p>
        </w:tc>
        <w:tc>
          <w:tcPr>
            <w:tcW w:w="705" w:type="pct"/>
            <w:vAlign w:val="center"/>
          </w:tcPr>
          <w:p w14:paraId="37358EF7">
            <w:pPr>
              <w:pStyle w:val="11"/>
              <w:bidi w:val="0"/>
              <w:jc w:val="center"/>
              <w:rPr>
                <w:rFonts w:hint="eastAsia"/>
                <w:lang w:eastAsia="zh-CN"/>
              </w:rPr>
            </w:pPr>
            <w:r>
              <w:rPr>
                <w:rFonts w:hint="eastAsia"/>
              </w:rPr>
              <w:t>2993</w:t>
            </w:r>
          </w:p>
        </w:tc>
        <w:tc>
          <w:tcPr>
            <w:tcW w:w="666" w:type="pct"/>
            <w:vAlign w:val="center"/>
          </w:tcPr>
          <w:p w14:paraId="71098ADB">
            <w:pPr>
              <w:pStyle w:val="11"/>
              <w:bidi w:val="0"/>
              <w:jc w:val="center"/>
              <w:rPr>
                <w:rFonts w:hint="eastAsia"/>
                <w:lang w:eastAsia="zh-CN"/>
              </w:rPr>
            </w:pPr>
            <w:r>
              <w:rPr>
                <w:rFonts w:hint="eastAsia"/>
              </w:rPr>
              <w:t>1516</w:t>
            </w:r>
          </w:p>
        </w:tc>
        <w:tc>
          <w:tcPr>
            <w:tcW w:w="828" w:type="pct"/>
            <w:vAlign w:val="center"/>
          </w:tcPr>
          <w:p w14:paraId="1356D2A2">
            <w:pPr>
              <w:pStyle w:val="11"/>
              <w:bidi w:val="0"/>
              <w:jc w:val="center"/>
              <w:rPr>
                <w:rFonts w:hint="eastAsia"/>
                <w:lang w:eastAsia="zh-CN"/>
              </w:rPr>
            </w:pPr>
            <w:r>
              <w:rPr>
                <w:rFonts w:hint="eastAsia"/>
              </w:rPr>
              <w:t>1079</w:t>
            </w:r>
          </w:p>
        </w:tc>
        <w:tc>
          <w:tcPr>
            <w:tcW w:w="577" w:type="pct"/>
            <w:vAlign w:val="center"/>
          </w:tcPr>
          <w:p w14:paraId="28856EE9">
            <w:pPr>
              <w:pStyle w:val="11"/>
              <w:bidi w:val="0"/>
              <w:jc w:val="center"/>
              <w:rPr>
                <w:rFonts w:hint="eastAsia"/>
                <w:lang w:eastAsia="zh-CN"/>
              </w:rPr>
            </w:pPr>
            <w:r>
              <w:rPr>
                <w:rFonts w:hint="eastAsia"/>
              </w:rPr>
              <w:t>1477</w:t>
            </w:r>
          </w:p>
        </w:tc>
        <w:tc>
          <w:tcPr>
            <w:tcW w:w="743" w:type="pct"/>
            <w:vAlign w:val="center"/>
          </w:tcPr>
          <w:p w14:paraId="69D7B5A6">
            <w:pPr>
              <w:pStyle w:val="11"/>
              <w:bidi w:val="0"/>
              <w:jc w:val="center"/>
              <w:rPr>
                <w:rFonts w:hint="eastAsia"/>
                <w:lang w:eastAsia="zh-CN"/>
              </w:rPr>
            </w:pPr>
            <w:r>
              <w:rPr>
                <w:rFonts w:hint="eastAsia"/>
              </w:rPr>
              <w:t>1053</w:t>
            </w:r>
          </w:p>
        </w:tc>
      </w:tr>
      <w:tr w14:paraId="671DD25F">
        <w:tblPrEx>
          <w:tblBorders>
            <w:top w:val="single" w:color="000000"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1" w:type="pct"/>
            <w:vAlign w:val="center"/>
          </w:tcPr>
          <w:p w14:paraId="5DAD9446">
            <w:pPr>
              <w:pStyle w:val="11"/>
              <w:bidi w:val="0"/>
              <w:jc w:val="center"/>
              <w:rPr>
                <w:rFonts w:hint="eastAsia"/>
                <w:lang w:eastAsia="zh-CN"/>
              </w:rPr>
            </w:pPr>
            <w:r>
              <w:rPr>
                <w:rFonts w:hint="eastAsia"/>
              </w:rPr>
              <w:t>雄州街道</w:t>
            </w:r>
          </w:p>
        </w:tc>
        <w:tc>
          <w:tcPr>
            <w:tcW w:w="878" w:type="pct"/>
            <w:vAlign w:val="center"/>
          </w:tcPr>
          <w:p w14:paraId="608F3A6F">
            <w:pPr>
              <w:pStyle w:val="11"/>
              <w:bidi w:val="0"/>
              <w:jc w:val="center"/>
              <w:rPr>
                <w:rFonts w:hint="eastAsia"/>
                <w:lang w:eastAsia="zh-CN"/>
              </w:rPr>
            </w:pPr>
            <w:r>
              <w:rPr>
                <w:rFonts w:hint="eastAsia"/>
              </w:rPr>
              <w:t>16795</w:t>
            </w:r>
          </w:p>
        </w:tc>
        <w:tc>
          <w:tcPr>
            <w:tcW w:w="705" w:type="pct"/>
            <w:vAlign w:val="center"/>
          </w:tcPr>
          <w:p w14:paraId="1198C7B6">
            <w:pPr>
              <w:pStyle w:val="11"/>
              <w:bidi w:val="0"/>
              <w:jc w:val="center"/>
              <w:rPr>
                <w:rFonts w:hint="eastAsia"/>
                <w:lang w:eastAsia="zh-CN"/>
              </w:rPr>
            </w:pPr>
            <w:r>
              <w:rPr>
                <w:rFonts w:hint="eastAsia"/>
              </w:rPr>
              <w:t>21311</w:t>
            </w:r>
          </w:p>
        </w:tc>
        <w:tc>
          <w:tcPr>
            <w:tcW w:w="666" w:type="pct"/>
            <w:vAlign w:val="center"/>
          </w:tcPr>
          <w:p w14:paraId="1BF28C9A">
            <w:pPr>
              <w:pStyle w:val="11"/>
              <w:bidi w:val="0"/>
              <w:jc w:val="center"/>
              <w:rPr>
                <w:rFonts w:hint="eastAsia"/>
                <w:lang w:eastAsia="zh-CN"/>
              </w:rPr>
            </w:pPr>
            <w:r>
              <w:rPr>
                <w:rFonts w:hint="eastAsia"/>
              </w:rPr>
              <w:t>11087</w:t>
            </w:r>
          </w:p>
        </w:tc>
        <w:tc>
          <w:tcPr>
            <w:tcW w:w="828" w:type="pct"/>
            <w:vAlign w:val="center"/>
          </w:tcPr>
          <w:p w14:paraId="2A74DD6F">
            <w:pPr>
              <w:pStyle w:val="11"/>
              <w:bidi w:val="0"/>
              <w:jc w:val="center"/>
              <w:rPr>
                <w:rFonts w:hint="eastAsia"/>
                <w:lang w:eastAsia="zh-CN"/>
              </w:rPr>
            </w:pPr>
            <w:r>
              <w:rPr>
                <w:rFonts w:hint="eastAsia"/>
              </w:rPr>
              <w:t>3456</w:t>
            </w:r>
          </w:p>
        </w:tc>
        <w:tc>
          <w:tcPr>
            <w:tcW w:w="577" w:type="pct"/>
            <w:vAlign w:val="center"/>
          </w:tcPr>
          <w:p w14:paraId="0E2DD8A4">
            <w:pPr>
              <w:pStyle w:val="11"/>
              <w:bidi w:val="0"/>
              <w:jc w:val="center"/>
              <w:rPr>
                <w:rFonts w:hint="eastAsia"/>
                <w:lang w:eastAsia="zh-CN"/>
              </w:rPr>
            </w:pPr>
            <w:r>
              <w:rPr>
                <w:rFonts w:hint="eastAsia"/>
              </w:rPr>
              <w:t>10224</w:t>
            </w:r>
          </w:p>
        </w:tc>
        <w:tc>
          <w:tcPr>
            <w:tcW w:w="743" w:type="pct"/>
            <w:vAlign w:val="center"/>
          </w:tcPr>
          <w:p w14:paraId="3B0B1D0A">
            <w:pPr>
              <w:pStyle w:val="11"/>
              <w:bidi w:val="0"/>
              <w:jc w:val="center"/>
              <w:rPr>
                <w:rFonts w:hint="eastAsia"/>
                <w:lang w:eastAsia="zh-CN"/>
              </w:rPr>
            </w:pPr>
            <w:r>
              <w:rPr>
                <w:rFonts w:hint="eastAsia"/>
              </w:rPr>
              <w:t>3063</w:t>
            </w:r>
          </w:p>
        </w:tc>
      </w:tr>
    </w:tbl>
    <w:p w14:paraId="5C71E700">
      <w:pPr>
        <w:pStyle w:val="4"/>
        <w:bidi w:val="0"/>
        <w:rPr>
          <w:rFonts w:hint="eastAsia"/>
        </w:rPr>
      </w:pPr>
      <w:r>
        <w:rPr>
          <w:rFonts w:hint="eastAsia"/>
        </w:rPr>
        <w:t>表39</w:t>
      </w:r>
      <w:r>
        <w:rPr>
          <w:rFonts w:hint="eastAsia"/>
          <w:lang w:val="en-US" w:eastAsia="zh-CN"/>
        </w:rPr>
        <w:t xml:space="preserve">  </w:t>
      </w:r>
      <w:r>
        <w:rPr>
          <w:rFonts w:hint="eastAsia"/>
        </w:rPr>
        <w:t>全市农村基本情况及农业生产条件（二）</w:t>
      </w:r>
    </w:p>
    <w:tbl>
      <w:tblPr>
        <w:tblStyle w:val="8"/>
        <w:tblW w:w="5000"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10"/>
        <w:gridCol w:w="1315"/>
        <w:gridCol w:w="1315"/>
        <w:gridCol w:w="911"/>
        <w:gridCol w:w="1327"/>
        <w:gridCol w:w="1212"/>
        <w:gridCol w:w="923"/>
        <w:gridCol w:w="877"/>
        <w:gridCol w:w="972"/>
      </w:tblGrid>
      <w:tr w14:paraId="2514D59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Merge w:val="restart"/>
            <w:vAlign w:val="center"/>
          </w:tcPr>
          <w:p w14:paraId="749B5D9F">
            <w:pPr>
              <w:pStyle w:val="11"/>
              <w:bidi w:val="0"/>
              <w:jc w:val="center"/>
              <w:rPr>
                <w:rFonts w:hint="eastAsia"/>
                <w:b/>
                <w:bCs/>
                <w:lang w:eastAsia="zh-CN"/>
              </w:rPr>
            </w:pPr>
            <w:r>
              <w:rPr>
                <w:rFonts w:hint="eastAsia"/>
                <w:b/>
                <w:bCs/>
              </w:rPr>
              <w:t>单位名称</w:t>
            </w:r>
          </w:p>
        </w:tc>
        <w:tc>
          <w:tcPr>
            <w:tcW w:w="1777" w:type="pct"/>
            <w:gridSpan w:val="3"/>
            <w:vAlign w:val="center"/>
          </w:tcPr>
          <w:p w14:paraId="4475CBCE">
            <w:pPr>
              <w:pStyle w:val="11"/>
              <w:bidi w:val="0"/>
              <w:jc w:val="center"/>
              <w:rPr>
                <w:rFonts w:hint="eastAsia"/>
                <w:b/>
                <w:bCs/>
                <w:lang w:val="en-US" w:eastAsia="zh-CN"/>
              </w:rPr>
            </w:pPr>
            <w:r>
              <w:rPr>
                <w:rFonts w:hint="eastAsia"/>
                <w:b/>
                <w:bCs/>
              </w:rPr>
              <w:t>三、农村基础</w:t>
            </w:r>
            <w:r>
              <w:rPr>
                <w:rFonts w:hint="eastAsia"/>
                <w:b/>
                <w:bCs/>
                <w:lang w:val="en-US" w:eastAsia="zh-CN"/>
              </w:rPr>
              <w:t>设施</w:t>
            </w:r>
          </w:p>
        </w:tc>
        <w:tc>
          <w:tcPr>
            <w:tcW w:w="2665" w:type="pct"/>
            <w:gridSpan w:val="5"/>
            <w:vAlign w:val="center"/>
          </w:tcPr>
          <w:p w14:paraId="16B96C65">
            <w:pPr>
              <w:pStyle w:val="11"/>
              <w:bidi w:val="0"/>
              <w:jc w:val="center"/>
              <w:rPr>
                <w:rFonts w:hint="eastAsia"/>
                <w:b/>
                <w:bCs/>
                <w:lang w:eastAsia="zh-CN"/>
              </w:rPr>
            </w:pPr>
            <w:r>
              <w:rPr>
                <w:rFonts w:hint="eastAsia"/>
                <w:b/>
                <w:bCs/>
              </w:rPr>
              <w:t>四、农业主要物质消耗</w:t>
            </w:r>
          </w:p>
        </w:tc>
      </w:tr>
      <w:tr w14:paraId="02D75F2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Merge w:val="continue"/>
            <w:vAlign w:val="center"/>
          </w:tcPr>
          <w:p w14:paraId="4CA9A0E1">
            <w:pPr>
              <w:pStyle w:val="11"/>
              <w:bidi w:val="0"/>
              <w:jc w:val="center"/>
              <w:rPr>
                <w:rFonts w:hint="eastAsia"/>
                <w:b/>
                <w:bCs/>
                <w:lang w:eastAsia="zh-CN"/>
              </w:rPr>
            </w:pPr>
          </w:p>
        </w:tc>
        <w:tc>
          <w:tcPr>
            <w:tcW w:w="660" w:type="pct"/>
            <w:vMerge w:val="restart"/>
            <w:vAlign w:val="center"/>
          </w:tcPr>
          <w:p w14:paraId="7E00C5FD">
            <w:pPr>
              <w:pStyle w:val="11"/>
              <w:bidi w:val="0"/>
              <w:jc w:val="center"/>
              <w:rPr>
                <w:rFonts w:hint="eastAsia"/>
                <w:b/>
                <w:bCs/>
                <w:lang w:val="en-US" w:eastAsia="zh-CN"/>
              </w:rPr>
            </w:pPr>
            <w:r>
              <w:rPr>
                <w:rFonts w:hint="eastAsia"/>
                <w:b/>
                <w:bCs/>
              </w:rPr>
              <w:t>自来水受益村数（个）</w:t>
            </w:r>
          </w:p>
        </w:tc>
        <w:tc>
          <w:tcPr>
            <w:tcW w:w="660" w:type="pct"/>
            <w:vMerge w:val="restart"/>
            <w:vAlign w:val="center"/>
          </w:tcPr>
          <w:p w14:paraId="33CDC00B">
            <w:pPr>
              <w:pStyle w:val="11"/>
              <w:bidi w:val="0"/>
              <w:jc w:val="center"/>
              <w:rPr>
                <w:rFonts w:hint="eastAsia"/>
                <w:b/>
                <w:bCs/>
                <w:lang w:eastAsia="zh-CN"/>
              </w:rPr>
            </w:pPr>
            <w:r>
              <w:rPr>
                <w:rFonts w:hint="eastAsia"/>
                <w:b/>
                <w:bCs/>
              </w:rPr>
              <w:t>通有线电视村数（个）</w:t>
            </w:r>
          </w:p>
        </w:tc>
        <w:tc>
          <w:tcPr>
            <w:tcW w:w="457" w:type="pct"/>
            <w:vMerge w:val="restart"/>
            <w:vAlign w:val="center"/>
          </w:tcPr>
          <w:p w14:paraId="6B856E15">
            <w:pPr>
              <w:pStyle w:val="11"/>
              <w:bidi w:val="0"/>
              <w:jc w:val="center"/>
              <w:rPr>
                <w:rFonts w:hint="eastAsia"/>
                <w:b/>
                <w:bCs/>
                <w:lang w:eastAsia="zh-CN"/>
              </w:rPr>
            </w:pPr>
            <w:r>
              <w:rPr>
                <w:rFonts w:hint="eastAsia"/>
                <w:b/>
                <w:bCs/>
              </w:rPr>
              <w:t>通宽带村数（个）</w:t>
            </w:r>
          </w:p>
        </w:tc>
        <w:tc>
          <w:tcPr>
            <w:tcW w:w="666" w:type="pct"/>
            <w:vMerge w:val="restart"/>
            <w:tcBorders>
              <w:right w:val="nil"/>
            </w:tcBorders>
            <w:vAlign w:val="center"/>
          </w:tcPr>
          <w:p w14:paraId="34750890">
            <w:pPr>
              <w:pStyle w:val="11"/>
              <w:bidi w:val="0"/>
              <w:jc w:val="center"/>
              <w:rPr>
                <w:rFonts w:hint="eastAsia"/>
                <w:b/>
                <w:bCs/>
              </w:rPr>
            </w:pPr>
            <w:r>
              <w:rPr>
                <w:rFonts w:hint="eastAsia"/>
                <w:b/>
                <w:bCs/>
              </w:rPr>
              <w:t>农用化肥施</w:t>
            </w:r>
          </w:p>
          <w:p w14:paraId="79105439">
            <w:pPr>
              <w:pStyle w:val="11"/>
              <w:bidi w:val="0"/>
              <w:jc w:val="center"/>
              <w:rPr>
                <w:rFonts w:hint="eastAsia"/>
                <w:b/>
                <w:bCs/>
                <w:lang w:eastAsia="zh-CN"/>
              </w:rPr>
            </w:pPr>
            <w:r>
              <w:rPr>
                <w:rFonts w:hint="eastAsia"/>
                <w:b/>
                <w:bCs/>
              </w:rPr>
              <w:t>用量（折纯）（吨）</w:t>
            </w:r>
          </w:p>
        </w:tc>
        <w:tc>
          <w:tcPr>
            <w:tcW w:w="1999" w:type="pct"/>
            <w:gridSpan w:val="4"/>
            <w:tcBorders>
              <w:left w:val="nil"/>
            </w:tcBorders>
            <w:vAlign w:val="center"/>
          </w:tcPr>
          <w:p w14:paraId="2801F49C">
            <w:pPr>
              <w:pStyle w:val="11"/>
              <w:bidi w:val="0"/>
              <w:jc w:val="center"/>
              <w:rPr>
                <w:rFonts w:hint="eastAsia"/>
                <w:b/>
                <w:bCs/>
                <w:lang w:eastAsia="zh-CN"/>
              </w:rPr>
            </w:pPr>
          </w:p>
        </w:tc>
      </w:tr>
      <w:tr w14:paraId="36C3B28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Merge w:val="continue"/>
            <w:vAlign w:val="center"/>
          </w:tcPr>
          <w:p w14:paraId="10CF1DC1">
            <w:pPr>
              <w:pStyle w:val="11"/>
              <w:bidi w:val="0"/>
              <w:jc w:val="center"/>
              <w:rPr>
                <w:rFonts w:hint="eastAsia"/>
                <w:b/>
                <w:bCs/>
                <w:lang w:eastAsia="zh-CN"/>
              </w:rPr>
            </w:pPr>
          </w:p>
        </w:tc>
        <w:tc>
          <w:tcPr>
            <w:tcW w:w="660" w:type="pct"/>
            <w:vMerge w:val="continue"/>
            <w:vAlign w:val="center"/>
          </w:tcPr>
          <w:p w14:paraId="0C5604E6">
            <w:pPr>
              <w:pStyle w:val="11"/>
              <w:bidi w:val="0"/>
              <w:jc w:val="center"/>
              <w:rPr>
                <w:rFonts w:hint="eastAsia"/>
                <w:b/>
                <w:bCs/>
                <w:lang w:eastAsia="zh-CN"/>
              </w:rPr>
            </w:pPr>
          </w:p>
        </w:tc>
        <w:tc>
          <w:tcPr>
            <w:tcW w:w="660" w:type="pct"/>
            <w:vMerge w:val="continue"/>
            <w:vAlign w:val="center"/>
          </w:tcPr>
          <w:p w14:paraId="0EB185B0">
            <w:pPr>
              <w:pStyle w:val="11"/>
              <w:bidi w:val="0"/>
              <w:jc w:val="center"/>
              <w:rPr>
                <w:rFonts w:hint="eastAsia"/>
                <w:b/>
                <w:bCs/>
                <w:lang w:eastAsia="zh-CN"/>
              </w:rPr>
            </w:pPr>
          </w:p>
        </w:tc>
        <w:tc>
          <w:tcPr>
            <w:tcW w:w="457" w:type="pct"/>
            <w:vMerge w:val="continue"/>
            <w:vAlign w:val="center"/>
          </w:tcPr>
          <w:p w14:paraId="08F47640">
            <w:pPr>
              <w:pStyle w:val="11"/>
              <w:bidi w:val="0"/>
              <w:jc w:val="center"/>
              <w:rPr>
                <w:rFonts w:hint="eastAsia"/>
                <w:b/>
                <w:bCs/>
                <w:lang w:eastAsia="zh-CN"/>
              </w:rPr>
            </w:pPr>
          </w:p>
        </w:tc>
        <w:tc>
          <w:tcPr>
            <w:tcW w:w="666" w:type="pct"/>
            <w:vMerge w:val="continue"/>
            <w:vAlign w:val="center"/>
          </w:tcPr>
          <w:p w14:paraId="0C75BFEC">
            <w:pPr>
              <w:pStyle w:val="11"/>
              <w:bidi w:val="0"/>
              <w:jc w:val="center"/>
              <w:rPr>
                <w:rFonts w:hint="eastAsia"/>
                <w:b/>
                <w:bCs/>
                <w:lang w:eastAsia="zh-CN"/>
              </w:rPr>
            </w:pPr>
          </w:p>
        </w:tc>
        <w:tc>
          <w:tcPr>
            <w:tcW w:w="608" w:type="pct"/>
            <w:vAlign w:val="center"/>
          </w:tcPr>
          <w:p w14:paraId="7AB8DBD2">
            <w:pPr>
              <w:pStyle w:val="11"/>
              <w:bidi w:val="0"/>
              <w:jc w:val="center"/>
              <w:rPr>
                <w:rFonts w:hint="eastAsia"/>
                <w:b/>
                <w:bCs/>
                <w:lang w:eastAsia="zh-CN"/>
              </w:rPr>
            </w:pPr>
            <w:r>
              <w:rPr>
                <w:rFonts w:hint="eastAsia"/>
                <w:b/>
                <w:bCs/>
              </w:rPr>
              <w:t>其中：氮肥（吨）</w:t>
            </w:r>
          </w:p>
        </w:tc>
        <w:tc>
          <w:tcPr>
            <w:tcW w:w="463" w:type="pct"/>
            <w:vAlign w:val="center"/>
          </w:tcPr>
          <w:p w14:paraId="11788FD8">
            <w:pPr>
              <w:pStyle w:val="11"/>
              <w:bidi w:val="0"/>
              <w:jc w:val="center"/>
              <w:rPr>
                <w:rFonts w:hint="eastAsia"/>
                <w:b/>
                <w:bCs/>
                <w:lang w:eastAsia="zh-CN"/>
              </w:rPr>
            </w:pPr>
            <w:r>
              <w:rPr>
                <w:rFonts w:hint="eastAsia"/>
                <w:b/>
                <w:bCs/>
              </w:rPr>
              <w:t>磷肥（吨）</w:t>
            </w:r>
          </w:p>
        </w:tc>
        <w:tc>
          <w:tcPr>
            <w:tcW w:w="440" w:type="pct"/>
            <w:vAlign w:val="center"/>
          </w:tcPr>
          <w:p w14:paraId="6B0E8797">
            <w:pPr>
              <w:pStyle w:val="11"/>
              <w:bidi w:val="0"/>
              <w:jc w:val="center"/>
              <w:rPr>
                <w:rFonts w:hint="eastAsia"/>
                <w:b/>
                <w:bCs/>
                <w:lang w:eastAsia="zh-CN"/>
              </w:rPr>
            </w:pPr>
            <w:r>
              <w:rPr>
                <w:rFonts w:hint="eastAsia"/>
                <w:b/>
                <w:bCs/>
              </w:rPr>
              <w:t>钾肥（吨）</w:t>
            </w:r>
          </w:p>
        </w:tc>
        <w:tc>
          <w:tcPr>
            <w:tcW w:w="487" w:type="pct"/>
            <w:vAlign w:val="center"/>
          </w:tcPr>
          <w:p w14:paraId="44227A0B">
            <w:pPr>
              <w:pStyle w:val="11"/>
              <w:bidi w:val="0"/>
              <w:jc w:val="center"/>
              <w:rPr>
                <w:rFonts w:hint="eastAsia"/>
                <w:b/>
                <w:bCs/>
                <w:lang w:eastAsia="zh-CN"/>
              </w:rPr>
            </w:pPr>
            <w:r>
              <w:rPr>
                <w:rFonts w:hint="eastAsia"/>
                <w:b/>
                <w:bCs/>
              </w:rPr>
              <w:t>复合肥（吨）</w:t>
            </w:r>
          </w:p>
        </w:tc>
      </w:tr>
      <w:tr w14:paraId="47805B7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21AD0386">
            <w:pPr>
              <w:pStyle w:val="11"/>
              <w:bidi w:val="0"/>
              <w:jc w:val="center"/>
              <w:rPr>
                <w:rFonts w:hint="eastAsia"/>
                <w:lang w:eastAsia="zh-CN"/>
              </w:rPr>
            </w:pPr>
            <w:r>
              <w:rPr>
                <w:rFonts w:hint="eastAsia"/>
              </w:rPr>
              <w:t>合计</w:t>
            </w:r>
          </w:p>
        </w:tc>
        <w:tc>
          <w:tcPr>
            <w:tcW w:w="660" w:type="pct"/>
            <w:vAlign w:val="center"/>
          </w:tcPr>
          <w:p w14:paraId="1DF33971">
            <w:pPr>
              <w:pStyle w:val="11"/>
              <w:bidi w:val="0"/>
              <w:jc w:val="center"/>
              <w:rPr>
                <w:rFonts w:hint="eastAsia"/>
                <w:lang w:eastAsia="zh-CN"/>
              </w:rPr>
            </w:pPr>
            <w:r>
              <w:rPr>
                <w:rFonts w:hint="eastAsia"/>
              </w:rPr>
              <w:t>197</w:t>
            </w:r>
          </w:p>
        </w:tc>
        <w:tc>
          <w:tcPr>
            <w:tcW w:w="660" w:type="pct"/>
            <w:vAlign w:val="center"/>
          </w:tcPr>
          <w:p w14:paraId="717CFBD8">
            <w:pPr>
              <w:pStyle w:val="11"/>
              <w:bidi w:val="0"/>
              <w:jc w:val="center"/>
              <w:rPr>
                <w:rFonts w:hint="eastAsia"/>
                <w:lang w:eastAsia="zh-CN"/>
              </w:rPr>
            </w:pPr>
            <w:r>
              <w:rPr>
                <w:rFonts w:hint="eastAsia"/>
              </w:rPr>
              <w:t>200</w:t>
            </w:r>
          </w:p>
        </w:tc>
        <w:tc>
          <w:tcPr>
            <w:tcW w:w="457" w:type="pct"/>
            <w:vAlign w:val="center"/>
          </w:tcPr>
          <w:p w14:paraId="3A986AB7">
            <w:pPr>
              <w:pStyle w:val="11"/>
              <w:bidi w:val="0"/>
              <w:jc w:val="center"/>
              <w:rPr>
                <w:rFonts w:hint="eastAsia"/>
                <w:lang w:eastAsia="zh-CN"/>
              </w:rPr>
            </w:pPr>
            <w:r>
              <w:rPr>
                <w:rFonts w:hint="eastAsia"/>
              </w:rPr>
              <w:t>208</w:t>
            </w:r>
          </w:p>
        </w:tc>
        <w:tc>
          <w:tcPr>
            <w:tcW w:w="666" w:type="pct"/>
            <w:vAlign w:val="center"/>
          </w:tcPr>
          <w:p w14:paraId="4EA1F44F">
            <w:pPr>
              <w:pStyle w:val="11"/>
              <w:bidi w:val="0"/>
              <w:jc w:val="center"/>
              <w:rPr>
                <w:rFonts w:hint="eastAsia"/>
                <w:lang w:eastAsia="zh-CN"/>
              </w:rPr>
            </w:pPr>
            <w:r>
              <w:rPr>
                <w:rFonts w:hint="eastAsia"/>
              </w:rPr>
              <w:t>16227</w:t>
            </w:r>
          </w:p>
        </w:tc>
        <w:tc>
          <w:tcPr>
            <w:tcW w:w="608" w:type="pct"/>
            <w:vAlign w:val="center"/>
          </w:tcPr>
          <w:p w14:paraId="3D127865">
            <w:pPr>
              <w:pStyle w:val="11"/>
              <w:bidi w:val="0"/>
              <w:jc w:val="center"/>
              <w:rPr>
                <w:rFonts w:hint="eastAsia"/>
                <w:lang w:eastAsia="zh-CN"/>
              </w:rPr>
            </w:pPr>
            <w:r>
              <w:rPr>
                <w:rFonts w:hint="eastAsia"/>
              </w:rPr>
              <w:t>5647</w:t>
            </w:r>
          </w:p>
        </w:tc>
        <w:tc>
          <w:tcPr>
            <w:tcW w:w="463" w:type="pct"/>
            <w:vAlign w:val="center"/>
          </w:tcPr>
          <w:p w14:paraId="0F16D9C3">
            <w:pPr>
              <w:pStyle w:val="11"/>
              <w:bidi w:val="0"/>
              <w:jc w:val="center"/>
              <w:rPr>
                <w:rFonts w:hint="eastAsia"/>
                <w:lang w:eastAsia="zh-CN"/>
              </w:rPr>
            </w:pPr>
            <w:r>
              <w:rPr>
                <w:rFonts w:hint="eastAsia"/>
              </w:rPr>
              <w:t>1334</w:t>
            </w:r>
          </w:p>
        </w:tc>
        <w:tc>
          <w:tcPr>
            <w:tcW w:w="440" w:type="pct"/>
            <w:vAlign w:val="center"/>
          </w:tcPr>
          <w:p w14:paraId="0F4E6F17">
            <w:pPr>
              <w:pStyle w:val="11"/>
              <w:bidi w:val="0"/>
              <w:jc w:val="center"/>
              <w:rPr>
                <w:rFonts w:hint="eastAsia"/>
                <w:lang w:eastAsia="zh-CN"/>
              </w:rPr>
            </w:pPr>
            <w:r>
              <w:rPr>
                <w:rFonts w:hint="eastAsia"/>
              </w:rPr>
              <w:t>2888</w:t>
            </w:r>
          </w:p>
        </w:tc>
        <w:tc>
          <w:tcPr>
            <w:tcW w:w="487" w:type="pct"/>
            <w:vAlign w:val="center"/>
          </w:tcPr>
          <w:p w14:paraId="33C1D093">
            <w:pPr>
              <w:pStyle w:val="11"/>
              <w:bidi w:val="0"/>
              <w:jc w:val="center"/>
              <w:rPr>
                <w:rFonts w:hint="eastAsia"/>
                <w:lang w:eastAsia="zh-CN"/>
              </w:rPr>
            </w:pPr>
            <w:r>
              <w:rPr>
                <w:rFonts w:hint="eastAsia"/>
              </w:rPr>
              <w:t>6358</w:t>
            </w:r>
          </w:p>
        </w:tc>
      </w:tr>
      <w:tr w14:paraId="28646A3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044D5EC7">
            <w:pPr>
              <w:pStyle w:val="11"/>
              <w:bidi w:val="0"/>
              <w:jc w:val="center"/>
              <w:rPr>
                <w:rFonts w:hint="eastAsia"/>
                <w:lang w:eastAsia="zh-CN"/>
              </w:rPr>
            </w:pPr>
            <w:r>
              <w:rPr>
                <w:rFonts w:hint="eastAsia"/>
              </w:rPr>
              <w:t>乌迳镇</w:t>
            </w:r>
          </w:p>
        </w:tc>
        <w:tc>
          <w:tcPr>
            <w:tcW w:w="660" w:type="pct"/>
            <w:vAlign w:val="center"/>
          </w:tcPr>
          <w:p w14:paraId="1414E224">
            <w:pPr>
              <w:pStyle w:val="11"/>
              <w:bidi w:val="0"/>
              <w:jc w:val="center"/>
              <w:rPr>
                <w:rFonts w:hint="eastAsia"/>
                <w:lang w:eastAsia="zh-CN"/>
              </w:rPr>
            </w:pPr>
            <w:r>
              <w:rPr>
                <w:rFonts w:hint="eastAsia"/>
              </w:rPr>
              <w:t>21</w:t>
            </w:r>
          </w:p>
        </w:tc>
        <w:tc>
          <w:tcPr>
            <w:tcW w:w="660" w:type="pct"/>
            <w:vAlign w:val="center"/>
          </w:tcPr>
          <w:p w14:paraId="23CDFCEC">
            <w:pPr>
              <w:pStyle w:val="11"/>
              <w:bidi w:val="0"/>
              <w:jc w:val="center"/>
              <w:rPr>
                <w:rFonts w:hint="eastAsia"/>
                <w:lang w:eastAsia="zh-CN"/>
              </w:rPr>
            </w:pPr>
            <w:r>
              <w:rPr>
                <w:rFonts w:hint="eastAsia"/>
              </w:rPr>
              <w:t>21</w:t>
            </w:r>
          </w:p>
        </w:tc>
        <w:tc>
          <w:tcPr>
            <w:tcW w:w="457" w:type="pct"/>
            <w:vAlign w:val="center"/>
          </w:tcPr>
          <w:p w14:paraId="782D37C9">
            <w:pPr>
              <w:pStyle w:val="11"/>
              <w:bidi w:val="0"/>
              <w:jc w:val="center"/>
              <w:rPr>
                <w:rFonts w:hint="eastAsia"/>
                <w:lang w:eastAsia="zh-CN"/>
              </w:rPr>
            </w:pPr>
            <w:r>
              <w:rPr>
                <w:rFonts w:hint="eastAsia"/>
              </w:rPr>
              <w:t>21</w:t>
            </w:r>
          </w:p>
        </w:tc>
        <w:tc>
          <w:tcPr>
            <w:tcW w:w="666" w:type="pct"/>
            <w:vAlign w:val="center"/>
          </w:tcPr>
          <w:p w14:paraId="085C60A7">
            <w:pPr>
              <w:pStyle w:val="11"/>
              <w:bidi w:val="0"/>
              <w:jc w:val="center"/>
              <w:rPr>
                <w:rFonts w:hint="eastAsia"/>
                <w:lang w:eastAsia="zh-CN"/>
              </w:rPr>
            </w:pPr>
            <w:r>
              <w:rPr>
                <w:rFonts w:hint="eastAsia"/>
              </w:rPr>
              <w:t>1709</w:t>
            </w:r>
          </w:p>
        </w:tc>
        <w:tc>
          <w:tcPr>
            <w:tcW w:w="608" w:type="pct"/>
            <w:vAlign w:val="center"/>
          </w:tcPr>
          <w:p w14:paraId="291E5EAC">
            <w:pPr>
              <w:pStyle w:val="11"/>
              <w:bidi w:val="0"/>
              <w:jc w:val="center"/>
              <w:rPr>
                <w:rFonts w:hint="eastAsia"/>
                <w:lang w:eastAsia="zh-CN"/>
              </w:rPr>
            </w:pPr>
            <w:r>
              <w:rPr>
                <w:rFonts w:hint="eastAsia"/>
              </w:rPr>
              <w:t>580</w:t>
            </w:r>
          </w:p>
        </w:tc>
        <w:tc>
          <w:tcPr>
            <w:tcW w:w="463" w:type="pct"/>
            <w:vAlign w:val="center"/>
          </w:tcPr>
          <w:p w14:paraId="049800C1">
            <w:pPr>
              <w:pStyle w:val="11"/>
              <w:bidi w:val="0"/>
              <w:jc w:val="center"/>
              <w:rPr>
                <w:rFonts w:hint="eastAsia"/>
                <w:lang w:eastAsia="zh-CN"/>
              </w:rPr>
            </w:pPr>
            <w:r>
              <w:rPr>
                <w:rFonts w:hint="eastAsia"/>
              </w:rPr>
              <w:t>141</w:t>
            </w:r>
          </w:p>
        </w:tc>
        <w:tc>
          <w:tcPr>
            <w:tcW w:w="440" w:type="pct"/>
            <w:vAlign w:val="center"/>
          </w:tcPr>
          <w:p w14:paraId="35590741">
            <w:pPr>
              <w:pStyle w:val="11"/>
              <w:bidi w:val="0"/>
              <w:jc w:val="center"/>
              <w:rPr>
                <w:rFonts w:hint="eastAsia"/>
                <w:lang w:eastAsia="zh-CN"/>
              </w:rPr>
            </w:pPr>
            <w:r>
              <w:rPr>
                <w:rFonts w:hint="eastAsia"/>
              </w:rPr>
              <w:t>309</w:t>
            </w:r>
          </w:p>
        </w:tc>
        <w:tc>
          <w:tcPr>
            <w:tcW w:w="487" w:type="pct"/>
            <w:vAlign w:val="center"/>
          </w:tcPr>
          <w:p w14:paraId="7A177FBB">
            <w:pPr>
              <w:pStyle w:val="11"/>
              <w:bidi w:val="0"/>
              <w:jc w:val="center"/>
              <w:rPr>
                <w:rFonts w:hint="eastAsia"/>
                <w:lang w:eastAsia="zh-CN"/>
              </w:rPr>
            </w:pPr>
            <w:r>
              <w:rPr>
                <w:rFonts w:hint="eastAsia"/>
              </w:rPr>
              <w:t>679</w:t>
            </w:r>
          </w:p>
        </w:tc>
      </w:tr>
      <w:tr w14:paraId="53D6256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55E131AC">
            <w:pPr>
              <w:pStyle w:val="11"/>
              <w:bidi w:val="0"/>
              <w:jc w:val="center"/>
              <w:rPr>
                <w:rFonts w:hint="eastAsia"/>
                <w:lang w:eastAsia="zh-CN"/>
              </w:rPr>
            </w:pPr>
            <w:r>
              <w:rPr>
                <w:rFonts w:hint="eastAsia"/>
              </w:rPr>
              <w:t>界址镇</w:t>
            </w:r>
          </w:p>
        </w:tc>
        <w:tc>
          <w:tcPr>
            <w:tcW w:w="660" w:type="pct"/>
            <w:vAlign w:val="center"/>
          </w:tcPr>
          <w:p w14:paraId="31A2AC70">
            <w:pPr>
              <w:pStyle w:val="11"/>
              <w:bidi w:val="0"/>
              <w:jc w:val="center"/>
              <w:rPr>
                <w:rFonts w:hint="eastAsia"/>
                <w:lang w:eastAsia="zh-CN"/>
              </w:rPr>
            </w:pPr>
            <w:r>
              <w:rPr>
                <w:rFonts w:hint="eastAsia"/>
              </w:rPr>
              <w:t>8</w:t>
            </w:r>
          </w:p>
        </w:tc>
        <w:tc>
          <w:tcPr>
            <w:tcW w:w="660" w:type="pct"/>
            <w:vAlign w:val="center"/>
          </w:tcPr>
          <w:p w14:paraId="0DB190A4">
            <w:pPr>
              <w:pStyle w:val="11"/>
              <w:bidi w:val="0"/>
              <w:jc w:val="center"/>
              <w:rPr>
                <w:rFonts w:hint="eastAsia"/>
                <w:lang w:eastAsia="zh-CN"/>
              </w:rPr>
            </w:pPr>
            <w:r>
              <w:rPr>
                <w:rFonts w:hint="eastAsia"/>
              </w:rPr>
              <w:t>8</w:t>
            </w:r>
          </w:p>
        </w:tc>
        <w:tc>
          <w:tcPr>
            <w:tcW w:w="457" w:type="pct"/>
            <w:vAlign w:val="center"/>
          </w:tcPr>
          <w:p w14:paraId="072D1E02">
            <w:pPr>
              <w:pStyle w:val="11"/>
              <w:bidi w:val="0"/>
              <w:jc w:val="center"/>
              <w:rPr>
                <w:rFonts w:hint="eastAsia"/>
                <w:lang w:eastAsia="zh-CN"/>
              </w:rPr>
            </w:pPr>
            <w:r>
              <w:rPr>
                <w:rFonts w:hint="eastAsia"/>
              </w:rPr>
              <w:t>8</w:t>
            </w:r>
          </w:p>
        </w:tc>
        <w:tc>
          <w:tcPr>
            <w:tcW w:w="666" w:type="pct"/>
            <w:vAlign w:val="center"/>
          </w:tcPr>
          <w:p w14:paraId="42B517C1">
            <w:pPr>
              <w:pStyle w:val="11"/>
              <w:bidi w:val="0"/>
              <w:jc w:val="center"/>
              <w:rPr>
                <w:rFonts w:hint="eastAsia"/>
                <w:lang w:eastAsia="zh-CN"/>
              </w:rPr>
            </w:pPr>
            <w:r>
              <w:rPr>
                <w:rFonts w:hint="eastAsia"/>
              </w:rPr>
              <w:t>434</w:t>
            </w:r>
          </w:p>
        </w:tc>
        <w:tc>
          <w:tcPr>
            <w:tcW w:w="608" w:type="pct"/>
            <w:vAlign w:val="center"/>
          </w:tcPr>
          <w:p w14:paraId="54B53961">
            <w:pPr>
              <w:pStyle w:val="11"/>
              <w:bidi w:val="0"/>
              <w:jc w:val="center"/>
              <w:rPr>
                <w:rFonts w:hint="eastAsia"/>
                <w:lang w:eastAsia="zh-CN"/>
              </w:rPr>
            </w:pPr>
            <w:r>
              <w:rPr>
                <w:rFonts w:hint="eastAsia"/>
              </w:rPr>
              <w:t>150</w:t>
            </w:r>
          </w:p>
        </w:tc>
        <w:tc>
          <w:tcPr>
            <w:tcW w:w="463" w:type="pct"/>
            <w:vAlign w:val="center"/>
          </w:tcPr>
          <w:p w14:paraId="5BBB6D9A">
            <w:pPr>
              <w:pStyle w:val="11"/>
              <w:bidi w:val="0"/>
              <w:jc w:val="center"/>
              <w:rPr>
                <w:rFonts w:hint="eastAsia"/>
                <w:lang w:eastAsia="zh-CN"/>
              </w:rPr>
            </w:pPr>
            <w:r>
              <w:rPr>
                <w:rFonts w:hint="eastAsia"/>
              </w:rPr>
              <w:t>41</w:t>
            </w:r>
          </w:p>
        </w:tc>
        <w:tc>
          <w:tcPr>
            <w:tcW w:w="440" w:type="pct"/>
            <w:vAlign w:val="center"/>
          </w:tcPr>
          <w:p w14:paraId="646E70EF">
            <w:pPr>
              <w:pStyle w:val="11"/>
              <w:bidi w:val="0"/>
              <w:jc w:val="center"/>
              <w:rPr>
                <w:rFonts w:hint="eastAsia"/>
                <w:lang w:eastAsia="zh-CN"/>
              </w:rPr>
            </w:pPr>
            <w:r>
              <w:rPr>
                <w:rFonts w:hint="eastAsia"/>
              </w:rPr>
              <w:t>63</w:t>
            </w:r>
          </w:p>
        </w:tc>
        <w:tc>
          <w:tcPr>
            <w:tcW w:w="487" w:type="pct"/>
            <w:vAlign w:val="center"/>
          </w:tcPr>
          <w:p w14:paraId="4C069082">
            <w:pPr>
              <w:pStyle w:val="11"/>
              <w:bidi w:val="0"/>
              <w:jc w:val="center"/>
              <w:rPr>
                <w:rFonts w:hint="eastAsia"/>
                <w:lang w:eastAsia="zh-CN"/>
              </w:rPr>
            </w:pPr>
            <w:r>
              <w:rPr>
                <w:rFonts w:hint="eastAsia"/>
              </w:rPr>
              <w:t>180</w:t>
            </w:r>
          </w:p>
        </w:tc>
      </w:tr>
      <w:tr w14:paraId="2196306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3F4BCAF2">
            <w:pPr>
              <w:pStyle w:val="11"/>
              <w:bidi w:val="0"/>
              <w:jc w:val="center"/>
              <w:rPr>
                <w:rFonts w:hint="eastAsia"/>
                <w:lang w:eastAsia="zh-CN"/>
              </w:rPr>
            </w:pPr>
            <w:r>
              <w:rPr>
                <w:rFonts w:hint="eastAsia"/>
              </w:rPr>
              <w:t>坪田镇</w:t>
            </w:r>
          </w:p>
        </w:tc>
        <w:tc>
          <w:tcPr>
            <w:tcW w:w="660" w:type="pct"/>
            <w:vAlign w:val="center"/>
          </w:tcPr>
          <w:p w14:paraId="14CD1298">
            <w:pPr>
              <w:pStyle w:val="11"/>
              <w:bidi w:val="0"/>
              <w:jc w:val="center"/>
              <w:rPr>
                <w:rFonts w:hint="eastAsia"/>
                <w:lang w:eastAsia="zh-CN"/>
              </w:rPr>
            </w:pPr>
            <w:r>
              <w:rPr>
                <w:rFonts w:hint="eastAsia"/>
              </w:rPr>
              <w:t>14</w:t>
            </w:r>
          </w:p>
        </w:tc>
        <w:tc>
          <w:tcPr>
            <w:tcW w:w="660" w:type="pct"/>
            <w:vAlign w:val="center"/>
          </w:tcPr>
          <w:p w14:paraId="76196347">
            <w:pPr>
              <w:pStyle w:val="11"/>
              <w:bidi w:val="0"/>
              <w:jc w:val="center"/>
              <w:rPr>
                <w:rFonts w:hint="eastAsia"/>
                <w:lang w:eastAsia="zh-CN"/>
              </w:rPr>
            </w:pPr>
            <w:r>
              <w:rPr>
                <w:rFonts w:hint="eastAsia"/>
              </w:rPr>
              <w:t>14</w:t>
            </w:r>
          </w:p>
        </w:tc>
        <w:tc>
          <w:tcPr>
            <w:tcW w:w="457" w:type="pct"/>
            <w:vAlign w:val="center"/>
          </w:tcPr>
          <w:p w14:paraId="45453FDA">
            <w:pPr>
              <w:pStyle w:val="11"/>
              <w:bidi w:val="0"/>
              <w:jc w:val="center"/>
              <w:rPr>
                <w:rFonts w:hint="eastAsia"/>
                <w:lang w:eastAsia="zh-CN"/>
              </w:rPr>
            </w:pPr>
            <w:r>
              <w:rPr>
                <w:rFonts w:hint="eastAsia"/>
              </w:rPr>
              <w:t>14</w:t>
            </w:r>
          </w:p>
        </w:tc>
        <w:tc>
          <w:tcPr>
            <w:tcW w:w="666" w:type="pct"/>
            <w:vAlign w:val="center"/>
          </w:tcPr>
          <w:p w14:paraId="0E28B5B0">
            <w:pPr>
              <w:pStyle w:val="11"/>
              <w:bidi w:val="0"/>
              <w:jc w:val="center"/>
              <w:rPr>
                <w:rFonts w:hint="eastAsia"/>
                <w:lang w:eastAsia="zh-CN"/>
              </w:rPr>
            </w:pPr>
            <w:r>
              <w:rPr>
                <w:rFonts w:hint="eastAsia"/>
              </w:rPr>
              <w:t>955</w:t>
            </w:r>
          </w:p>
        </w:tc>
        <w:tc>
          <w:tcPr>
            <w:tcW w:w="608" w:type="pct"/>
            <w:vAlign w:val="center"/>
          </w:tcPr>
          <w:p w14:paraId="3182DA72">
            <w:pPr>
              <w:pStyle w:val="11"/>
              <w:bidi w:val="0"/>
              <w:jc w:val="center"/>
              <w:rPr>
                <w:rFonts w:hint="eastAsia"/>
                <w:lang w:eastAsia="zh-CN"/>
              </w:rPr>
            </w:pPr>
            <w:r>
              <w:rPr>
                <w:rFonts w:hint="eastAsia"/>
              </w:rPr>
              <w:t>323</w:t>
            </w:r>
          </w:p>
        </w:tc>
        <w:tc>
          <w:tcPr>
            <w:tcW w:w="463" w:type="pct"/>
            <w:vAlign w:val="center"/>
          </w:tcPr>
          <w:p w14:paraId="3B9328D4">
            <w:pPr>
              <w:pStyle w:val="11"/>
              <w:bidi w:val="0"/>
              <w:jc w:val="center"/>
              <w:rPr>
                <w:rFonts w:hint="eastAsia"/>
                <w:lang w:eastAsia="zh-CN"/>
              </w:rPr>
            </w:pPr>
            <w:r>
              <w:rPr>
                <w:rFonts w:hint="eastAsia"/>
              </w:rPr>
              <w:t>81</w:t>
            </w:r>
          </w:p>
        </w:tc>
        <w:tc>
          <w:tcPr>
            <w:tcW w:w="440" w:type="pct"/>
            <w:vAlign w:val="center"/>
          </w:tcPr>
          <w:p w14:paraId="326C8EFB">
            <w:pPr>
              <w:pStyle w:val="11"/>
              <w:bidi w:val="0"/>
              <w:jc w:val="center"/>
              <w:rPr>
                <w:rFonts w:hint="eastAsia"/>
                <w:lang w:eastAsia="zh-CN"/>
              </w:rPr>
            </w:pPr>
            <w:r>
              <w:rPr>
                <w:rFonts w:hint="eastAsia"/>
              </w:rPr>
              <w:t>170</w:t>
            </w:r>
          </w:p>
        </w:tc>
        <w:tc>
          <w:tcPr>
            <w:tcW w:w="487" w:type="pct"/>
            <w:vAlign w:val="center"/>
          </w:tcPr>
          <w:p w14:paraId="6E383FFC">
            <w:pPr>
              <w:pStyle w:val="11"/>
              <w:bidi w:val="0"/>
              <w:jc w:val="center"/>
              <w:rPr>
                <w:rFonts w:hint="eastAsia"/>
                <w:lang w:eastAsia="zh-CN"/>
              </w:rPr>
            </w:pPr>
            <w:r>
              <w:rPr>
                <w:rFonts w:hint="eastAsia"/>
              </w:rPr>
              <w:t>381</w:t>
            </w:r>
          </w:p>
        </w:tc>
      </w:tr>
      <w:tr w14:paraId="24A567D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133B18AA">
            <w:pPr>
              <w:pStyle w:val="11"/>
              <w:bidi w:val="0"/>
              <w:jc w:val="center"/>
              <w:rPr>
                <w:rFonts w:hint="eastAsia"/>
                <w:lang w:eastAsia="zh-CN"/>
              </w:rPr>
            </w:pPr>
            <w:r>
              <w:rPr>
                <w:rFonts w:hint="eastAsia"/>
              </w:rPr>
              <w:t>黄坑镇</w:t>
            </w:r>
          </w:p>
        </w:tc>
        <w:tc>
          <w:tcPr>
            <w:tcW w:w="660" w:type="pct"/>
            <w:vAlign w:val="center"/>
          </w:tcPr>
          <w:p w14:paraId="42FEDE07">
            <w:pPr>
              <w:pStyle w:val="11"/>
              <w:bidi w:val="0"/>
              <w:jc w:val="center"/>
              <w:rPr>
                <w:rFonts w:hint="eastAsia"/>
                <w:lang w:eastAsia="zh-CN"/>
              </w:rPr>
            </w:pPr>
            <w:r>
              <w:rPr>
                <w:rFonts w:hint="eastAsia"/>
              </w:rPr>
              <w:t>10</w:t>
            </w:r>
          </w:p>
        </w:tc>
        <w:tc>
          <w:tcPr>
            <w:tcW w:w="660" w:type="pct"/>
            <w:vAlign w:val="center"/>
          </w:tcPr>
          <w:p w14:paraId="72765858">
            <w:pPr>
              <w:pStyle w:val="11"/>
              <w:bidi w:val="0"/>
              <w:jc w:val="center"/>
              <w:rPr>
                <w:rFonts w:hint="eastAsia"/>
                <w:lang w:eastAsia="zh-CN"/>
              </w:rPr>
            </w:pPr>
            <w:r>
              <w:rPr>
                <w:rFonts w:hint="eastAsia"/>
              </w:rPr>
              <w:t>10</w:t>
            </w:r>
          </w:p>
        </w:tc>
        <w:tc>
          <w:tcPr>
            <w:tcW w:w="457" w:type="pct"/>
            <w:vAlign w:val="center"/>
          </w:tcPr>
          <w:p w14:paraId="4B9ACDDF">
            <w:pPr>
              <w:pStyle w:val="11"/>
              <w:bidi w:val="0"/>
              <w:jc w:val="center"/>
              <w:rPr>
                <w:rFonts w:hint="eastAsia"/>
                <w:lang w:eastAsia="zh-CN"/>
              </w:rPr>
            </w:pPr>
            <w:r>
              <w:rPr>
                <w:rFonts w:hint="eastAsia"/>
              </w:rPr>
              <w:t>10</w:t>
            </w:r>
          </w:p>
        </w:tc>
        <w:tc>
          <w:tcPr>
            <w:tcW w:w="666" w:type="pct"/>
            <w:vAlign w:val="center"/>
          </w:tcPr>
          <w:p w14:paraId="0B600A34">
            <w:pPr>
              <w:pStyle w:val="11"/>
              <w:bidi w:val="0"/>
              <w:jc w:val="center"/>
              <w:rPr>
                <w:rFonts w:hint="eastAsia"/>
                <w:lang w:eastAsia="zh-CN"/>
              </w:rPr>
            </w:pPr>
            <w:r>
              <w:rPr>
                <w:rFonts w:hint="eastAsia"/>
              </w:rPr>
              <w:t>1168</w:t>
            </w:r>
          </w:p>
        </w:tc>
        <w:tc>
          <w:tcPr>
            <w:tcW w:w="608" w:type="pct"/>
            <w:vAlign w:val="center"/>
          </w:tcPr>
          <w:p w14:paraId="081C7D7A">
            <w:pPr>
              <w:pStyle w:val="11"/>
              <w:bidi w:val="0"/>
              <w:jc w:val="center"/>
              <w:rPr>
                <w:rFonts w:hint="eastAsia"/>
                <w:lang w:eastAsia="zh-CN"/>
              </w:rPr>
            </w:pPr>
            <w:r>
              <w:rPr>
                <w:rFonts w:hint="eastAsia"/>
              </w:rPr>
              <w:t>416</w:t>
            </w:r>
          </w:p>
        </w:tc>
        <w:tc>
          <w:tcPr>
            <w:tcW w:w="463" w:type="pct"/>
            <w:vAlign w:val="center"/>
          </w:tcPr>
          <w:p w14:paraId="719CA8F8">
            <w:pPr>
              <w:pStyle w:val="11"/>
              <w:bidi w:val="0"/>
              <w:jc w:val="center"/>
              <w:rPr>
                <w:rFonts w:hint="eastAsia"/>
                <w:lang w:eastAsia="zh-CN"/>
              </w:rPr>
            </w:pPr>
            <w:r>
              <w:rPr>
                <w:rFonts w:hint="eastAsia"/>
              </w:rPr>
              <w:t>87</w:t>
            </w:r>
          </w:p>
        </w:tc>
        <w:tc>
          <w:tcPr>
            <w:tcW w:w="440" w:type="pct"/>
            <w:vAlign w:val="center"/>
          </w:tcPr>
          <w:p w14:paraId="49922EE3">
            <w:pPr>
              <w:pStyle w:val="11"/>
              <w:bidi w:val="0"/>
              <w:jc w:val="center"/>
              <w:rPr>
                <w:rFonts w:hint="eastAsia"/>
                <w:lang w:eastAsia="zh-CN"/>
              </w:rPr>
            </w:pPr>
            <w:r>
              <w:rPr>
                <w:rFonts w:hint="eastAsia"/>
              </w:rPr>
              <w:t>203</w:t>
            </w:r>
          </w:p>
        </w:tc>
        <w:tc>
          <w:tcPr>
            <w:tcW w:w="487" w:type="pct"/>
            <w:vAlign w:val="center"/>
          </w:tcPr>
          <w:p w14:paraId="76D39138">
            <w:pPr>
              <w:pStyle w:val="11"/>
              <w:bidi w:val="0"/>
              <w:jc w:val="center"/>
              <w:rPr>
                <w:rFonts w:hint="eastAsia"/>
                <w:lang w:eastAsia="zh-CN"/>
              </w:rPr>
            </w:pPr>
            <w:r>
              <w:rPr>
                <w:rFonts w:hint="eastAsia"/>
              </w:rPr>
              <w:t>462</w:t>
            </w:r>
          </w:p>
        </w:tc>
      </w:tr>
      <w:tr w14:paraId="75CC793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5E1DD8CE">
            <w:pPr>
              <w:pStyle w:val="11"/>
              <w:bidi w:val="0"/>
              <w:jc w:val="center"/>
              <w:rPr>
                <w:rFonts w:hint="eastAsia"/>
                <w:lang w:eastAsia="zh-CN"/>
              </w:rPr>
            </w:pPr>
            <w:r>
              <w:rPr>
                <w:rFonts w:hint="eastAsia"/>
              </w:rPr>
              <w:t>邓坊镇</w:t>
            </w:r>
          </w:p>
        </w:tc>
        <w:tc>
          <w:tcPr>
            <w:tcW w:w="660" w:type="pct"/>
            <w:vAlign w:val="center"/>
          </w:tcPr>
          <w:p w14:paraId="24A5E8D3">
            <w:pPr>
              <w:pStyle w:val="11"/>
              <w:bidi w:val="0"/>
              <w:jc w:val="center"/>
              <w:rPr>
                <w:rFonts w:hint="eastAsia"/>
                <w:lang w:eastAsia="zh-CN"/>
              </w:rPr>
            </w:pPr>
            <w:r>
              <w:rPr>
                <w:rFonts w:hint="eastAsia"/>
              </w:rPr>
              <w:t>6</w:t>
            </w:r>
          </w:p>
        </w:tc>
        <w:tc>
          <w:tcPr>
            <w:tcW w:w="660" w:type="pct"/>
            <w:vAlign w:val="center"/>
          </w:tcPr>
          <w:p w14:paraId="053B0534">
            <w:pPr>
              <w:pStyle w:val="11"/>
              <w:bidi w:val="0"/>
              <w:jc w:val="center"/>
              <w:rPr>
                <w:rFonts w:hint="eastAsia"/>
                <w:lang w:eastAsia="zh-CN"/>
              </w:rPr>
            </w:pPr>
            <w:r>
              <w:rPr>
                <w:rFonts w:hint="eastAsia"/>
              </w:rPr>
              <w:t>6</w:t>
            </w:r>
          </w:p>
        </w:tc>
        <w:tc>
          <w:tcPr>
            <w:tcW w:w="457" w:type="pct"/>
            <w:vAlign w:val="center"/>
          </w:tcPr>
          <w:p w14:paraId="01ADFD9C">
            <w:pPr>
              <w:pStyle w:val="11"/>
              <w:bidi w:val="0"/>
              <w:jc w:val="center"/>
              <w:rPr>
                <w:rFonts w:hint="eastAsia"/>
                <w:lang w:eastAsia="zh-CN"/>
              </w:rPr>
            </w:pPr>
            <w:r>
              <w:rPr>
                <w:rFonts w:hint="eastAsia"/>
              </w:rPr>
              <w:t>9</w:t>
            </w:r>
          </w:p>
        </w:tc>
        <w:tc>
          <w:tcPr>
            <w:tcW w:w="666" w:type="pct"/>
            <w:vAlign w:val="center"/>
          </w:tcPr>
          <w:p w14:paraId="5A12421E">
            <w:pPr>
              <w:pStyle w:val="11"/>
              <w:bidi w:val="0"/>
              <w:jc w:val="center"/>
              <w:rPr>
                <w:rFonts w:hint="eastAsia"/>
                <w:lang w:eastAsia="zh-CN"/>
              </w:rPr>
            </w:pPr>
            <w:r>
              <w:rPr>
                <w:rFonts w:hint="eastAsia"/>
              </w:rPr>
              <w:t>806</w:t>
            </w:r>
          </w:p>
        </w:tc>
        <w:tc>
          <w:tcPr>
            <w:tcW w:w="608" w:type="pct"/>
            <w:vAlign w:val="center"/>
          </w:tcPr>
          <w:p w14:paraId="2C2240FC">
            <w:pPr>
              <w:pStyle w:val="11"/>
              <w:bidi w:val="0"/>
              <w:jc w:val="center"/>
              <w:rPr>
                <w:rFonts w:hint="eastAsia"/>
                <w:lang w:eastAsia="zh-CN"/>
              </w:rPr>
            </w:pPr>
            <w:r>
              <w:rPr>
                <w:rFonts w:hint="eastAsia"/>
              </w:rPr>
              <w:t>288</w:t>
            </w:r>
          </w:p>
        </w:tc>
        <w:tc>
          <w:tcPr>
            <w:tcW w:w="463" w:type="pct"/>
            <w:vAlign w:val="center"/>
          </w:tcPr>
          <w:p w14:paraId="22566A36">
            <w:pPr>
              <w:pStyle w:val="11"/>
              <w:bidi w:val="0"/>
              <w:jc w:val="center"/>
              <w:rPr>
                <w:rFonts w:hint="eastAsia"/>
                <w:lang w:eastAsia="zh-CN"/>
              </w:rPr>
            </w:pPr>
            <w:r>
              <w:rPr>
                <w:rFonts w:hint="eastAsia"/>
              </w:rPr>
              <w:t>58</w:t>
            </w:r>
          </w:p>
        </w:tc>
        <w:tc>
          <w:tcPr>
            <w:tcW w:w="440" w:type="pct"/>
            <w:vAlign w:val="center"/>
          </w:tcPr>
          <w:p w14:paraId="1FC90848">
            <w:pPr>
              <w:pStyle w:val="11"/>
              <w:bidi w:val="0"/>
              <w:jc w:val="center"/>
              <w:rPr>
                <w:rFonts w:hint="eastAsia"/>
                <w:lang w:eastAsia="zh-CN"/>
              </w:rPr>
            </w:pPr>
            <w:r>
              <w:rPr>
                <w:rFonts w:hint="eastAsia"/>
              </w:rPr>
              <w:t>150</w:t>
            </w:r>
          </w:p>
        </w:tc>
        <w:tc>
          <w:tcPr>
            <w:tcW w:w="487" w:type="pct"/>
            <w:vAlign w:val="center"/>
          </w:tcPr>
          <w:p w14:paraId="54ADD57F">
            <w:pPr>
              <w:pStyle w:val="11"/>
              <w:bidi w:val="0"/>
              <w:jc w:val="center"/>
              <w:rPr>
                <w:rFonts w:hint="eastAsia"/>
                <w:lang w:eastAsia="zh-CN"/>
              </w:rPr>
            </w:pPr>
            <w:r>
              <w:rPr>
                <w:rFonts w:hint="eastAsia"/>
              </w:rPr>
              <w:t>310</w:t>
            </w:r>
          </w:p>
        </w:tc>
      </w:tr>
      <w:tr w14:paraId="66F3148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403F2BFC">
            <w:pPr>
              <w:pStyle w:val="11"/>
              <w:bidi w:val="0"/>
              <w:jc w:val="center"/>
              <w:rPr>
                <w:rFonts w:hint="eastAsia"/>
                <w:lang w:eastAsia="zh-CN"/>
              </w:rPr>
            </w:pPr>
            <w:r>
              <w:rPr>
                <w:rFonts w:hint="eastAsia"/>
              </w:rPr>
              <w:t>油山镇</w:t>
            </w:r>
          </w:p>
        </w:tc>
        <w:tc>
          <w:tcPr>
            <w:tcW w:w="660" w:type="pct"/>
            <w:vAlign w:val="center"/>
          </w:tcPr>
          <w:p w14:paraId="57952A7C">
            <w:pPr>
              <w:pStyle w:val="11"/>
              <w:bidi w:val="0"/>
              <w:jc w:val="center"/>
              <w:rPr>
                <w:rFonts w:hint="eastAsia"/>
                <w:lang w:eastAsia="zh-CN"/>
              </w:rPr>
            </w:pPr>
            <w:r>
              <w:rPr>
                <w:rFonts w:hint="eastAsia"/>
              </w:rPr>
              <w:t>14</w:t>
            </w:r>
          </w:p>
        </w:tc>
        <w:tc>
          <w:tcPr>
            <w:tcW w:w="660" w:type="pct"/>
            <w:vAlign w:val="center"/>
          </w:tcPr>
          <w:p w14:paraId="121408FA">
            <w:pPr>
              <w:pStyle w:val="11"/>
              <w:bidi w:val="0"/>
              <w:jc w:val="center"/>
              <w:rPr>
                <w:rFonts w:hint="eastAsia"/>
                <w:lang w:eastAsia="zh-CN"/>
              </w:rPr>
            </w:pPr>
            <w:r>
              <w:rPr>
                <w:rFonts w:hint="eastAsia"/>
              </w:rPr>
              <w:t>17</w:t>
            </w:r>
          </w:p>
        </w:tc>
        <w:tc>
          <w:tcPr>
            <w:tcW w:w="457" w:type="pct"/>
            <w:vAlign w:val="center"/>
          </w:tcPr>
          <w:p w14:paraId="1916F875">
            <w:pPr>
              <w:pStyle w:val="11"/>
              <w:bidi w:val="0"/>
              <w:jc w:val="center"/>
              <w:rPr>
                <w:rFonts w:hint="eastAsia"/>
                <w:lang w:eastAsia="zh-CN"/>
              </w:rPr>
            </w:pPr>
            <w:r>
              <w:rPr>
                <w:rFonts w:hint="eastAsia"/>
              </w:rPr>
              <w:t>17</w:t>
            </w:r>
          </w:p>
        </w:tc>
        <w:tc>
          <w:tcPr>
            <w:tcW w:w="666" w:type="pct"/>
            <w:vAlign w:val="center"/>
          </w:tcPr>
          <w:p w14:paraId="251FEC98">
            <w:pPr>
              <w:pStyle w:val="11"/>
              <w:bidi w:val="0"/>
              <w:jc w:val="center"/>
              <w:rPr>
                <w:rFonts w:hint="eastAsia"/>
                <w:lang w:eastAsia="zh-CN"/>
              </w:rPr>
            </w:pPr>
            <w:r>
              <w:rPr>
                <w:rFonts w:hint="eastAsia"/>
              </w:rPr>
              <w:t>1247</w:t>
            </w:r>
          </w:p>
        </w:tc>
        <w:tc>
          <w:tcPr>
            <w:tcW w:w="608" w:type="pct"/>
            <w:vAlign w:val="center"/>
          </w:tcPr>
          <w:p w14:paraId="344262D2">
            <w:pPr>
              <w:pStyle w:val="11"/>
              <w:bidi w:val="0"/>
              <w:jc w:val="center"/>
              <w:rPr>
                <w:rFonts w:hint="eastAsia"/>
                <w:lang w:eastAsia="zh-CN"/>
              </w:rPr>
            </w:pPr>
            <w:r>
              <w:rPr>
                <w:rFonts w:hint="eastAsia"/>
              </w:rPr>
              <w:t>439</w:t>
            </w:r>
          </w:p>
        </w:tc>
        <w:tc>
          <w:tcPr>
            <w:tcW w:w="463" w:type="pct"/>
            <w:vAlign w:val="center"/>
          </w:tcPr>
          <w:p w14:paraId="04C42E1E">
            <w:pPr>
              <w:pStyle w:val="11"/>
              <w:bidi w:val="0"/>
              <w:jc w:val="center"/>
              <w:rPr>
                <w:rFonts w:hint="eastAsia"/>
                <w:lang w:eastAsia="zh-CN"/>
              </w:rPr>
            </w:pPr>
            <w:r>
              <w:rPr>
                <w:rFonts w:hint="eastAsia"/>
              </w:rPr>
              <w:t>117</w:t>
            </w:r>
          </w:p>
        </w:tc>
        <w:tc>
          <w:tcPr>
            <w:tcW w:w="440" w:type="pct"/>
            <w:vAlign w:val="center"/>
          </w:tcPr>
          <w:p w14:paraId="68D060C2">
            <w:pPr>
              <w:pStyle w:val="11"/>
              <w:bidi w:val="0"/>
              <w:jc w:val="center"/>
              <w:rPr>
                <w:rFonts w:hint="eastAsia"/>
                <w:lang w:eastAsia="zh-CN"/>
              </w:rPr>
            </w:pPr>
            <w:r>
              <w:rPr>
                <w:rFonts w:hint="eastAsia"/>
              </w:rPr>
              <w:t>210</w:t>
            </w:r>
          </w:p>
        </w:tc>
        <w:tc>
          <w:tcPr>
            <w:tcW w:w="487" w:type="pct"/>
            <w:vAlign w:val="center"/>
          </w:tcPr>
          <w:p w14:paraId="18943ADE">
            <w:pPr>
              <w:pStyle w:val="11"/>
              <w:bidi w:val="0"/>
              <w:jc w:val="center"/>
              <w:rPr>
                <w:rFonts w:hint="eastAsia"/>
                <w:lang w:eastAsia="zh-CN"/>
              </w:rPr>
            </w:pPr>
            <w:r>
              <w:rPr>
                <w:rFonts w:hint="eastAsia"/>
              </w:rPr>
              <w:t>481</w:t>
            </w:r>
          </w:p>
        </w:tc>
      </w:tr>
      <w:tr w14:paraId="7E1E129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221ACD89">
            <w:pPr>
              <w:pStyle w:val="11"/>
              <w:bidi w:val="0"/>
              <w:jc w:val="center"/>
              <w:rPr>
                <w:rFonts w:hint="eastAsia"/>
                <w:lang w:eastAsia="zh-CN"/>
              </w:rPr>
            </w:pPr>
            <w:r>
              <w:rPr>
                <w:rFonts w:hint="eastAsia"/>
              </w:rPr>
              <w:t>南亩镇</w:t>
            </w:r>
          </w:p>
        </w:tc>
        <w:tc>
          <w:tcPr>
            <w:tcW w:w="660" w:type="pct"/>
            <w:vAlign w:val="center"/>
          </w:tcPr>
          <w:p w14:paraId="7E158799">
            <w:pPr>
              <w:pStyle w:val="11"/>
              <w:bidi w:val="0"/>
              <w:jc w:val="center"/>
              <w:rPr>
                <w:rFonts w:hint="eastAsia"/>
                <w:lang w:eastAsia="zh-CN"/>
              </w:rPr>
            </w:pPr>
            <w:r>
              <w:rPr>
                <w:rFonts w:hint="eastAsia"/>
              </w:rPr>
              <w:t>11</w:t>
            </w:r>
          </w:p>
        </w:tc>
        <w:tc>
          <w:tcPr>
            <w:tcW w:w="660" w:type="pct"/>
            <w:vAlign w:val="center"/>
          </w:tcPr>
          <w:p w14:paraId="53843DEF">
            <w:pPr>
              <w:pStyle w:val="11"/>
              <w:bidi w:val="0"/>
              <w:jc w:val="center"/>
              <w:rPr>
                <w:rFonts w:hint="eastAsia"/>
                <w:lang w:eastAsia="zh-CN"/>
              </w:rPr>
            </w:pPr>
            <w:r>
              <w:rPr>
                <w:rFonts w:hint="eastAsia"/>
              </w:rPr>
              <w:t>11</w:t>
            </w:r>
          </w:p>
        </w:tc>
        <w:tc>
          <w:tcPr>
            <w:tcW w:w="457" w:type="pct"/>
            <w:vAlign w:val="center"/>
          </w:tcPr>
          <w:p w14:paraId="53DB3391">
            <w:pPr>
              <w:pStyle w:val="11"/>
              <w:bidi w:val="0"/>
              <w:jc w:val="center"/>
              <w:rPr>
                <w:rFonts w:hint="eastAsia"/>
                <w:lang w:eastAsia="zh-CN"/>
              </w:rPr>
            </w:pPr>
            <w:r>
              <w:rPr>
                <w:rFonts w:hint="eastAsia"/>
              </w:rPr>
              <w:t>11</w:t>
            </w:r>
          </w:p>
        </w:tc>
        <w:tc>
          <w:tcPr>
            <w:tcW w:w="666" w:type="pct"/>
            <w:vAlign w:val="center"/>
          </w:tcPr>
          <w:p w14:paraId="632D4C2C">
            <w:pPr>
              <w:pStyle w:val="11"/>
              <w:bidi w:val="0"/>
              <w:jc w:val="center"/>
              <w:rPr>
                <w:rFonts w:hint="eastAsia"/>
                <w:lang w:eastAsia="zh-CN"/>
              </w:rPr>
            </w:pPr>
            <w:r>
              <w:rPr>
                <w:rFonts w:hint="eastAsia"/>
              </w:rPr>
              <w:t>594</w:t>
            </w:r>
          </w:p>
        </w:tc>
        <w:tc>
          <w:tcPr>
            <w:tcW w:w="608" w:type="pct"/>
            <w:vAlign w:val="center"/>
          </w:tcPr>
          <w:p w14:paraId="4F63245A">
            <w:pPr>
              <w:pStyle w:val="11"/>
              <w:bidi w:val="0"/>
              <w:jc w:val="center"/>
              <w:rPr>
                <w:rFonts w:hint="eastAsia"/>
                <w:lang w:eastAsia="zh-CN"/>
              </w:rPr>
            </w:pPr>
            <w:r>
              <w:rPr>
                <w:rFonts w:hint="eastAsia"/>
              </w:rPr>
              <w:t>210</w:t>
            </w:r>
          </w:p>
        </w:tc>
        <w:tc>
          <w:tcPr>
            <w:tcW w:w="463" w:type="pct"/>
            <w:vAlign w:val="center"/>
          </w:tcPr>
          <w:p w14:paraId="41E37AF7">
            <w:pPr>
              <w:pStyle w:val="11"/>
              <w:bidi w:val="0"/>
              <w:jc w:val="center"/>
              <w:rPr>
                <w:rFonts w:hint="eastAsia"/>
                <w:lang w:eastAsia="zh-CN"/>
              </w:rPr>
            </w:pPr>
            <w:r>
              <w:rPr>
                <w:rFonts w:hint="eastAsia"/>
              </w:rPr>
              <w:t>46</w:t>
            </w:r>
          </w:p>
        </w:tc>
        <w:tc>
          <w:tcPr>
            <w:tcW w:w="440" w:type="pct"/>
            <w:vAlign w:val="center"/>
          </w:tcPr>
          <w:p w14:paraId="3C259EE3">
            <w:pPr>
              <w:pStyle w:val="11"/>
              <w:bidi w:val="0"/>
              <w:jc w:val="center"/>
              <w:rPr>
                <w:rFonts w:hint="eastAsia"/>
                <w:lang w:eastAsia="zh-CN"/>
              </w:rPr>
            </w:pPr>
            <w:r>
              <w:rPr>
                <w:rFonts w:hint="eastAsia"/>
              </w:rPr>
              <w:t>99</w:t>
            </w:r>
          </w:p>
        </w:tc>
        <w:tc>
          <w:tcPr>
            <w:tcW w:w="487" w:type="pct"/>
            <w:vAlign w:val="center"/>
          </w:tcPr>
          <w:p w14:paraId="6FAC6EC1">
            <w:pPr>
              <w:pStyle w:val="11"/>
              <w:bidi w:val="0"/>
              <w:jc w:val="center"/>
              <w:rPr>
                <w:rFonts w:hint="eastAsia"/>
                <w:lang w:eastAsia="zh-CN"/>
              </w:rPr>
            </w:pPr>
            <w:r>
              <w:rPr>
                <w:rFonts w:hint="eastAsia"/>
              </w:rPr>
              <w:t>239</w:t>
            </w:r>
          </w:p>
        </w:tc>
      </w:tr>
      <w:tr w14:paraId="353B888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37F380EE">
            <w:pPr>
              <w:pStyle w:val="11"/>
              <w:bidi w:val="0"/>
              <w:jc w:val="center"/>
              <w:rPr>
                <w:rFonts w:hint="eastAsia"/>
                <w:lang w:eastAsia="zh-CN"/>
              </w:rPr>
            </w:pPr>
            <w:r>
              <w:rPr>
                <w:rFonts w:hint="eastAsia"/>
              </w:rPr>
              <w:t>水口镇</w:t>
            </w:r>
          </w:p>
        </w:tc>
        <w:tc>
          <w:tcPr>
            <w:tcW w:w="660" w:type="pct"/>
            <w:vAlign w:val="center"/>
          </w:tcPr>
          <w:p w14:paraId="6ED9D2A4">
            <w:pPr>
              <w:pStyle w:val="11"/>
              <w:bidi w:val="0"/>
              <w:jc w:val="center"/>
              <w:rPr>
                <w:rFonts w:hint="eastAsia"/>
                <w:lang w:eastAsia="zh-CN"/>
              </w:rPr>
            </w:pPr>
            <w:r>
              <w:rPr>
                <w:rFonts w:hint="eastAsia"/>
              </w:rPr>
              <w:t>13</w:t>
            </w:r>
          </w:p>
        </w:tc>
        <w:tc>
          <w:tcPr>
            <w:tcW w:w="660" w:type="pct"/>
            <w:vAlign w:val="center"/>
          </w:tcPr>
          <w:p w14:paraId="0945B0AD">
            <w:pPr>
              <w:pStyle w:val="11"/>
              <w:bidi w:val="0"/>
              <w:jc w:val="center"/>
              <w:rPr>
                <w:rFonts w:hint="eastAsia"/>
                <w:lang w:eastAsia="zh-CN"/>
              </w:rPr>
            </w:pPr>
            <w:r>
              <w:rPr>
                <w:rFonts w:hint="eastAsia"/>
              </w:rPr>
              <w:t>12</w:t>
            </w:r>
          </w:p>
        </w:tc>
        <w:tc>
          <w:tcPr>
            <w:tcW w:w="457" w:type="pct"/>
            <w:vAlign w:val="center"/>
          </w:tcPr>
          <w:p w14:paraId="4876D86D">
            <w:pPr>
              <w:pStyle w:val="11"/>
              <w:bidi w:val="0"/>
              <w:jc w:val="center"/>
              <w:rPr>
                <w:rFonts w:hint="eastAsia"/>
                <w:lang w:eastAsia="zh-CN"/>
              </w:rPr>
            </w:pPr>
            <w:r>
              <w:rPr>
                <w:rFonts w:hint="eastAsia"/>
              </w:rPr>
              <w:t>13</w:t>
            </w:r>
          </w:p>
        </w:tc>
        <w:tc>
          <w:tcPr>
            <w:tcW w:w="666" w:type="pct"/>
            <w:vAlign w:val="center"/>
          </w:tcPr>
          <w:p w14:paraId="1A3DBFAB">
            <w:pPr>
              <w:pStyle w:val="11"/>
              <w:bidi w:val="0"/>
              <w:jc w:val="center"/>
              <w:rPr>
                <w:rFonts w:hint="eastAsia"/>
                <w:lang w:eastAsia="zh-CN"/>
              </w:rPr>
            </w:pPr>
            <w:r>
              <w:rPr>
                <w:rFonts w:hint="eastAsia"/>
              </w:rPr>
              <w:t>761</w:t>
            </w:r>
          </w:p>
        </w:tc>
        <w:tc>
          <w:tcPr>
            <w:tcW w:w="608" w:type="pct"/>
            <w:vAlign w:val="center"/>
          </w:tcPr>
          <w:p w14:paraId="7C2C93AC">
            <w:pPr>
              <w:pStyle w:val="11"/>
              <w:bidi w:val="0"/>
              <w:jc w:val="center"/>
              <w:rPr>
                <w:rFonts w:hint="eastAsia"/>
                <w:lang w:eastAsia="zh-CN"/>
              </w:rPr>
            </w:pPr>
            <w:r>
              <w:rPr>
                <w:rFonts w:hint="eastAsia"/>
              </w:rPr>
              <w:t>244</w:t>
            </w:r>
          </w:p>
        </w:tc>
        <w:tc>
          <w:tcPr>
            <w:tcW w:w="463" w:type="pct"/>
            <w:vAlign w:val="center"/>
          </w:tcPr>
          <w:p w14:paraId="51B8116E">
            <w:pPr>
              <w:pStyle w:val="11"/>
              <w:bidi w:val="0"/>
              <w:jc w:val="center"/>
              <w:rPr>
                <w:rFonts w:hint="eastAsia"/>
                <w:lang w:eastAsia="zh-CN"/>
              </w:rPr>
            </w:pPr>
            <w:r>
              <w:rPr>
                <w:rFonts w:hint="eastAsia"/>
              </w:rPr>
              <w:t>48</w:t>
            </w:r>
          </w:p>
        </w:tc>
        <w:tc>
          <w:tcPr>
            <w:tcW w:w="440" w:type="pct"/>
            <w:vAlign w:val="center"/>
          </w:tcPr>
          <w:p w14:paraId="2D569D74">
            <w:pPr>
              <w:pStyle w:val="11"/>
              <w:bidi w:val="0"/>
              <w:jc w:val="center"/>
              <w:rPr>
                <w:rFonts w:hint="eastAsia"/>
                <w:lang w:eastAsia="zh-CN"/>
              </w:rPr>
            </w:pPr>
            <w:r>
              <w:rPr>
                <w:rFonts w:hint="eastAsia"/>
              </w:rPr>
              <w:t>136</w:t>
            </w:r>
          </w:p>
        </w:tc>
        <w:tc>
          <w:tcPr>
            <w:tcW w:w="487" w:type="pct"/>
            <w:vAlign w:val="center"/>
          </w:tcPr>
          <w:p w14:paraId="5351A2D7">
            <w:pPr>
              <w:pStyle w:val="11"/>
              <w:bidi w:val="0"/>
              <w:jc w:val="center"/>
              <w:rPr>
                <w:rFonts w:hint="eastAsia"/>
                <w:lang w:eastAsia="zh-CN"/>
              </w:rPr>
            </w:pPr>
            <w:r>
              <w:rPr>
                <w:rFonts w:hint="eastAsia"/>
              </w:rPr>
              <w:t>333</w:t>
            </w:r>
          </w:p>
        </w:tc>
      </w:tr>
      <w:tr w14:paraId="5B102B3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17A75FC1">
            <w:pPr>
              <w:pStyle w:val="11"/>
              <w:bidi w:val="0"/>
              <w:jc w:val="center"/>
              <w:rPr>
                <w:rFonts w:hint="eastAsia"/>
                <w:lang w:eastAsia="zh-CN"/>
              </w:rPr>
            </w:pPr>
            <w:r>
              <w:rPr>
                <w:rFonts w:hint="eastAsia"/>
              </w:rPr>
              <w:t>江头镇</w:t>
            </w:r>
          </w:p>
        </w:tc>
        <w:tc>
          <w:tcPr>
            <w:tcW w:w="660" w:type="pct"/>
            <w:vAlign w:val="center"/>
          </w:tcPr>
          <w:p w14:paraId="28F2939B">
            <w:pPr>
              <w:pStyle w:val="11"/>
              <w:bidi w:val="0"/>
              <w:jc w:val="center"/>
              <w:rPr>
                <w:rFonts w:hint="eastAsia"/>
                <w:lang w:eastAsia="zh-CN"/>
              </w:rPr>
            </w:pPr>
            <w:r>
              <w:rPr>
                <w:rFonts w:hint="eastAsia"/>
              </w:rPr>
              <w:t>9</w:t>
            </w:r>
          </w:p>
        </w:tc>
        <w:tc>
          <w:tcPr>
            <w:tcW w:w="660" w:type="pct"/>
            <w:vAlign w:val="center"/>
          </w:tcPr>
          <w:p w14:paraId="2129ED6A">
            <w:pPr>
              <w:pStyle w:val="11"/>
              <w:bidi w:val="0"/>
              <w:jc w:val="center"/>
              <w:rPr>
                <w:rFonts w:hint="eastAsia"/>
                <w:lang w:eastAsia="zh-CN"/>
              </w:rPr>
            </w:pPr>
            <w:r>
              <w:rPr>
                <w:rFonts w:hint="eastAsia"/>
              </w:rPr>
              <w:t>5</w:t>
            </w:r>
          </w:p>
        </w:tc>
        <w:tc>
          <w:tcPr>
            <w:tcW w:w="457" w:type="pct"/>
            <w:vAlign w:val="center"/>
          </w:tcPr>
          <w:p w14:paraId="59824B66">
            <w:pPr>
              <w:pStyle w:val="11"/>
              <w:bidi w:val="0"/>
              <w:jc w:val="center"/>
              <w:rPr>
                <w:rFonts w:hint="eastAsia"/>
                <w:lang w:eastAsia="zh-CN"/>
              </w:rPr>
            </w:pPr>
            <w:r>
              <w:rPr>
                <w:rFonts w:hint="eastAsia"/>
              </w:rPr>
              <w:t>9</w:t>
            </w:r>
          </w:p>
        </w:tc>
        <w:tc>
          <w:tcPr>
            <w:tcW w:w="666" w:type="pct"/>
            <w:vAlign w:val="center"/>
          </w:tcPr>
          <w:p w14:paraId="3BD627CC">
            <w:pPr>
              <w:pStyle w:val="11"/>
              <w:bidi w:val="0"/>
              <w:jc w:val="center"/>
              <w:rPr>
                <w:rFonts w:hint="eastAsia"/>
                <w:lang w:eastAsia="zh-CN"/>
              </w:rPr>
            </w:pPr>
            <w:r>
              <w:rPr>
                <w:rFonts w:hint="eastAsia"/>
              </w:rPr>
              <w:t>576</w:t>
            </w:r>
          </w:p>
        </w:tc>
        <w:tc>
          <w:tcPr>
            <w:tcW w:w="608" w:type="pct"/>
            <w:vAlign w:val="center"/>
          </w:tcPr>
          <w:p w14:paraId="0102D1B0">
            <w:pPr>
              <w:pStyle w:val="11"/>
              <w:bidi w:val="0"/>
              <w:jc w:val="center"/>
              <w:rPr>
                <w:rFonts w:hint="eastAsia"/>
                <w:lang w:eastAsia="zh-CN"/>
              </w:rPr>
            </w:pPr>
            <w:r>
              <w:rPr>
                <w:rFonts w:hint="eastAsia"/>
              </w:rPr>
              <w:t>203</w:t>
            </w:r>
          </w:p>
        </w:tc>
        <w:tc>
          <w:tcPr>
            <w:tcW w:w="463" w:type="pct"/>
            <w:vAlign w:val="center"/>
          </w:tcPr>
          <w:p w14:paraId="73ABC84A">
            <w:pPr>
              <w:pStyle w:val="11"/>
              <w:bidi w:val="0"/>
              <w:jc w:val="center"/>
              <w:rPr>
                <w:rFonts w:hint="eastAsia"/>
                <w:lang w:eastAsia="zh-CN"/>
              </w:rPr>
            </w:pPr>
            <w:r>
              <w:rPr>
                <w:rFonts w:hint="eastAsia"/>
              </w:rPr>
              <w:t>47</w:t>
            </w:r>
          </w:p>
        </w:tc>
        <w:tc>
          <w:tcPr>
            <w:tcW w:w="440" w:type="pct"/>
            <w:vAlign w:val="center"/>
          </w:tcPr>
          <w:p w14:paraId="61202061">
            <w:pPr>
              <w:pStyle w:val="11"/>
              <w:bidi w:val="0"/>
              <w:jc w:val="center"/>
              <w:rPr>
                <w:rFonts w:hint="eastAsia"/>
                <w:lang w:eastAsia="zh-CN"/>
              </w:rPr>
            </w:pPr>
            <w:r>
              <w:rPr>
                <w:rFonts w:hint="eastAsia"/>
              </w:rPr>
              <w:t>101</w:t>
            </w:r>
          </w:p>
        </w:tc>
        <w:tc>
          <w:tcPr>
            <w:tcW w:w="487" w:type="pct"/>
            <w:vAlign w:val="center"/>
          </w:tcPr>
          <w:p w14:paraId="448BDD64">
            <w:pPr>
              <w:pStyle w:val="11"/>
              <w:bidi w:val="0"/>
              <w:jc w:val="center"/>
              <w:rPr>
                <w:rFonts w:hint="eastAsia"/>
                <w:lang w:eastAsia="zh-CN"/>
              </w:rPr>
            </w:pPr>
            <w:r>
              <w:rPr>
                <w:rFonts w:hint="eastAsia"/>
              </w:rPr>
              <w:t>225</w:t>
            </w:r>
          </w:p>
        </w:tc>
      </w:tr>
      <w:tr w14:paraId="2BA25FD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56360BA1">
            <w:pPr>
              <w:pStyle w:val="11"/>
              <w:bidi w:val="0"/>
              <w:jc w:val="center"/>
              <w:rPr>
                <w:rFonts w:hint="eastAsia"/>
                <w:lang w:eastAsia="zh-CN"/>
              </w:rPr>
            </w:pPr>
            <w:r>
              <w:rPr>
                <w:rFonts w:hint="eastAsia"/>
              </w:rPr>
              <w:t>湖口镇</w:t>
            </w:r>
          </w:p>
        </w:tc>
        <w:tc>
          <w:tcPr>
            <w:tcW w:w="660" w:type="pct"/>
            <w:vAlign w:val="center"/>
          </w:tcPr>
          <w:p w14:paraId="05BDCC8D">
            <w:pPr>
              <w:pStyle w:val="11"/>
              <w:bidi w:val="0"/>
              <w:jc w:val="center"/>
              <w:rPr>
                <w:rFonts w:hint="eastAsia"/>
                <w:lang w:eastAsia="zh-CN"/>
              </w:rPr>
            </w:pPr>
            <w:r>
              <w:rPr>
                <w:rFonts w:hint="eastAsia"/>
              </w:rPr>
              <w:t>10</w:t>
            </w:r>
          </w:p>
        </w:tc>
        <w:tc>
          <w:tcPr>
            <w:tcW w:w="660" w:type="pct"/>
            <w:vAlign w:val="center"/>
          </w:tcPr>
          <w:p w14:paraId="489FE315">
            <w:pPr>
              <w:pStyle w:val="11"/>
              <w:bidi w:val="0"/>
              <w:jc w:val="center"/>
              <w:rPr>
                <w:rFonts w:hint="eastAsia"/>
                <w:lang w:eastAsia="zh-CN"/>
              </w:rPr>
            </w:pPr>
            <w:r>
              <w:rPr>
                <w:rFonts w:hint="eastAsia"/>
              </w:rPr>
              <w:t>12</w:t>
            </w:r>
          </w:p>
        </w:tc>
        <w:tc>
          <w:tcPr>
            <w:tcW w:w="457" w:type="pct"/>
            <w:vAlign w:val="center"/>
          </w:tcPr>
          <w:p w14:paraId="6C84B126">
            <w:pPr>
              <w:pStyle w:val="11"/>
              <w:bidi w:val="0"/>
              <w:jc w:val="center"/>
              <w:rPr>
                <w:rFonts w:hint="eastAsia"/>
                <w:lang w:eastAsia="zh-CN"/>
              </w:rPr>
            </w:pPr>
            <w:r>
              <w:rPr>
                <w:rFonts w:hint="eastAsia"/>
              </w:rPr>
              <w:t>12</w:t>
            </w:r>
          </w:p>
        </w:tc>
        <w:tc>
          <w:tcPr>
            <w:tcW w:w="666" w:type="pct"/>
            <w:vAlign w:val="center"/>
          </w:tcPr>
          <w:p w14:paraId="69A2E8E0">
            <w:pPr>
              <w:pStyle w:val="11"/>
              <w:bidi w:val="0"/>
              <w:jc w:val="center"/>
              <w:rPr>
                <w:rFonts w:hint="eastAsia"/>
                <w:lang w:eastAsia="zh-CN"/>
              </w:rPr>
            </w:pPr>
            <w:r>
              <w:rPr>
                <w:rFonts w:hint="eastAsia"/>
              </w:rPr>
              <w:t>1034</w:t>
            </w:r>
          </w:p>
        </w:tc>
        <w:tc>
          <w:tcPr>
            <w:tcW w:w="608" w:type="pct"/>
            <w:vAlign w:val="center"/>
          </w:tcPr>
          <w:p w14:paraId="7F674BC0">
            <w:pPr>
              <w:pStyle w:val="11"/>
              <w:bidi w:val="0"/>
              <w:jc w:val="center"/>
              <w:rPr>
                <w:rFonts w:hint="eastAsia"/>
                <w:lang w:eastAsia="zh-CN"/>
              </w:rPr>
            </w:pPr>
            <w:r>
              <w:rPr>
                <w:rFonts w:hint="eastAsia"/>
              </w:rPr>
              <w:t>439</w:t>
            </w:r>
          </w:p>
        </w:tc>
        <w:tc>
          <w:tcPr>
            <w:tcW w:w="463" w:type="pct"/>
            <w:vAlign w:val="center"/>
          </w:tcPr>
          <w:p w14:paraId="3ADF3159">
            <w:pPr>
              <w:pStyle w:val="11"/>
              <w:bidi w:val="0"/>
              <w:jc w:val="center"/>
              <w:rPr>
                <w:rFonts w:hint="eastAsia"/>
                <w:lang w:eastAsia="zh-CN"/>
              </w:rPr>
            </w:pPr>
            <w:r>
              <w:rPr>
                <w:rFonts w:hint="eastAsia"/>
              </w:rPr>
              <w:t>109</w:t>
            </w:r>
          </w:p>
        </w:tc>
        <w:tc>
          <w:tcPr>
            <w:tcW w:w="440" w:type="pct"/>
            <w:vAlign w:val="center"/>
          </w:tcPr>
          <w:p w14:paraId="1CD1520C">
            <w:pPr>
              <w:pStyle w:val="11"/>
              <w:bidi w:val="0"/>
              <w:jc w:val="center"/>
              <w:rPr>
                <w:rFonts w:hint="eastAsia"/>
                <w:lang w:eastAsia="zh-CN"/>
              </w:rPr>
            </w:pPr>
            <w:r>
              <w:rPr>
                <w:rFonts w:hint="eastAsia"/>
              </w:rPr>
              <w:t>228</w:t>
            </w:r>
          </w:p>
        </w:tc>
        <w:tc>
          <w:tcPr>
            <w:tcW w:w="487" w:type="pct"/>
            <w:vAlign w:val="center"/>
          </w:tcPr>
          <w:p w14:paraId="6644AA9E">
            <w:pPr>
              <w:pStyle w:val="11"/>
              <w:bidi w:val="0"/>
              <w:jc w:val="center"/>
              <w:rPr>
                <w:rFonts w:hint="eastAsia"/>
                <w:lang w:eastAsia="zh-CN"/>
              </w:rPr>
            </w:pPr>
            <w:r>
              <w:rPr>
                <w:rFonts w:hint="eastAsia"/>
              </w:rPr>
              <w:t>258</w:t>
            </w:r>
          </w:p>
        </w:tc>
      </w:tr>
      <w:tr w14:paraId="4EBE093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2CCB7A95">
            <w:pPr>
              <w:pStyle w:val="11"/>
              <w:bidi w:val="0"/>
              <w:jc w:val="center"/>
              <w:rPr>
                <w:rFonts w:hint="eastAsia"/>
                <w:lang w:eastAsia="zh-CN"/>
              </w:rPr>
            </w:pPr>
            <w:r>
              <w:rPr>
                <w:rFonts w:hint="eastAsia"/>
              </w:rPr>
              <w:t>珠玑镇</w:t>
            </w:r>
          </w:p>
        </w:tc>
        <w:tc>
          <w:tcPr>
            <w:tcW w:w="660" w:type="pct"/>
            <w:vAlign w:val="center"/>
          </w:tcPr>
          <w:p w14:paraId="470E5AD1">
            <w:pPr>
              <w:pStyle w:val="11"/>
              <w:bidi w:val="0"/>
              <w:jc w:val="center"/>
              <w:rPr>
                <w:rFonts w:hint="eastAsia"/>
                <w:lang w:eastAsia="zh-CN"/>
              </w:rPr>
            </w:pPr>
            <w:r>
              <w:rPr>
                <w:rFonts w:hint="eastAsia"/>
              </w:rPr>
              <w:t>22</w:t>
            </w:r>
          </w:p>
        </w:tc>
        <w:tc>
          <w:tcPr>
            <w:tcW w:w="660" w:type="pct"/>
            <w:vAlign w:val="center"/>
          </w:tcPr>
          <w:p w14:paraId="54C8BBBB">
            <w:pPr>
              <w:pStyle w:val="11"/>
              <w:bidi w:val="0"/>
              <w:jc w:val="center"/>
              <w:rPr>
                <w:rFonts w:hint="eastAsia"/>
                <w:lang w:eastAsia="zh-CN"/>
              </w:rPr>
            </w:pPr>
            <w:r>
              <w:rPr>
                <w:rFonts w:hint="eastAsia"/>
              </w:rPr>
              <w:t>22</w:t>
            </w:r>
          </w:p>
        </w:tc>
        <w:tc>
          <w:tcPr>
            <w:tcW w:w="457" w:type="pct"/>
            <w:vAlign w:val="center"/>
          </w:tcPr>
          <w:p w14:paraId="71802E55">
            <w:pPr>
              <w:pStyle w:val="11"/>
              <w:bidi w:val="0"/>
              <w:jc w:val="center"/>
              <w:rPr>
                <w:rFonts w:hint="eastAsia"/>
                <w:lang w:eastAsia="zh-CN"/>
              </w:rPr>
            </w:pPr>
            <w:r>
              <w:rPr>
                <w:rFonts w:hint="eastAsia"/>
              </w:rPr>
              <w:t>22</w:t>
            </w:r>
          </w:p>
        </w:tc>
        <w:tc>
          <w:tcPr>
            <w:tcW w:w="666" w:type="pct"/>
            <w:vAlign w:val="center"/>
          </w:tcPr>
          <w:p w14:paraId="2CB86DF1">
            <w:pPr>
              <w:pStyle w:val="11"/>
              <w:bidi w:val="0"/>
              <w:jc w:val="center"/>
              <w:rPr>
                <w:rFonts w:hint="eastAsia"/>
                <w:lang w:eastAsia="zh-CN"/>
              </w:rPr>
            </w:pPr>
            <w:r>
              <w:rPr>
                <w:rFonts w:hint="eastAsia"/>
              </w:rPr>
              <w:t>1263</w:t>
            </w:r>
          </w:p>
        </w:tc>
        <w:tc>
          <w:tcPr>
            <w:tcW w:w="608" w:type="pct"/>
            <w:vAlign w:val="center"/>
          </w:tcPr>
          <w:p w14:paraId="6AA2D306">
            <w:pPr>
              <w:pStyle w:val="11"/>
              <w:bidi w:val="0"/>
              <w:jc w:val="center"/>
              <w:rPr>
                <w:rFonts w:hint="eastAsia"/>
                <w:lang w:eastAsia="zh-CN"/>
              </w:rPr>
            </w:pPr>
            <w:r>
              <w:rPr>
                <w:rFonts w:hint="eastAsia"/>
              </w:rPr>
              <w:t>444</w:t>
            </w:r>
          </w:p>
        </w:tc>
        <w:tc>
          <w:tcPr>
            <w:tcW w:w="463" w:type="pct"/>
            <w:vAlign w:val="center"/>
          </w:tcPr>
          <w:p w14:paraId="1BD30CE6">
            <w:pPr>
              <w:pStyle w:val="11"/>
              <w:bidi w:val="0"/>
              <w:jc w:val="center"/>
              <w:rPr>
                <w:rFonts w:hint="eastAsia"/>
                <w:lang w:eastAsia="zh-CN"/>
              </w:rPr>
            </w:pPr>
            <w:r>
              <w:rPr>
                <w:rFonts w:hint="eastAsia"/>
              </w:rPr>
              <w:t>95</w:t>
            </w:r>
          </w:p>
        </w:tc>
        <w:tc>
          <w:tcPr>
            <w:tcW w:w="440" w:type="pct"/>
            <w:vAlign w:val="center"/>
          </w:tcPr>
          <w:p w14:paraId="53A554EB">
            <w:pPr>
              <w:pStyle w:val="11"/>
              <w:bidi w:val="0"/>
              <w:jc w:val="center"/>
              <w:rPr>
                <w:rFonts w:hint="eastAsia"/>
                <w:lang w:eastAsia="zh-CN"/>
              </w:rPr>
            </w:pPr>
            <w:r>
              <w:rPr>
                <w:rFonts w:hint="eastAsia"/>
              </w:rPr>
              <w:t>219</w:t>
            </w:r>
          </w:p>
        </w:tc>
        <w:tc>
          <w:tcPr>
            <w:tcW w:w="487" w:type="pct"/>
            <w:vAlign w:val="center"/>
          </w:tcPr>
          <w:p w14:paraId="0AC9FC47">
            <w:pPr>
              <w:pStyle w:val="11"/>
              <w:bidi w:val="0"/>
              <w:jc w:val="center"/>
              <w:rPr>
                <w:rFonts w:hint="eastAsia"/>
                <w:lang w:eastAsia="zh-CN"/>
              </w:rPr>
            </w:pPr>
            <w:r>
              <w:rPr>
                <w:rFonts w:hint="eastAsia"/>
              </w:rPr>
              <w:t>505</w:t>
            </w:r>
          </w:p>
        </w:tc>
      </w:tr>
      <w:tr w14:paraId="7C0BAE9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27B069F4">
            <w:pPr>
              <w:pStyle w:val="11"/>
              <w:bidi w:val="0"/>
              <w:jc w:val="center"/>
              <w:rPr>
                <w:rFonts w:hint="eastAsia"/>
                <w:lang w:eastAsia="zh-CN"/>
              </w:rPr>
            </w:pPr>
            <w:r>
              <w:rPr>
                <w:rFonts w:hint="eastAsia"/>
              </w:rPr>
              <w:t>主田镇</w:t>
            </w:r>
          </w:p>
        </w:tc>
        <w:tc>
          <w:tcPr>
            <w:tcW w:w="660" w:type="pct"/>
            <w:vAlign w:val="center"/>
          </w:tcPr>
          <w:p w14:paraId="1EEB02D5">
            <w:pPr>
              <w:pStyle w:val="11"/>
              <w:bidi w:val="0"/>
              <w:jc w:val="center"/>
              <w:rPr>
                <w:rFonts w:hint="eastAsia"/>
                <w:lang w:eastAsia="zh-CN"/>
              </w:rPr>
            </w:pPr>
            <w:r>
              <w:rPr>
                <w:rFonts w:hint="eastAsia"/>
              </w:rPr>
              <w:t>8</w:t>
            </w:r>
          </w:p>
        </w:tc>
        <w:tc>
          <w:tcPr>
            <w:tcW w:w="660" w:type="pct"/>
            <w:vAlign w:val="center"/>
          </w:tcPr>
          <w:p w14:paraId="703CF958">
            <w:pPr>
              <w:pStyle w:val="11"/>
              <w:bidi w:val="0"/>
              <w:jc w:val="center"/>
              <w:rPr>
                <w:rFonts w:hint="eastAsia"/>
                <w:lang w:eastAsia="zh-CN"/>
              </w:rPr>
            </w:pPr>
            <w:r>
              <w:rPr>
                <w:rFonts w:hint="eastAsia"/>
              </w:rPr>
              <w:t>8</w:t>
            </w:r>
          </w:p>
        </w:tc>
        <w:tc>
          <w:tcPr>
            <w:tcW w:w="457" w:type="pct"/>
            <w:vAlign w:val="center"/>
          </w:tcPr>
          <w:p w14:paraId="6A3761BE">
            <w:pPr>
              <w:pStyle w:val="11"/>
              <w:bidi w:val="0"/>
              <w:jc w:val="center"/>
              <w:rPr>
                <w:rFonts w:hint="eastAsia"/>
                <w:lang w:eastAsia="zh-CN"/>
              </w:rPr>
            </w:pPr>
            <w:r>
              <w:rPr>
                <w:rFonts w:hint="eastAsia"/>
              </w:rPr>
              <w:t>8</w:t>
            </w:r>
          </w:p>
        </w:tc>
        <w:tc>
          <w:tcPr>
            <w:tcW w:w="666" w:type="pct"/>
            <w:vAlign w:val="center"/>
          </w:tcPr>
          <w:p w14:paraId="169C986E">
            <w:pPr>
              <w:pStyle w:val="11"/>
              <w:bidi w:val="0"/>
              <w:jc w:val="center"/>
              <w:rPr>
                <w:rFonts w:hint="eastAsia"/>
                <w:lang w:eastAsia="zh-CN"/>
              </w:rPr>
            </w:pPr>
            <w:r>
              <w:rPr>
                <w:rFonts w:hint="eastAsia"/>
              </w:rPr>
              <w:t>733</w:t>
            </w:r>
          </w:p>
        </w:tc>
        <w:tc>
          <w:tcPr>
            <w:tcW w:w="608" w:type="pct"/>
            <w:vAlign w:val="center"/>
          </w:tcPr>
          <w:p w14:paraId="749A6904">
            <w:pPr>
              <w:pStyle w:val="11"/>
              <w:bidi w:val="0"/>
              <w:jc w:val="center"/>
              <w:rPr>
                <w:rFonts w:hint="eastAsia"/>
                <w:lang w:eastAsia="zh-CN"/>
              </w:rPr>
            </w:pPr>
            <w:r>
              <w:rPr>
                <w:rFonts w:hint="eastAsia"/>
              </w:rPr>
              <w:t>233</w:t>
            </w:r>
          </w:p>
        </w:tc>
        <w:tc>
          <w:tcPr>
            <w:tcW w:w="463" w:type="pct"/>
            <w:vAlign w:val="center"/>
          </w:tcPr>
          <w:p w14:paraId="4C170F1F">
            <w:pPr>
              <w:pStyle w:val="11"/>
              <w:bidi w:val="0"/>
              <w:jc w:val="center"/>
              <w:rPr>
                <w:rFonts w:hint="eastAsia"/>
                <w:lang w:eastAsia="zh-CN"/>
              </w:rPr>
            </w:pPr>
            <w:r>
              <w:rPr>
                <w:rFonts w:hint="eastAsia"/>
              </w:rPr>
              <w:t>66</w:t>
            </w:r>
          </w:p>
        </w:tc>
        <w:tc>
          <w:tcPr>
            <w:tcW w:w="440" w:type="pct"/>
            <w:vAlign w:val="center"/>
          </w:tcPr>
          <w:p w14:paraId="6FCA257C">
            <w:pPr>
              <w:pStyle w:val="11"/>
              <w:bidi w:val="0"/>
              <w:jc w:val="center"/>
              <w:rPr>
                <w:rFonts w:hint="eastAsia"/>
                <w:lang w:eastAsia="zh-CN"/>
              </w:rPr>
            </w:pPr>
            <w:r>
              <w:rPr>
                <w:rFonts w:hint="eastAsia"/>
              </w:rPr>
              <w:t>129</w:t>
            </w:r>
          </w:p>
        </w:tc>
        <w:tc>
          <w:tcPr>
            <w:tcW w:w="487" w:type="pct"/>
            <w:vAlign w:val="center"/>
          </w:tcPr>
          <w:p w14:paraId="543B8411">
            <w:pPr>
              <w:pStyle w:val="11"/>
              <w:bidi w:val="0"/>
              <w:jc w:val="center"/>
              <w:rPr>
                <w:rFonts w:hint="eastAsia"/>
                <w:lang w:eastAsia="zh-CN"/>
              </w:rPr>
            </w:pPr>
            <w:r>
              <w:rPr>
                <w:rFonts w:hint="eastAsia"/>
              </w:rPr>
              <w:t>305</w:t>
            </w:r>
          </w:p>
        </w:tc>
      </w:tr>
      <w:tr w14:paraId="64A8E92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3BC55099">
            <w:pPr>
              <w:pStyle w:val="11"/>
              <w:bidi w:val="0"/>
              <w:jc w:val="center"/>
              <w:rPr>
                <w:rFonts w:hint="eastAsia"/>
                <w:lang w:eastAsia="zh-CN"/>
              </w:rPr>
            </w:pPr>
            <w:r>
              <w:rPr>
                <w:rFonts w:hint="eastAsia"/>
              </w:rPr>
              <w:t>古市镇</w:t>
            </w:r>
          </w:p>
        </w:tc>
        <w:tc>
          <w:tcPr>
            <w:tcW w:w="660" w:type="pct"/>
            <w:vAlign w:val="center"/>
          </w:tcPr>
          <w:p w14:paraId="5CFB826A">
            <w:pPr>
              <w:pStyle w:val="11"/>
              <w:bidi w:val="0"/>
              <w:jc w:val="center"/>
              <w:rPr>
                <w:rFonts w:hint="eastAsia"/>
                <w:lang w:eastAsia="zh-CN"/>
              </w:rPr>
            </w:pPr>
            <w:r>
              <w:rPr>
                <w:rFonts w:hint="eastAsia"/>
              </w:rPr>
              <w:t>8</w:t>
            </w:r>
          </w:p>
        </w:tc>
        <w:tc>
          <w:tcPr>
            <w:tcW w:w="660" w:type="pct"/>
            <w:vAlign w:val="center"/>
          </w:tcPr>
          <w:p w14:paraId="5590F8A2">
            <w:pPr>
              <w:pStyle w:val="11"/>
              <w:bidi w:val="0"/>
              <w:jc w:val="center"/>
              <w:rPr>
                <w:rFonts w:hint="eastAsia"/>
                <w:lang w:eastAsia="zh-CN"/>
              </w:rPr>
            </w:pPr>
            <w:r>
              <w:rPr>
                <w:rFonts w:hint="eastAsia"/>
              </w:rPr>
              <w:t>8</w:t>
            </w:r>
          </w:p>
        </w:tc>
        <w:tc>
          <w:tcPr>
            <w:tcW w:w="457" w:type="pct"/>
            <w:vAlign w:val="center"/>
          </w:tcPr>
          <w:p w14:paraId="12210EBD">
            <w:pPr>
              <w:pStyle w:val="11"/>
              <w:bidi w:val="0"/>
              <w:jc w:val="center"/>
              <w:rPr>
                <w:rFonts w:hint="eastAsia"/>
                <w:lang w:eastAsia="zh-CN"/>
              </w:rPr>
            </w:pPr>
            <w:r>
              <w:rPr>
                <w:rFonts w:hint="eastAsia"/>
              </w:rPr>
              <w:t>8</w:t>
            </w:r>
          </w:p>
        </w:tc>
        <w:tc>
          <w:tcPr>
            <w:tcW w:w="666" w:type="pct"/>
            <w:vAlign w:val="center"/>
          </w:tcPr>
          <w:p w14:paraId="20351C29">
            <w:pPr>
              <w:pStyle w:val="11"/>
              <w:bidi w:val="0"/>
              <w:jc w:val="center"/>
              <w:rPr>
                <w:rFonts w:hint="eastAsia"/>
                <w:lang w:eastAsia="zh-CN"/>
              </w:rPr>
            </w:pPr>
            <w:r>
              <w:rPr>
                <w:rFonts w:hint="eastAsia"/>
              </w:rPr>
              <w:t>1042</w:t>
            </w:r>
          </w:p>
        </w:tc>
        <w:tc>
          <w:tcPr>
            <w:tcW w:w="608" w:type="pct"/>
            <w:vAlign w:val="center"/>
          </w:tcPr>
          <w:p w14:paraId="1C60632C">
            <w:pPr>
              <w:pStyle w:val="11"/>
              <w:bidi w:val="0"/>
              <w:jc w:val="center"/>
              <w:rPr>
                <w:rFonts w:hint="eastAsia"/>
                <w:lang w:eastAsia="zh-CN"/>
              </w:rPr>
            </w:pPr>
            <w:r>
              <w:rPr>
                <w:rFonts w:hint="eastAsia"/>
              </w:rPr>
              <w:t>351</w:t>
            </w:r>
          </w:p>
        </w:tc>
        <w:tc>
          <w:tcPr>
            <w:tcW w:w="463" w:type="pct"/>
            <w:vAlign w:val="center"/>
          </w:tcPr>
          <w:p w14:paraId="4CA3975A">
            <w:pPr>
              <w:pStyle w:val="11"/>
              <w:bidi w:val="0"/>
              <w:jc w:val="center"/>
              <w:rPr>
                <w:rFonts w:hint="eastAsia"/>
                <w:lang w:eastAsia="zh-CN"/>
              </w:rPr>
            </w:pPr>
            <w:r>
              <w:rPr>
                <w:rFonts w:hint="eastAsia"/>
              </w:rPr>
              <w:t>83</w:t>
            </w:r>
          </w:p>
        </w:tc>
        <w:tc>
          <w:tcPr>
            <w:tcW w:w="440" w:type="pct"/>
            <w:vAlign w:val="center"/>
          </w:tcPr>
          <w:p w14:paraId="548087CD">
            <w:pPr>
              <w:pStyle w:val="11"/>
              <w:bidi w:val="0"/>
              <w:jc w:val="center"/>
              <w:rPr>
                <w:rFonts w:hint="eastAsia"/>
                <w:lang w:eastAsia="zh-CN"/>
              </w:rPr>
            </w:pPr>
            <w:r>
              <w:rPr>
                <w:rFonts w:hint="eastAsia"/>
              </w:rPr>
              <w:t>194</w:t>
            </w:r>
          </w:p>
        </w:tc>
        <w:tc>
          <w:tcPr>
            <w:tcW w:w="487" w:type="pct"/>
            <w:vAlign w:val="center"/>
          </w:tcPr>
          <w:p w14:paraId="219B9EB2">
            <w:pPr>
              <w:pStyle w:val="11"/>
              <w:bidi w:val="0"/>
              <w:jc w:val="center"/>
              <w:rPr>
                <w:rFonts w:hint="eastAsia"/>
                <w:lang w:eastAsia="zh-CN"/>
              </w:rPr>
            </w:pPr>
            <w:r>
              <w:rPr>
                <w:rFonts w:hint="eastAsia"/>
              </w:rPr>
              <w:t>414</w:t>
            </w:r>
          </w:p>
        </w:tc>
      </w:tr>
      <w:tr w14:paraId="2728567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6C0C61B5">
            <w:pPr>
              <w:pStyle w:val="11"/>
              <w:bidi w:val="0"/>
              <w:jc w:val="center"/>
              <w:rPr>
                <w:rFonts w:hint="eastAsia"/>
                <w:lang w:eastAsia="zh-CN"/>
              </w:rPr>
            </w:pPr>
            <w:r>
              <w:rPr>
                <w:rFonts w:hint="eastAsia"/>
              </w:rPr>
              <w:t>全安镇</w:t>
            </w:r>
          </w:p>
        </w:tc>
        <w:tc>
          <w:tcPr>
            <w:tcW w:w="660" w:type="pct"/>
            <w:vAlign w:val="center"/>
          </w:tcPr>
          <w:p w14:paraId="081EC252">
            <w:pPr>
              <w:pStyle w:val="11"/>
              <w:bidi w:val="0"/>
              <w:jc w:val="center"/>
              <w:rPr>
                <w:rFonts w:hint="eastAsia"/>
                <w:lang w:eastAsia="zh-CN"/>
              </w:rPr>
            </w:pPr>
            <w:r>
              <w:rPr>
                <w:rFonts w:hint="eastAsia"/>
              </w:rPr>
              <w:t>13</w:t>
            </w:r>
          </w:p>
        </w:tc>
        <w:tc>
          <w:tcPr>
            <w:tcW w:w="660" w:type="pct"/>
            <w:vAlign w:val="center"/>
          </w:tcPr>
          <w:p w14:paraId="1F4BCB94">
            <w:pPr>
              <w:pStyle w:val="11"/>
              <w:bidi w:val="0"/>
              <w:jc w:val="center"/>
              <w:rPr>
                <w:rFonts w:hint="eastAsia"/>
                <w:lang w:eastAsia="zh-CN"/>
              </w:rPr>
            </w:pPr>
            <w:r>
              <w:rPr>
                <w:rFonts w:hint="eastAsia"/>
              </w:rPr>
              <w:t>13</w:t>
            </w:r>
          </w:p>
        </w:tc>
        <w:tc>
          <w:tcPr>
            <w:tcW w:w="457" w:type="pct"/>
            <w:vAlign w:val="center"/>
          </w:tcPr>
          <w:p w14:paraId="43C5A2AB">
            <w:pPr>
              <w:pStyle w:val="11"/>
              <w:bidi w:val="0"/>
              <w:jc w:val="center"/>
              <w:rPr>
                <w:rFonts w:hint="eastAsia"/>
                <w:lang w:eastAsia="zh-CN"/>
              </w:rPr>
            </w:pPr>
            <w:r>
              <w:rPr>
                <w:rFonts w:hint="eastAsia"/>
              </w:rPr>
              <w:t>13</w:t>
            </w:r>
          </w:p>
        </w:tc>
        <w:tc>
          <w:tcPr>
            <w:tcW w:w="666" w:type="pct"/>
            <w:vAlign w:val="center"/>
          </w:tcPr>
          <w:p w14:paraId="365B8345">
            <w:pPr>
              <w:pStyle w:val="11"/>
              <w:bidi w:val="0"/>
              <w:jc w:val="center"/>
              <w:rPr>
                <w:rFonts w:hint="eastAsia"/>
                <w:lang w:eastAsia="zh-CN"/>
              </w:rPr>
            </w:pPr>
            <w:r>
              <w:rPr>
                <w:rFonts w:hint="eastAsia"/>
              </w:rPr>
              <w:t>1174</w:t>
            </w:r>
          </w:p>
        </w:tc>
        <w:tc>
          <w:tcPr>
            <w:tcW w:w="608" w:type="pct"/>
            <w:vAlign w:val="center"/>
          </w:tcPr>
          <w:p w14:paraId="7EA4D7B1">
            <w:pPr>
              <w:pStyle w:val="11"/>
              <w:bidi w:val="0"/>
              <w:jc w:val="center"/>
              <w:rPr>
                <w:rFonts w:hint="eastAsia"/>
                <w:lang w:eastAsia="zh-CN"/>
              </w:rPr>
            </w:pPr>
            <w:r>
              <w:rPr>
                <w:rFonts w:hint="eastAsia"/>
              </w:rPr>
              <w:t>401</w:t>
            </w:r>
          </w:p>
        </w:tc>
        <w:tc>
          <w:tcPr>
            <w:tcW w:w="463" w:type="pct"/>
            <w:vAlign w:val="center"/>
          </w:tcPr>
          <w:p w14:paraId="4E00B4C1">
            <w:pPr>
              <w:pStyle w:val="11"/>
              <w:bidi w:val="0"/>
              <w:jc w:val="center"/>
              <w:rPr>
                <w:rFonts w:hint="eastAsia"/>
                <w:lang w:eastAsia="zh-CN"/>
              </w:rPr>
            </w:pPr>
            <w:r>
              <w:rPr>
                <w:rFonts w:hint="eastAsia"/>
              </w:rPr>
              <w:t>96</w:t>
            </w:r>
          </w:p>
        </w:tc>
        <w:tc>
          <w:tcPr>
            <w:tcW w:w="440" w:type="pct"/>
            <w:vAlign w:val="center"/>
          </w:tcPr>
          <w:p w14:paraId="6E8D32CD">
            <w:pPr>
              <w:pStyle w:val="11"/>
              <w:bidi w:val="0"/>
              <w:jc w:val="center"/>
              <w:rPr>
                <w:rFonts w:hint="eastAsia"/>
                <w:lang w:eastAsia="zh-CN"/>
              </w:rPr>
            </w:pPr>
            <w:r>
              <w:rPr>
                <w:rFonts w:hint="eastAsia"/>
              </w:rPr>
              <w:t>212</w:t>
            </w:r>
          </w:p>
        </w:tc>
        <w:tc>
          <w:tcPr>
            <w:tcW w:w="487" w:type="pct"/>
            <w:vAlign w:val="center"/>
          </w:tcPr>
          <w:p w14:paraId="64065C3B">
            <w:pPr>
              <w:pStyle w:val="11"/>
              <w:bidi w:val="0"/>
              <w:jc w:val="center"/>
              <w:rPr>
                <w:rFonts w:hint="eastAsia"/>
                <w:lang w:eastAsia="zh-CN"/>
              </w:rPr>
            </w:pPr>
            <w:r>
              <w:rPr>
                <w:rFonts w:hint="eastAsia"/>
              </w:rPr>
              <w:t>465</w:t>
            </w:r>
          </w:p>
        </w:tc>
      </w:tr>
      <w:tr w14:paraId="7D31A42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76F9505A">
            <w:pPr>
              <w:pStyle w:val="11"/>
              <w:bidi w:val="0"/>
              <w:jc w:val="center"/>
              <w:rPr>
                <w:rFonts w:hint="eastAsia"/>
                <w:lang w:eastAsia="zh-CN"/>
              </w:rPr>
            </w:pPr>
            <w:r>
              <w:rPr>
                <w:rFonts w:hint="eastAsia"/>
              </w:rPr>
              <w:t>百顺镇</w:t>
            </w:r>
          </w:p>
        </w:tc>
        <w:tc>
          <w:tcPr>
            <w:tcW w:w="660" w:type="pct"/>
            <w:vAlign w:val="center"/>
          </w:tcPr>
          <w:p w14:paraId="5A442CE5">
            <w:pPr>
              <w:pStyle w:val="11"/>
              <w:bidi w:val="0"/>
              <w:jc w:val="center"/>
              <w:rPr>
                <w:rFonts w:hint="eastAsia"/>
                <w:lang w:eastAsia="zh-CN"/>
              </w:rPr>
            </w:pPr>
            <w:r>
              <w:rPr>
                <w:rFonts w:hint="eastAsia"/>
              </w:rPr>
              <w:t>9</w:t>
            </w:r>
          </w:p>
        </w:tc>
        <w:tc>
          <w:tcPr>
            <w:tcW w:w="660" w:type="pct"/>
            <w:vAlign w:val="center"/>
          </w:tcPr>
          <w:p w14:paraId="0EF1CFC7">
            <w:pPr>
              <w:pStyle w:val="11"/>
              <w:bidi w:val="0"/>
              <w:jc w:val="center"/>
              <w:rPr>
                <w:rFonts w:hint="eastAsia"/>
                <w:lang w:eastAsia="zh-CN"/>
              </w:rPr>
            </w:pPr>
            <w:r>
              <w:rPr>
                <w:rFonts w:hint="eastAsia"/>
              </w:rPr>
              <w:t>9</w:t>
            </w:r>
          </w:p>
        </w:tc>
        <w:tc>
          <w:tcPr>
            <w:tcW w:w="457" w:type="pct"/>
            <w:vAlign w:val="center"/>
          </w:tcPr>
          <w:p w14:paraId="5A9EDAFE">
            <w:pPr>
              <w:pStyle w:val="11"/>
              <w:bidi w:val="0"/>
              <w:jc w:val="center"/>
              <w:rPr>
                <w:rFonts w:hint="eastAsia"/>
                <w:lang w:eastAsia="zh-CN"/>
              </w:rPr>
            </w:pPr>
            <w:r>
              <w:rPr>
                <w:rFonts w:hint="eastAsia"/>
              </w:rPr>
              <w:t>9</w:t>
            </w:r>
          </w:p>
        </w:tc>
        <w:tc>
          <w:tcPr>
            <w:tcW w:w="666" w:type="pct"/>
            <w:vAlign w:val="center"/>
          </w:tcPr>
          <w:p w14:paraId="00C6BA97">
            <w:pPr>
              <w:pStyle w:val="11"/>
              <w:bidi w:val="0"/>
              <w:jc w:val="center"/>
              <w:rPr>
                <w:rFonts w:hint="eastAsia"/>
                <w:lang w:eastAsia="zh-CN"/>
              </w:rPr>
            </w:pPr>
            <w:r>
              <w:rPr>
                <w:rFonts w:hint="eastAsia"/>
              </w:rPr>
              <w:t>549</w:t>
            </w:r>
          </w:p>
        </w:tc>
        <w:tc>
          <w:tcPr>
            <w:tcW w:w="608" w:type="pct"/>
            <w:vAlign w:val="center"/>
          </w:tcPr>
          <w:p w14:paraId="03F04F80">
            <w:pPr>
              <w:pStyle w:val="11"/>
              <w:bidi w:val="0"/>
              <w:jc w:val="center"/>
              <w:rPr>
                <w:rFonts w:hint="eastAsia"/>
                <w:lang w:eastAsia="zh-CN"/>
              </w:rPr>
            </w:pPr>
            <w:r>
              <w:rPr>
                <w:rFonts w:hint="eastAsia"/>
              </w:rPr>
              <w:t>185</w:t>
            </w:r>
          </w:p>
        </w:tc>
        <w:tc>
          <w:tcPr>
            <w:tcW w:w="463" w:type="pct"/>
            <w:vAlign w:val="center"/>
          </w:tcPr>
          <w:p w14:paraId="45D368ED">
            <w:pPr>
              <w:pStyle w:val="11"/>
              <w:bidi w:val="0"/>
              <w:jc w:val="center"/>
              <w:rPr>
                <w:rFonts w:hint="eastAsia"/>
                <w:lang w:eastAsia="zh-CN"/>
              </w:rPr>
            </w:pPr>
            <w:r>
              <w:rPr>
                <w:rFonts w:hint="eastAsia"/>
              </w:rPr>
              <w:t>41</w:t>
            </w:r>
          </w:p>
        </w:tc>
        <w:tc>
          <w:tcPr>
            <w:tcW w:w="440" w:type="pct"/>
            <w:vAlign w:val="center"/>
          </w:tcPr>
          <w:p w14:paraId="654BA6D2">
            <w:pPr>
              <w:pStyle w:val="11"/>
              <w:bidi w:val="0"/>
              <w:jc w:val="center"/>
              <w:rPr>
                <w:rFonts w:hint="eastAsia"/>
                <w:lang w:eastAsia="zh-CN"/>
              </w:rPr>
            </w:pPr>
            <w:r>
              <w:rPr>
                <w:rFonts w:hint="eastAsia"/>
              </w:rPr>
              <w:t>95</w:t>
            </w:r>
          </w:p>
        </w:tc>
        <w:tc>
          <w:tcPr>
            <w:tcW w:w="487" w:type="pct"/>
            <w:vAlign w:val="center"/>
          </w:tcPr>
          <w:p w14:paraId="2DE136F0">
            <w:pPr>
              <w:pStyle w:val="11"/>
              <w:bidi w:val="0"/>
              <w:jc w:val="center"/>
              <w:rPr>
                <w:rFonts w:hint="eastAsia"/>
                <w:lang w:eastAsia="zh-CN"/>
              </w:rPr>
            </w:pPr>
            <w:r>
              <w:rPr>
                <w:rFonts w:hint="eastAsia"/>
              </w:rPr>
              <w:t>228</w:t>
            </w:r>
          </w:p>
        </w:tc>
      </w:tr>
      <w:tr w14:paraId="40DC296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50BAED2C">
            <w:pPr>
              <w:pStyle w:val="11"/>
              <w:bidi w:val="0"/>
              <w:jc w:val="center"/>
              <w:rPr>
                <w:rFonts w:hint="eastAsia"/>
                <w:lang w:eastAsia="zh-CN"/>
              </w:rPr>
            </w:pPr>
            <w:r>
              <w:rPr>
                <w:rFonts w:hint="eastAsia"/>
              </w:rPr>
              <w:t>澜河镇</w:t>
            </w:r>
          </w:p>
        </w:tc>
        <w:tc>
          <w:tcPr>
            <w:tcW w:w="660" w:type="pct"/>
            <w:vAlign w:val="center"/>
          </w:tcPr>
          <w:p w14:paraId="36639C59">
            <w:pPr>
              <w:pStyle w:val="11"/>
              <w:bidi w:val="0"/>
              <w:jc w:val="center"/>
              <w:rPr>
                <w:rFonts w:hint="eastAsia"/>
                <w:lang w:eastAsia="zh-CN"/>
              </w:rPr>
            </w:pPr>
            <w:r>
              <w:rPr>
                <w:rFonts w:hint="eastAsia"/>
              </w:rPr>
              <w:t>6</w:t>
            </w:r>
          </w:p>
        </w:tc>
        <w:tc>
          <w:tcPr>
            <w:tcW w:w="660" w:type="pct"/>
            <w:vAlign w:val="center"/>
          </w:tcPr>
          <w:p w14:paraId="7FB19157">
            <w:pPr>
              <w:pStyle w:val="11"/>
              <w:bidi w:val="0"/>
              <w:jc w:val="center"/>
              <w:rPr>
                <w:rFonts w:hint="eastAsia"/>
                <w:lang w:eastAsia="zh-CN"/>
              </w:rPr>
            </w:pPr>
            <w:r>
              <w:rPr>
                <w:rFonts w:hint="eastAsia"/>
              </w:rPr>
              <w:t>6</w:t>
            </w:r>
          </w:p>
        </w:tc>
        <w:tc>
          <w:tcPr>
            <w:tcW w:w="457" w:type="pct"/>
            <w:vAlign w:val="center"/>
          </w:tcPr>
          <w:p w14:paraId="073DD7F2">
            <w:pPr>
              <w:pStyle w:val="11"/>
              <w:bidi w:val="0"/>
              <w:jc w:val="center"/>
              <w:rPr>
                <w:rFonts w:hint="eastAsia"/>
                <w:lang w:eastAsia="zh-CN"/>
              </w:rPr>
            </w:pPr>
            <w:r>
              <w:rPr>
                <w:rFonts w:hint="eastAsia"/>
              </w:rPr>
              <w:t>6</w:t>
            </w:r>
          </w:p>
        </w:tc>
        <w:tc>
          <w:tcPr>
            <w:tcW w:w="666" w:type="pct"/>
            <w:vAlign w:val="center"/>
          </w:tcPr>
          <w:p w14:paraId="5265D6D4">
            <w:pPr>
              <w:pStyle w:val="11"/>
              <w:bidi w:val="0"/>
              <w:jc w:val="center"/>
              <w:rPr>
                <w:rFonts w:hint="eastAsia"/>
                <w:lang w:eastAsia="zh-CN"/>
              </w:rPr>
            </w:pPr>
            <w:r>
              <w:rPr>
                <w:rFonts w:hint="eastAsia"/>
              </w:rPr>
              <w:t>371</w:t>
            </w:r>
          </w:p>
        </w:tc>
        <w:tc>
          <w:tcPr>
            <w:tcW w:w="608" w:type="pct"/>
            <w:vAlign w:val="center"/>
          </w:tcPr>
          <w:p w14:paraId="4B907520">
            <w:pPr>
              <w:pStyle w:val="11"/>
              <w:bidi w:val="0"/>
              <w:jc w:val="center"/>
              <w:rPr>
                <w:rFonts w:hint="eastAsia"/>
                <w:lang w:eastAsia="zh-CN"/>
              </w:rPr>
            </w:pPr>
            <w:r>
              <w:rPr>
                <w:rFonts w:hint="eastAsia"/>
              </w:rPr>
              <w:t>123</w:t>
            </w:r>
          </w:p>
        </w:tc>
        <w:tc>
          <w:tcPr>
            <w:tcW w:w="463" w:type="pct"/>
            <w:vAlign w:val="center"/>
          </w:tcPr>
          <w:p w14:paraId="62227DF5">
            <w:pPr>
              <w:pStyle w:val="11"/>
              <w:bidi w:val="0"/>
              <w:jc w:val="center"/>
              <w:rPr>
                <w:rFonts w:hint="eastAsia"/>
                <w:lang w:eastAsia="zh-CN"/>
              </w:rPr>
            </w:pPr>
            <w:r>
              <w:rPr>
                <w:rFonts w:hint="eastAsia"/>
              </w:rPr>
              <w:t>27</w:t>
            </w:r>
          </w:p>
        </w:tc>
        <w:tc>
          <w:tcPr>
            <w:tcW w:w="440" w:type="pct"/>
            <w:vAlign w:val="center"/>
          </w:tcPr>
          <w:p w14:paraId="54CB6BD6">
            <w:pPr>
              <w:pStyle w:val="11"/>
              <w:bidi w:val="0"/>
              <w:jc w:val="center"/>
              <w:rPr>
                <w:rFonts w:hint="eastAsia"/>
                <w:lang w:eastAsia="zh-CN"/>
              </w:rPr>
            </w:pPr>
            <w:r>
              <w:rPr>
                <w:rFonts w:hint="eastAsia"/>
              </w:rPr>
              <w:t>61</w:t>
            </w:r>
          </w:p>
        </w:tc>
        <w:tc>
          <w:tcPr>
            <w:tcW w:w="487" w:type="pct"/>
            <w:vAlign w:val="center"/>
          </w:tcPr>
          <w:p w14:paraId="58201F8E">
            <w:pPr>
              <w:pStyle w:val="11"/>
              <w:bidi w:val="0"/>
              <w:jc w:val="center"/>
              <w:rPr>
                <w:rFonts w:hint="eastAsia"/>
                <w:lang w:eastAsia="zh-CN"/>
              </w:rPr>
            </w:pPr>
            <w:r>
              <w:rPr>
                <w:rFonts w:hint="eastAsia"/>
              </w:rPr>
              <w:t>160</w:t>
            </w:r>
          </w:p>
        </w:tc>
      </w:tr>
      <w:tr w14:paraId="3F19301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45E256AE">
            <w:pPr>
              <w:pStyle w:val="11"/>
              <w:bidi w:val="0"/>
              <w:jc w:val="center"/>
              <w:rPr>
                <w:rFonts w:hint="eastAsia"/>
                <w:lang w:eastAsia="zh-CN"/>
              </w:rPr>
            </w:pPr>
            <w:r>
              <w:rPr>
                <w:rFonts w:hint="eastAsia"/>
              </w:rPr>
              <w:t>帽子峰镇</w:t>
            </w:r>
          </w:p>
        </w:tc>
        <w:tc>
          <w:tcPr>
            <w:tcW w:w="660" w:type="pct"/>
            <w:vAlign w:val="center"/>
          </w:tcPr>
          <w:p w14:paraId="6226DB35">
            <w:pPr>
              <w:pStyle w:val="11"/>
              <w:bidi w:val="0"/>
              <w:jc w:val="center"/>
              <w:rPr>
                <w:rFonts w:hint="eastAsia"/>
                <w:lang w:eastAsia="zh-CN"/>
              </w:rPr>
            </w:pPr>
            <w:r>
              <w:rPr>
                <w:rFonts w:hint="eastAsia"/>
              </w:rPr>
              <w:t>5</w:t>
            </w:r>
          </w:p>
        </w:tc>
        <w:tc>
          <w:tcPr>
            <w:tcW w:w="660" w:type="pct"/>
            <w:vAlign w:val="center"/>
          </w:tcPr>
          <w:p w14:paraId="2CAD7F84">
            <w:pPr>
              <w:pStyle w:val="11"/>
              <w:bidi w:val="0"/>
              <w:jc w:val="center"/>
              <w:rPr>
                <w:rFonts w:hint="eastAsia"/>
                <w:lang w:eastAsia="zh-CN"/>
              </w:rPr>
            </w:pPr>
            <w:r>
              <w:rPr>
                <w:rFonts w:hint="eastAsia"/>
              </w:rPr>
              <w:t>5</w:t>
            </w:r>
          </w:p>
        </w:tc>
        <w:tc>
          <w:tcPr>
            <w:tcW w:w="457" w:type="pct"/>
            <w:vAlign w:val="center"/>
          </w:tcPr>
          <w:p w14:paraId="16A8C578">
            <w:pPr>
              <w:pStyle w:val="11"/>
              <w:bidi w:val="0"/>
              <w:jc w:val="center"/>
              <w:rPr>
                <w:rFonts w:hint="eastAsia"/>
                <w:lang w:eastAsia="zh-CN"/>
              </w:rPr>
            </w:pPr>
            <w:r>
              <w:rPr>
                <w:rFonts w:hint="eastAsia"/>
              </w:rPr>
              <w:t>5</w:t>
            </w:r>
          </w:p>
        </w:tc>
        <w:tc>
          <w:tcPr>
            <w:tcW w:w="666" w:type="pct"/>
            <w:vAlign w:val="center"/>
          </w:tcPr>
          <w:p w14:paraId="7F483966">
            <w:pPr>
              <w:pStyle w:val="11"/>
              <w:bidi w:val="0"/>
              <w:jc w:val="center"/>
              <w:rPr>
                <w:rFonts w:hint="eastAsia"/>
                <w:lang w:eastAsia="zh-CN"/>
              </w:rPr>
            </w:pPr>
            <w:r>
              <w:rPr>
                <w:rFonts w:hint="eastAsia"/>
              </w:rPr>
              <w:t>568</w:t>
            </w:r>
          </w:p>
        </w:tc>
        <w:tc>
          <w:tcPr>
            <w:tcW w:w="608" w:type="pct"/>
            <w:vAlign w:val="center"/>
          </w:tcPr>
          <w:p w14:paraId="2631F987">
            <w:pPr>
              <w:pStyle w:val="11"/>
              <w:bidi w:val="0"/>
              <w:jc w:val="center"/>
              <w:rPr>
                <w:rFonts w:hint="eastAsia"/>
                <w:lang w:eastAsia="zh-CN"/>
              </w:rPr>
            </w:pPr>
            <w:r>
              <w:rPr>
                <w:rFonts w:hint="eastAsia"/>
              </w:rPr>
              <w:t>179</w:t>
            </w:r>
          </w:p>
        </w:tc>
        <w:tc>
          <w:tcPr>
            <w:tcW w:w="463" w:type="pct"/>
            <w:vAlign w:val="center"/>
          </w:tcPr>
          <w:p w14:paraId="5A9C5C9F">
            <w:pPr>
              <w:pStyle w:val="11"/>
              <w:bidi w:val="0"/>
              <w:jc w:val="center"/>
              <w:rPr>
                <w:rFonts w:hint="eastAsia"/>
                <w:lang w:eastAsia="zh-CN"/>
              </w:rPr>
            </w:pPr>
            <w:r>
              <w:rPr>
                <w:rFonts w:hint="eastAsia"/>
              </w:rPr>
              <w:t>45</w:t>
            </w:r>
          </w:p>
        </w:tc>
        <w:tc>
          <w:tcPr>
            <w:tcW w:w="440" w:type="pct"/>
            <w:vAlign w:val="center"/>
          </w:tcPr>
          <w:p w14:paraId="763E71CA">
            <w:pPr>
              <w:pStyle w:val="11"/>
              <w:bidi w:val="0"/>
              <w:jc w:val="center"/>
              <w:rPr>
                <w:rFonts w:hint="eastAsia"/>
                <w:lang w:eastAsia="zh-CN"/>
              </w:rPr>
            </w:pPr>
            <w:r>
              <w:rPr>
                <w:rFonts w:hint="eastAsia"/>
              </w:rPr>
              <w:t>102</w:t>
            </w:r>
          </w:p>
        </w:tc>
        <w:tc>
          <w:tcPr>
            <w:tcW w:w="487" w:type="pct"/>
            <w:vAlign w:val="center"/>
          </w:tcPr>
          <w:p w14:paraId="1B3845BA">
            <w:pPr>
              <w:pStyle w:val="11"/>
              <w:bidi w:val="0"/>
              <w:jc w:val="center"/>
              <w:rPr>
                <w:rFonts w:hint="eastAsia"/>
                <w:lang w:eastAsia="zh-CN"/>
              </w:rPr>
            </w:pPr>
            <w:r>
              <w:rPr>
                <w:rFonts w:hint="eastAsia"/>
              </w:rPr>
              <w:t>242</w:t>
            </w:r>
          </w:p>
        </w:tc>
      </w:tr>
      <w:tr w14:paraId="72881EB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57" w:type="pct"/>
            <w:vAlign w:val="center"/>
          </w:tcPr>
          <w:p w14:paraId="1DD3A14A">
            <w:pPr>
              <w:pStyle w:val="11"/>
              <w:bidi w:val="0"/>
              <w:jc w:val="center"/>
              <w:rPr>
                <w:rFonts w:hint="eastAsia"/>
                <w:lang w:eastAsia="zh-CN"/>
              </w:rPr>
            </w:pPr>
            <w:r>
              <w:rPr>
                <w:rFonts w:hint="eastAsia"/>
              </w:rPr>
              <w:t>雄州街道</w:t>
            </w:r>
          </w:p>
        </w:tc>
        <w:tc>
          <w:tcPr>
            <w:tcW w:w="660" w:type="pct"/>
            <w:vAlign w:val="center"/>
          </w:tcPr>
          <w:p w14:paraId="3E362EAD">
            <w:pPr>
              <w:pStyle w:val="11"/>
              <w:bidi w:val="0"/>
              <w:jc w:val="center"/>
              <w:rPr>
                <w:rFonts w:hint="eastAsia"/>
                <w:lang w:eastAsia="zh-CN"/>
              </w:rPr>
            </w:pPr>
            <w:r>
              <w:rPr>
                <w:rFonts w:hint="eastAsia"/>
              </w:rPr>
              <w:t>10</w:t>
            </w:r>
          </w:p>
        </w:tc>
        <w:tc>
          <w:tcPr>
            <w:tcW w:w="660" w:type="pct"/>
            <w:vAlign w:val="center"/>
          </w:tcPr>
          <w:p w14:paraId="1060D754">
            <w:pPr>
              <w:pStyle w:val="11"/>
              <w:bidi w:val="0"/>
              <w:jc w:val="center"/>
              <w:rPr>
                <w:rFonts w:hint="eastAsia"/>
                <w:lang w:eastAsia="zh-CN"/>
              </w:rPr>
            </w:pPr>
            <w:r>
              <w:rPr>
                <w:rFonts w:hint="eastAsia"/>
              </w:rPr>
              <w:t>13</w:t>
            </w:r>
          </w:p>
        </w:tc>
        <w:tc>
          <w:tcPr>
            <w:tcW w:w="457" w:type="pct"/>
            <w:vAlign w:val="center"/>
          </w:tcPr>
          <w:p w14:paraId="20226567">
            <w:pPr>
              <w:pStyle w:val="11"/>
              <w:bidi w:val="0"/>
              <w:jc w:val="center"/>
              <w:rPr>
                <w:rFonts w:hint="eastAsia"/>
                <w:lang w:eastAsia="zh-CN"/>
              </w:rPr>
            </w:pPr>
            <w:r>
              <w:rPr>
                <w:rFonts w:hint="eastAsia"/>
              </w:rPr>
              <w:t>13</w:t>
            </w:r>
          </w:p>
        </w:tc>
        <w:tc>
          <w:tcPr>
            <w:tcW w:w="666" w:type="pct"/>
            <w:vAlign w:val="center"/>
          </w:tcPr>
          <w:p w14:paraId="7A67D9A9">
            <w:pPr>
              <w:pStyle w:val="11"/>
              <w:bidi w:val="0"/>
              <w:jc w:val="center"/>
              <w:rPr>
                <w:rFonts w:hint="eastAsia"/>
                <w:lang w:eastAsia="zh-CN"/>
              </w:rPr>
            </w:pPr>
            <w:r>
              <w:rPr>
                <w:rFonts w:hint="eastAsia"/>
              </w:rPr>
              <w:t>1243</w:t>
            </w:r>
          </w:p>
        </w:tc>
        <w:tc>
          <w:tcPr>
            <w:tcW w:w="608" w:type="pct"/>
            <w:vAlign w:val="center"/>
          </w:tcPr>
          <w:p w14:paraId="36555AA4">
            <w:pPr>
              <w:pStyle w:val="11"/>
              <w:bidi w:val="0"/>
              <w:jc w:val="center"/>
              <w:rPr>
                <w:rFonts w:hint="eastAsia"/>
                <w:lang w:eastAsia="zh-CN"/>
              </w:rPr>
            </w:pPr>
            <w:r>
              <w:rPr>
                <w:rFonts w:hint="eastAsia"/>
              </w:rPr>
              <w:t>439</w:t>
            </w:r>
          </w:p>
        </w:tc>
        <w:tc>
          <w:tcPr>
            <w:tcW w:w="463" w:type="pct"/>
            <w:vAlign w:val="center"/>
          </w:tcPr>
          <w:p w14:paraId="75C985CA">
            <w:pPr>
              <w:pStyle w:val="11"/>
              <w:bidi w:val="0"/>
              <w:jc w:val="center"/>
              <w:rPr>
                <w:rFonts w:hint="eastAsia"/>
                <w:lang w:eastAsia="zh-CN"/>
              </w:rPr>
            </w:pPr>
            <w:r>
              <w:rPr>
                <w:rFonts w:hint="eastAsia"/>
              </w:rPr>
              <w:t>106</w:t>
            </w:r>
          </w:p>
        </w:tc>
        <w:tc>
          <w:tcPr>
            <w:tcW w:w="440" w:type="pct"/>
            <w:vAlign w:val="center"/>
          </w:tcPr>
          <w:p w14:paraId="51289BC2">
            <w:pPr>
              <w:pStyle w:val="11"/>
              <w:bidi w:val="0"/>
              <w:jc w:val="center"/>
              <w:rPr>
                <w:rFonts w:hint="eastAsia"/>
                <w:lang w:eastAsia="zh-CN"/>
              </w:rPr>
            </w:pPr>
            <w:r>
              <w:rPr>
                <w:rFonts w:hint="eastAsia"/>
              </w:rPr>
              <w:t>207</w:t>
            </w:r>
          </w:p>
        </w:tc>
        <w:tc>
          <w:tcPr>
            <w:tcW w:w="487" w:type="pct"/>
            <w:vAlign w:val="center"/>
          </w:tcPr>
          <w:p w14:paraId="26E5B18D">
            <w:pPr>
              <w:pStyle w:val="11"/>
              <w:bidi w:val="0"/>
              <w:jc w:val="center"/>
              <w:rPr>
                <w:rFonts w:hint="eastAsia"/>
                <w:lang w:eastAsia="zh-CN"/>
              </w:rPr>
            </w:pPr>
            <w:r>
              <w:rPr>
                <w:rFonts w:hint="eastAsia"/>
              </w:rPr>
              <w:t>491</w:t>
            </w:r>
          </w:p>
        </w:tc>
      </w:tr>
    </w:tbl>
    <w:p w14:paraId="5C04ECE0">
      <w:pPr>
        <w:pStyle w:val="4"/>
        <w:bidi w:val="0"/>
        <w:rPr>
          <w:rFonts w:hint="eastAsia"/>
        </w:rPr>
      </w:pPr>
      <w:r>
        <w:rPr>
          <w:rFonts w:hint="eastAsia"/>
        </w:rPr>
        <w:t>表40</w:t>
      </w:r>
      <w:r>
        <w:rPr>
          <w:rFonts w:hint="eastAsia"/>
          <w:lang w:val="en-US" w:eastAsia="zh-CN"/>
        </w:rPr>
        <w:t xml:space="preserve">  </w:t>
      </w:r>
      <w:r>
        <w:rPr>
          <w:rFonts w:hint="eastAsia"/>
        </w:rPr>
        <w:t>全市规模以上工业主要产品产量</w:t>
      </w:r>
    </w:p>
    <w:tbl>
      <w:tblPr>
        <w:tblStyle w:val="8"/>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48"/>
        <w:gridCol w:w="2227"/>
        <w:gridCol w:w="2043"/>
        <w:gridCol w:w="2044"/>
      </w:tblGrid>
      <w:tr w14:paraId="5CBF58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6D625445">
            <w:pPr>
              <w:pStyle w:val="11"/>
              <w:bidi w:val="0"/>
              <w:jc w:val="center"/>
              <w:rPr>
                <w:rFonts w:hint="eastAsia"/>
                <w:b/>
                <w:bCs/>
                <w:lang w:eastAsia="zh-CN"/>
              </w:rPr>
            </w:pPr>
            <w:r>
              <w:rPr>
                <w:rFonts w:hint="eastAsia"/>
                <w:b/>
                <w:bCs/>
              </w:rPr>
              <w:t>产品名称</w:t>
            </w:r>
          </w:p>
        </w:tc>
        <w:tc>
          <w:tcPr>
            <w:tcW w:w="1117" w:type="pct"/>
            <w:vAlign w:val="center"/>
          </w:tcPr>
          <w:p w14:paraId="6FDB341F">
            <w:pPr>
              <w:pStyle w:val="11"/>
              <w:bidi w:val="0"/>
              <w:jc w:val="center"/>
              <w:rPr>
                <w:rFonts w:hint="eastAsia"/>
                <w:b/>
                <w:bCs/>
                <w:lang w:eastAsia="zh-CN"/>
              </w:rPr>
            </w:pPr>
            <w:r>
              <w:rPr>
                <w:rFonts w:hint="eastAsia"/>
                <w:b/>
                <w:bCs/>
              </w:rPr>
              <w:t>计量单位</w:t>
            </w:r>
          </w:p>
        </w:tc>
        <w:tc>
          <w:tcPr>
            <w:tcW w:w="1025" w:type="pct"/>
            <w:vAlign w:val="center"/>
          </w:tcPr>
          <w:p w14:paraId="635B535F">
            <w:pPr>
              <w:pStyle w:val="11"/>
              <w:bidi w:val="0"/>
              <w:jc w:val="center"/>
              <w:rPr>
                <w:rFonts w:hint="eastAsia"/>
                <w:b/>
                <w:bCs/>
                <w:lang w:eastAsia="zh-CN"/>
              </w:rPr>
            </w:pPr>
            <w:r>
              <w:rPr>
                <w:rFonts w:hint="eastAsia"/>
                <w:b/>
                <w:bCs/>
              </w:rPr>
              <w:t>产量</w:t>
            </w:r>
          </w:p>
        </w:tc>
        <w:tc>
          <w:tcPr>
            <w:tcW w:w="1025" w:type="pct"/>
            <w:vAlign w:val="center"/>
          </w:tcPr>
          <w:p w14:paraId="251D357D">
            <w:pPr>
              <w:pStyle w:val="11"/>
              <w:bidi w:val="0"/>
              <w:jc w:val="center"/>
              <w:rPr>
                <w:rFonts w:hint="eastAsia"/>
                <w:b/>
                <w:bCs/>
                <w:lang w:eastAsia="zh-CN"/>
              </w:rPr>
            </w:pPr>
            <w:r>
              <w:rPr>
                <w:rFonts w:hint="eastAsia"/>
                <w:b/>
                <w:bCs/>
              </w:rPr>
              <w:t>同比增长（%）</w:t>
            </w:r>
          </w:p>
        </w:tc>
      </w:tr>
      <w:tr w14:paraId="343C0C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4EF81FC3">
            <w:pPr>
              <w:pStyle w:val="11"/>
              <w:bidi w:val="0"/>
              <w:jc w:val="both"/>
              <w:rPr>
                <w:rFonts w:hint="eastAsia"/>
                <w:lang w:eastAsia="zh-CN"/>
              </w:rPr>
            </w:pPr>
            <w:r>
              <w:rPr>
                <w:rFonts w:hint="eastAsia"/>
              </w:rPr>
              <w:t>大米</w:t>
            </w:r>
          </w:p>
        </w:tc>
        <w:tc>
          <w:tcPr>
            <w:tcW w:w="1117" w:type="pct"/>
            <w:vAlign w:val="center"/>
          </w:tcPr>
          <w:p w14:paraId="5F47221F">
            <w:pPr>
              <w:pStyle w:val="11"/>
              <w:bidi w:val="0"/>
              <w:jc w:val="center"/>
              <w:rPr>
                <w:rFonts w:hint="eastAsia"/>
                <w:lang w:eastAsia="zh-CN"/>
              </w:rPr>
            </w:pPr>
            <w:r>
              <w:rPr>
                <w:rFonts w:hint="eastAsia"/>
              </w:rPr>
              <w:t>吨</w:t>
            </w:r>
          </w:p>
        </w:tc>
        <w:tc>
          <w:tcPr>
            <w:tcW w:w="1025" w:type="pct"/>
            <w:vAlign w:val="center"/>
          </w:tcPr>
          <w:p w14:paraId="33B32727">
            <w:pPr>
              <w:pStyle w:val="11"/>
              <w:bidi w:val="0"/>
              <w:jc w:val="center"/>
              <w:rPr>
                <w:rFonts w:hint="eastAsia"/>
                <w:lang w:eastAsia="zh-CN"/>
              </w:rPr>
            </w:pPr>
            <w:r>
              <w:rPr>
                <w:rFonts w:hint="eastAsia"/>
              </w:rPr>
              <w:t>8645</w:t>
            </w:r>
          </w:p>
        </w:tc>
        <w:tc>
          <w:tcPr>
            <w:tcW w:w="1025" w:type="pct"/>
            <w:vAlign w:val="center"/>
          </w:tcPr>
          <w:p w14:paraId="0F7CC7AD">
            <w:pPr>
              <w:pStyle w:val="11"/>
              <w:bidi w:val="0"/>
              <w:jc w:val="center"/>
              <w:rPr>
                <w:rFonts w:hint="eastAsia"/>
                <w:lang w:eastAsia="zh-CN"/>
              </w:rPr>
            </w:pPr>
            <w:r>
              <w:rPr>
                <w:rFonts w:hint="eastAsia"/>
              </w:rPr>
              <w:t>12.6</w:t>
            </w:r>
          </w:p>
        </w:tc>
      </w:tr>
      <w:tr w14:paraId="7F7996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5863FBAB">
            <w:pPr>
              <w:pStyle w:val="11"/>
              <w:bidi w:val="0"/>
              <w:jc w:val="both"/>
              <w:rPr>
                <w:rFonts w:hint="eastAsia"/>
                <w:lang w:eastAsia="zh-CN"/>
              </w:rPr>
            </w:pPr>
            <w:r>
              <w:rPr>
                <w:rFonts w:hint="eastAsia"/>
              </w:rPr>
              <w:t>饲料</w:t>
            </w:r>
          </w:p>
        </w:tc>
        <w:tc>
          <w:tcPr>
            <w:tcW w:w="1117" w:type="pct"/>
            <w:vAlign w:val="center"/>
          </w:tcPr>
          <w:p w14:paraId="0F74BED4">
            <w:pPr>
              <w:pStyle w:val="11"/>
              <w:bidi w:val="0"/>
              <w:jc w:val="center"/>
              <w:rPr>
                <w:rFonts w:hint="eastAsia"/>
                <w:lang w:eastAsia="zh-CN"/>
              </w:rPr>
            </w:pPr>
            <w:r>
              <w:rPr>
                <w:rFonts w:hint="eastAsia"/>
              </w:rPr>
              <w:t>吨</w:t>
            </w:r>
          </w:p>
        </w:tc>
        <w:tc>
          <w:tcPr>
            <w:tcW w:w="1025" w:type="pct"/>
            <w:vAlign w:val="center"/>
          </w:tcPr>
          <w:p w14:paraId="0D8F6BEA">
            <w:pPr>
              <w:pStyle w:val="11"/>
              <w:bidi w:val="0"/>
              <w:jc w:val="center"/>
              <w:rPr>
                <w:rFonts w:hint="eastAsia"/>
                <w:lang w:eastAsia="zh-CN"/>
              </w:rPr>
            </w:pPr>
            <w:r>
              <w:rPr>
                <w:rFonts w:hint="eastAsia"/>
              </w:rPr>
              <w:t>164680</w:t>
            </w:r>
          </w:p>
        </w:tc>
        <w:tc>
          <w:tcPr>
            <w:tcW w:w="1025" w:type="pct"/>
            <w:vAlign w:val="center"/>
          </w:tcPr>
          <w:p w14:paraId="380175F4">
            <w:pPr>
              <w:pStyle w:val="11"/>
              <w:bidi w:val="0"/>
              <w:jc w:val="center"/>
              <w:rPr>
                <w:rFonts w:hint="eastAsia"/>
                <w:lang w:eastAsia="zh-CN"/>
              </w:rPr>
            </w:pPr>
            <w:r>
              <w:rPr>
                <w:rFonts w:hint="eastAsia"/>
              </w:rPr>
              <w:t>-15.4</w:t>
            </w:r>
          </w:p>
        </w:tc>
      </w:tr>
      <w:tr w14:paraId="6F5A27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2E38962E">
            <w:pPr>
              <w:pStyle w:val="11"/>
              <w:bidi w:val="0"/>
              <w:jc w:val="both"/>
              <w:rPr>
                <w:rFonts w:hint="eastAsia"/>
                <w:lang w:eastAsia="zh-CN"/>
              </w:rPr>
            </w:pPr>
            <w:r>
              <w:rPr>
                <w:rFonts w:hint="eastAsia"/>
              </w:rPr>
              <w:t>精制食用植物油</w:t>
            </w:r>
          </w:p>
        </w:tc>
        <w:tc>
          <w:tcPr>
            <w:tcW w:w="1117" w:type="pct"/>
            <w:vAlign w:val="center"/>
          </w:tcPr>
          <w:p w14:paraId="5100DE56">
            <w:pPr>
              <w:pStyle w:val="11"/>
              <w:bidi w:val="0"/>
              <w:jc w:val="center"/>
              <w:rPr>
                <w:rFonts w:hint="eastAsia"/>
                <w:lang w:eastAsia="zh-CN"/>
              </w:rPr>
            </w:pPr>
            <w:r>
              <w:rPr>
                <w:rFonts w:hint="eastAsia"/>
              </w:rPr>
              <w:t>吨</w:t>
            </w:r>
          </w:p>
        </w:tc>
        <w:tc>
          <w:tcPr>
            <w:tcW w:w="1025" w:type="pct"/>
            <w:vAlign w:val="center"/>
          </w:tcPr>
          <w:p w14:paraId="688675F6">
            <w:pPr>
              <w:pStyle w:val="11"/>
              <w:bidi w:val="0"/>
              <w:jc w:val="center"/>
              <w:rPr>
                <w:rFonts w:hint="eastAsia"/>
                <w:lang w:eastAsia="zh-CN"/>
              </w:rPr>
            </w:pPr>
            <w:r>
              <w:rPr>
                <w:rFonts w:hint="eastAsia"/>
              </w:rPr>
              <w:t>490</w:t>
            </w:r>
          </w:p>
        </w:tc>
        <w:tc>
          <w:tcPr>
            <w:tcW w:w="1025" w:type="pct"/>
            <w:vAlign w:val="center"/>
          </w:tcPr>
          <w:p w14:paraId="1EA855F6">
            <w:pPr>
              <w:pStyle w:val="11"/>
              <w:bidi w:val="0"/>
              <w:jc w:val="center"/>
              <w:rPr>
                <w:rFonts w:hint="eastAsia"/>
                <w:lang w:eastAsia="zh-CN"/>
              </w:rPr>
            </w:pPr>
            <w:r>
              <w:rPr>
                <w:rFonts w:hint="eastAsia"/>
              </w:rPr>
              <w:t>-6.7</w:t>
            </w:r>
          </w:p>
        </w:tc>
      </w:tr>
      <w:tr w14:paraId="320277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152E688C">
            <w:pPr>
              <w:pStyle w:val="11"/>
              <w:bidi w:val="0"/>
              <w:jc w:val="both"/>
              <w:rPr>
                <w:rFonts w:hint="eastAsia"/>
                <w:lang w:eastAsia="zh-CN"/>
              </w:rPr>
            </w:pPr>
            <w:r>
              <w:rPr>
                <w:rFonts w:hint="eastAsia"/>
              </w:rPr>
              <w:t>鲜、冷藏肉</w:t>
            </w:r>
          </w:p>
        </w:tc>
        <w:tc>
          <w:tcPr>
            <w:tcW w:w="1117" w:type="pct"/>
            <w:vAlign w:val="center"/>
          </w:tcPr>
          <w:p w14:paraId="05026A73">
            <w:pPr>
              <w:pStyle w:val="11"/>
              <w:bidi w:val="0"/>
              <w:jc w:val="center"/>
              <w:rPr>
                <w:rFonts w:hint="eastAsia"/>
                <w:lang w:eastAsia="zh-CN"/>
              </w:rPr>
            </w:pPr>
            <w:r>
              <w:rPr>
                <w:rFonts w:hint="eastAsia"/>
              </w:rPr>
              <w:t>吨</w:t>
            </w:r>
          </w:p>
        </w:tc>
        <w:tc>
          <w:tcPr>
            <w:tcW w:w="1025" w:type="pct"/>
            <w:vAlign w:val="center"/>
          </w:tcPr>
          <w:p w14:paraId="5137F7AD">
            <w:pPr>
              <w:pStyle w:val="11"/>
              <w:bidi w:val="0"/>
              <w:jc w:val="center"/>
              <w:rPr>
                <w:rFonts w:hint="eastAsia"/>
                <w:lang w:eastAsia="zh-CN"/>
              </w:rPr>
            </w:pPr>
            <w:r>
              <w:rPr>
                <w:rFonts w:hint="eastAsia"/>
              </w:rPr>
              <w:t>2771</w:t>
            </w:r>
          </w:p>
        </w:tc>
        <w:tc>
          <w:tcPr>
            <w:tcW w:w="1025" w:type="pct"/>
            <w:vAlign w:val="center"/>
          </w:tcPr>
          <w:p w14:paraId="2F258089">
            <w:pPr>
              <w:pStyle w:val="11"/>
              <w:bidi w:val="0"/>
              <w:jc w:val="center"/>
              <w:rPr>
                <w:rFonts w:hint="eastAsia"/>
                <w:lang w:eastAsia="zh-CN"/>
              </w:rPr>
            </w:pPr>
            <w:r>
              <w:rPr>
                <w:rFonts w:hint="eastAsia"/>
              </w:rPr>
              <w:t>206.9</w:t>
            </w:r>
          </w:p>
        </w:tc>
      </w:tr>
      <w:tr w14:paraId="5BA488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3B7A9479">
            <w:pPr>
              <w:pStyle w:val="11"/>
              <w:bidi w:val="0"/>
              <w:jc w:val="both"/>
              <w:rPr>
                <w:rFonts w:hint="eastAsia"/>
                <w:lang w:eastAsia="zh-CN"/>
              </w:rPr>
            </w:pPr>
            <w:r>
              <w:rPr>
                <w:rFonts w:hint="eastAsia"/>
              </w:rPr>
              <w:t>饮料酒</w:t>
            </w:r>
          </w:p>
        </w:tc>
        <w:tc>
          <w:tcPr>
            <w:tcW w:w="1117" w:type="pct"/>
            <w:vAlign w:val="center"/>
          </w:tcPr>
          <w:p w14:paraId="18645C8C">
            <w:pPr>
              <w:pStyle w:val="11"/>
              <w:bidi w:val="0"/>
              <w:jc w:val="center"/>
              <w:rPr>
                <w:rFonts w:hint="eastAsia"/>
                <w:lang w:eastAsia="zh-CN"/>
              </w:rPr>
            </w:pPr>
            <w:r>
              <w:rPr>
                <w:rFonts w:hint="eastAsia"/>
              </w:rPr>
              <w:t>千升</w:t>
            </w:r>
          </w:p>
        </w:tc>
        <w:tc>
          <w:tcPr>
            <w:tcW w:w="1025" w:type="pct"/>
            <w:vAlign w:val="center"/>
          </w:tcPr>
          <w:p w14:paraId="519BF7F5">
            <w:pPr>
              <w:pStyle w:val="11"/>
              <w:bidi w:val="0"/>
              <w:jc w:val="center"/>
              <w:rPr>
                <w:rFonts w:hint="eastAsia"/>
                <w:lang w:eastAsia="zh-CN"/>
              </w:rPr>
            </w:pPr>
            <w:r>
              <w:rPr>
                <w:rFonts w:hint="eastAsia"/>
              </w:rPr>
              <w:t>14</w:t>
            </w:r>
          </w:p>
        </w:tc>
        <w:tc>
          <w:tcPr>
            <w:tcW w:w="1025" w:type="pct"/>
            <w:vAlign w:val="center"/>
          </w:tcPr>
          <w:p w14:paraId="035C2B14">
            <w:pPr>
              <w:pStyle w:val="11"/>
              <w:bidi w:val="0"/>
              <w:jc w:val="center"/>
              <w:rPr>
                <w:rFonts w:hint="eastAsia"/>
                <w:lang w:eastAsia="zh-CN"/>
              </w:rPr>
            </w:pPr>
            <w:r>
              <w:rPr>
                <w:rFonts w:hint="eastAsia"/>
              </w:rPr>
              <w:t>-91.5</w:t>
            </w:r>
          </w:p>
        </w:tc>
      </w:tr>
      <w:tr w14:paraId="0C9E5D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6A879721">
            <w:pPr>
              <w:pStyle w:val="11"/>
              <w:bidi w:val="0"/>
              <w:ind w:leftChars="100"/>
              <w:jc w:val="both"/>
              <w:rPr>
                <w:rFonts w:hint="eastAsia"/>
                <w:lang w:eastAsia="zh-CN"/>
              </w:rPr>
            </w:pPr>
            <w:r>
              <w:rPr>
                <w:rFonts w:hint="eastAsia"/>
              </w:rPr>
              <w:t>其中：白酒（折65度，商品量）</w:t>
            </w:r>
          </w:p>
        </w:tc>
        <w:tc>
          <w:tcPr>
            <w:tcW w:w="1117" w:type="pct"/>
            <w:vAlign w:val="center"/>
          </w:tcPr>
          <w:p w14:paraId="6FD0D4A9">
            <w:pPr>
              <w:pStyle w:val="11"/>
              <w:bidi w:val="0"/>
              <w:jc w:val="center"/>
              <w:rPr>
                <w:rFonts w:hint="eastAsia"/>
                <w:lang w:eastAsia="zh-CN"/>
              </w:rPr>
            </w:pPr>
            <w:r>
              <w:rPr>
                <w:rFonts w:hint="eastAsia"/>
              </w:rPr>
              <w:t>千升</w:t>
            </w:r>
          </w:p>
        </w:tc>
        <w:tc>
          <w:tcPr>
            <w:tcW w:w="1025" w:type="pct"/>
            <w:vAlign w:val="center"/>
          </w:tcPr>
          <w:p w14:paraId="1B3BBE94">
            <w:pPr>
              <w:pStyle w:val="11"/>
              <w:bidi w:val="0"/>
              <w:jc w:val="center"/>
              <w:rPr>
                <w:rFonts w:hint="eastAsia"/>
                <w:lang w:eastAsia="zh-CN"/>
              </w:rPr>
            </w:pPr>
            <w:r>
              <w:rPr>
                <w:rFonts w:hint="eastAsia"/>
              </w:rPr>
              <w:t>14</w:t>
            </w:r>
          </w:p>
        </w:tc>
        <w:tc>
          <w:tcPr>
            <w:tcW w:w="1025" w:type="pct"/>
            <w:vAlign w:val="center"/>
          </w:tcPr>
          <w:p w14:paraId="78B8275F">
            <w:pPr>
              <w:pStyle w:val="11"/>
              <w:bidi w:val="0"/>
              <w:jc w:val="center"/>
              <w:rPr>
                <w:rFonts w:hint="eastAsia"/>
                <w:lang w:eastAsia="zh-CN"/>
              </w:rPr>
            </w:pPr>
            <w:r>
              <w:rPr>
                <w:rFonts w:hint="eastAsia"/>
              </w:rPr>
              <w:t>-91.5</w:t>
            </w:r>
          </w:p>
        </w:tc>
      </w:tr>
      <w:tr w14:paraId="3652A0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0CA27372">
            <w:pPr>
              <w:pStyle w:val="11"/>
              <w:bidi w:val="0"/>
              <w:jc w:val="both"/>
              <w:rPr>
                <w:rFonts w:hint="eastAsia"/>
                <w:lang w:eastAsia="zh-CN"/>
              </w:rPr>
            </w:pPr>
            <w:r>
              <w:rPr>
                <w:rFonts w:hint="eastAsia"/>
              </w:rPr>
              <w:t>服装</w:t>
            </w:r>
          </w:p>
        </w:tc>
        <w:tc>
          <w:tcPr>
            <w:tcW w:w="1117" w:type="pct"/>
            <w:vAlign w:val="center"/>
          </w:tcPr>
          <w:p w14:paraId="5755DBDD">
            <w:pPr>
              <w:pStyle w:val="11"/>
              <w:bidi w:val="0"/>
              <w:jc w:val="center"/>
              <w:rPr>
                <w:rFonts w:hint="eastAsia"/>
                <w:lang w:eastAsia="zh-CN"/>
              </w:rPr>
            </w:pPr>
            <w:r>
              <w:rPr>
                <w:rFonts w:hint="eastAsia"/>
              </w:rPr>
              <w:t>万件</w:t>
            </w:r>
          </w:p>
        </w:tc>
        <w:tc>
          <w:tcPr>
            <w:tcW w:w="1025" w:type="pct"/>
            <w:vAlign w:val="center"/>
          </w:tcPr>
          <w:p w14:paraId="09EF1924">
            <w:pPr>
              <w:pStyle w:val="11"/>
              <w:bidi w:val="0"/>
              <w:jc w:val="center"/>
              <w:rPr>
                <w:rFonts w:hint="eastAsia"/>
                <w:lang w:eastAsia="zh-CN"/>
              </w:rPr>
            </w:pPr>
            <w:r>
              <w:rPr>
                <w:rFonts w:hint="eastAsia"/>
              </w:rPr>
              <w:t>230</w:t>
            </w:r>
          </w:p>
        </w:tc>
        <w:tc>
          <w:tcPr>
            <w:tcW w:w="1025" w:type="pct"/>
            <w:vAlign w:val="center"/>
          </w:tcPr>
          <w:p w14:paraId="3F060467">
            <w:pPr>
              <w:pStyle w:val="11"/>
              <w:bidi w:val="0"/>
              <w:jc w:val="center"/>
              <w:rPr>
                <w:rFonts w:hint="eastAsia"/>
                <w:lang w:eastAsia="zh-CN"/>
              </w:rPr>
            </w:pPr>
            <w:r>
              <w:rPr>
                <w:rFonts w:hint="eastAsia"/>
              </w:rPr>
              <w:t>36.7</w:t>
            </w:r>
          </w:p>
        </w:tc>
      </w:tr>
      <w:tr w14:paraId="01B6CC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494DA455">
            <w:pPr>
              <w:pStyle w:val="11"/>
              <w:bidi w:val="0"/>
              <w:jc w:val="both"/>
              <w:rPr>
                <w:rFonts w:hint="eastAsia"/>
                <w:lang w:eastAsia="zh-CN"/>
              </w:rPr>
            </w:pPr>
            <w:r>
              <w:rPr>
                <w:rFonts w:hint="eastAsia"/>
              </w:rPr>
              <w:t>家具</w:t>
            </w:r>
          </w:p>
        </w:tc>
        <w:tc>
          <w:tcPr>
            <w:tcW w:w="1117" w:type="pct"/>
            <w:vAlign w:val="center"/>
          </w:tcPr>
          <w:p w14:paraId="64D4CB0D">
            <w:pPr>
              <w:pStyle w:val="11"/>
              <w:bidi w:val="0"/>
              <w:jc w:val="center"/>
              <w:rPr>
                <w:rFonts w:hint="eastAsia"/>
                <w:lang w:eastAsia="zh-CN"/>
              </w:rPr>
            </w:pPr>
            <w:r>
              <w:rPr>
                <w:rFonts w:hint="eastAsia"/>
              </w:rPr>
              <w:t>件</w:t>
            </w:r>
          </w:p>
        </w:tc>
        <w:tc>
          <w:tcPr>
            <w:tcW w:w="1025" w:type="pct"/>
            <w:vAlign w:val="center"/>
          </w:tcPr>
          <w:p w14:paraId="4C0A1FC8">
            <w:pPr>
              <w:pStyle w:val="11"/>
              <w:bidi w:val="0"/>
              <w:jc w:val="center"/>
              <w:rPr>
                <w:rFonts w:hint="eastAsia"/>
                <w:lang w:eastAsia="zh-CN"/>
              </w:rPr>
            </w:pPr>
            <w:r>
              <w:rPr>
                <w:rFonts w:hint="eastAsia"/>
              </w:rPr>
              <w:t>19974</w:t>
            </w:r>
          </w:p>
        </w:tc>
        <w:tc>
          <w:tcPr>
            <w:tcW w:w="1025" w:type="pct"/>
            <w:vAlign w:val="center"/>
          </w:tcPr>
          <w:p w14:paraId="054E9674">
            <w:pPr>
              <w:pStyle w:val="11"/>
              <w:bidi w:val="0"/>
              <w:jc w:val="center"/>
              <w:rPr>
                <w:rFonts w:hint="eastAsia"/>
                <w:lang w:eastAsia="zh-CN"/>
              </w:rPr>
            </w:pPr>
            <w:r>
              <w:rPr>
                <w:rFonts w:hint="eastAsia"/>
              </w:rPr>
              <w:t>352.6</w:t>
            </w:r>
          </w:p>
        </w:tc>
      </w:tr>
      <w:tr w14:paraId="33AE13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53A89704">
            <w:pPr>
              <w:pStyle w:val="11"/>
              <w:bidi w:val="0"/>
              <w:ind w:leftChars="100"/>
              <w:jc w:val="both"/>
              <w:rPr>
                <w:rFonts w:hint="eastAsia"/>
                <w:lang w:eastAsia="zh-CN"/>
              </w:rPr>
            </w:pPr>
            <w:r>
              <w:rPr>
                <w:rFonts w:hint="eastAsia"/>
              </w:rPr>
              <w:t>其中：木质家具</w:t>
            </w:r>
          </w:p>
        </w:tc>
        <w:tc>
          <w:tcPr>
            <w:tcW w:w="1117" w:type="pct"/>
            <w:vAlign w:val="center"/>
          </w:tcPr>
          <w:p w14:paraId="7809C15E">
            <w:pPr>
              <w:pStyle w:val="11"/>
              <w:bidi w:val="0"/>
              <w:jc w:val="center"/>
              <w:rPr>
                <w:rFonts w:hint="eastAsia"/>
                <w:lang w:eastAsia="zh-CN"/>
              </w:rPr>
            </w:pPr>
            <w:r>
              <w:rPr>
                <w:rFonts w:hint="eastAsia"/>
              </w:rPr>
              <w:t>件</w:t>
            </w:r>
          </w:p>
        </w:tc>
        <w:tc>
          <w:tcPr>
            <w:tcW w:w="1025" w:type="pct"/>
            <w:vAlign w:val="center"/>
          </w:tcPr>
          <w:p w14:paraId="0DD627C0">
            <w:pPr>
              <w:pStyle w:val="11"/>
              <w:bidi w:val="0"/>
              <w:jc w:val="center"/>
              <w:rPr>
                <w:rFonts w:hint="eastAsia"/>
                <w:lang w:eastAsia="zh-CN"/>
              </w:rPr>
            </w:pPr>
            <w:r>
              <w:rPr>
                <w:rFonts w:hint="eastAsia"/>
              </w:rPr>
              <w:t>19974</w:t>
            </w:r>
          </w:p>
        </w:tc>
        <w:tc>
          <w:tcPr>
            <w:tcW w:w="1025" w:type="pct"/>
            <w:vAlign w:val="center"/>
          </w:tcPr>
          <w:p w14:paraId="46A29FA1">
            <w:pPr>
              <w:pStyle w:val="11"/>
              <w:bidi w:val="0"/>
              <w:jc w:val="center"/>
              <w:rPr>
                <w:rFonts w:hint="eastAsia"/>
                <w:lang w:eastAsia="zh-CN"/>
              </w:rPr>
            </w:pPr>
            <w:r>
              <w:rPr>
                <w:rFonts w:hint="eastAsia"/>
              </w:rPr>
              <w:t>352.6</w:t>
            </w:r>
          </w:p>
        </w:tc>
      </w:tr>
      <w:tr w14:paraId="49215A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7C3E6CF6">
            <w:pPr>
              <w:pStyle w:val="11"/>
              <w:bidi w:val="0"/>
              <w:jc w:val="both"/>
              <w:rPr>
                <w:rFonts w:hint="eastAsia"/>
                <w:lang w:eastAsia="zh-CN"/>
              </w:rPr>
            </w:pPr>
            <w:r>
              <w:rPr>
                <w:rFonts w:hint="eastAsia"/>
              </w:rPr>
              <w:t>机制纸及纸板（外购原纸加工除外）</w:t>
            </w:r>
          </w:p>
        </w:tc>
        <w:tc>
          <w:tcPr>
            <w:tcW w:w="1117" w:type="pct"/>
            <w:vAlign w:val="center"/>
          </w:tcPr>
          <w:p w14:paraId="480E1474">
            <w:pPr>
              <w:pStyle w:val="11"/>
              <w:bidi w:val="0"/>
              <w:jc w:val="center"/>
              <w:rPr>
                <w:rFonts w:hint="eastAsia"/>
                <w:lang w:eastAsia="zh-CN"/>
              </w:rPr>
            </w:pPr>
            <w:r>
              <w:rPr>
                <w:rFonts w:hint="eastAsia"/>
              </w:rPr>
              <w:t>吨</w:t>
            </w:r>
          </w:p>
        </w:tc>
        <w:tc>
          <w:tcPr>
            <w:tcW w:w="1025" w:type="pct"/>
            <w:vAlign w:val="center"/>
          </w:tcPr>
          <w:p w14:paraId="2D0A4425">
            <w:pPr>
              <w:pStyle w:val="11"/>
              <w:bidi w:val="0"/>
              <w:jc w:val="center"/>
              <w:rPr>
                <w:rFonts w:hint="eastAsia"/>
                <w:lang w:eastAsia="zh-CN"/>
              </w:rPr>
            </w:pPr>
            <w:r>
              <w:rPr>
                <w:rFonts w:hint="eastAsia"/>
              </w:rPr>
              <w:t>42827</w:t>
            </w:r>
          </w:p>
        </w:tc>
        <w:tc>
          <w:tcPr>
            <w:tcW w:w="1025" w:type="pct"/>
            <w:vAlign w:val="center"/>
          </w:tcPr>
          <w:p w14:paraId="6EDEA4FA">
            <w:pPr>
              <w:pStyle w:val="11"/>
              <w:bidi w:val="0"/>
              <w:jc w:val="center"/>
              <w:rPr>
                <w:rFonts w:hint="eastAsia"/>
                <w:lang w:eastAsia="zh-CN"/>
              </w:rPr>
            </w:pPr>
            <w:r>
              <w:rPr>
                <w:rFonts w:hint="eastAsia"/>
              </w:rPr>
              <w:t>0.0</w:t>
            </w:r>
          </w:p>
        </w:tc>
      </w:tr>
      <w:tr w14:paraId="733F86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10D4A9E6">
            <w:pPr>
              <w:pStyle w:val="11"/>
              <w:bidi w:val="0"/>
              <w:ind w:leftChars="200"/>
              <w:jc w:val="both"/>
              <w:rPr>
                <w:rFonts w:hint="eastAsia"/>
                <w:lang w:eastAsia="zh-CN"/>
              </w:rPr>
            </w:pPr>
            <w:r>
              <w:rPr>
                <w:rFonts w:hint="eastAsia"/>
              </w:rPr>
              <w:t>卫生用纸原纸</w:t>
            </w:r>
          </w:p>
        </w:tc>
        <w:tc>
          <w:tcPr>
            <w:tcW w:w="1117" w:type="pct"/>
            <w:vAlign w:val="center"/>
          </w:tcPr>
          <w:p w14:paraId="3ADD2E85">
            <w:pPr>
              <w:pStyle w:val="11"/>
              <w:bidi w:val="0"/>
              <w:jc w:val="center"/>
              <w:rPr>
                <w:rFonts w:hint="eastAsia"/>
                <w:lang w:eastAsia="zh-CN"/>
              </w:rPr>
            </w:pPr>
            <w:r>
              <w:rPr>
                <w:rFonts w:hint="eastAsia"/>
              </w:rPr>
              <w:t>吨</w:t>
            </w:r>
          </w:p>
        </w:tc>
        <w:tc>
          <w:tcPr>
            <w:tcW w:w="1025" w:type="pct"/>
            <w:vAlign w:val="center"/>
          </w:tcPr>
          <w:p w14:paraId="6F248563">
            <w:pPr>
              <w:pStyle w:val="11"/>
              <w:bidi w:val="0"/>
              <w:jc w:val="center"/>
              <w:rPr>
                <w:rFonts w:hint="eastAsia"/>
                <w:lang w:eastAsia="zh-CN"/>
              </w:rPr>
            </w:pPr>
            <w:r>
              <w:rPr>
                <w:rFonts w:hint="eastAsia"/>
              </w:rPr>
              <w:t>16566</w:t>
            </w:r>
          </w:p>
        </w:tc>
        <w:tc>
          <w:tcPr>
            <w:tcW w:w="1025" w:type="pct"/>
            <w:vAlign w:val="center"/>
          </w:tcPr>
          <w:p w14:paraId="71AC64CC">
            <w:pPr>
              <w:pStyle w:val="11"/>
              <w:bidi w:val="0"/>
              <w:jc w:val="center"/>
              <w:rPr>
                <w:rFonts w:hint="eastAsia"/>
                <w:lang w:eastAsia="zh-CN"/>
              </w:rPr>
            </w:pPr>
            <w:r>
              <w:rPr>
                <w:rFonts w:hint="eastAsia"/>
              </w:rPr>
              <w:t>0.0</w:t>
            </w:r>
          </w:p>
        </w:tc>
      </w:tr>
      <w:tr w14:paraId="530AC1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5AC2AFA0">
            <w:pPr>
              <w:pStyle w:val="11"/>
              <w:bidi w:val="0"/>
              <w:jc w:val="both"/>
              <w:rPr>
                <w:rFonts w:hint="eastAsia"/>
                <w:lang w:eastAsia="zh-CN"/>
              </w:rPr>
            </w:pPr>
            <w:r>
              <w:rPr>
                <w:rFonts w:hint="eastAsia"/>
              </w:rPr>
              <w:t>纸制品</w:t>
            </w:r>
          </w:p>
        </w:tc>
        <w:tc>
          <w:tcPr>
            <w:tcW w:w="1117" w:type="pct"/>
            <w:vAlign w:val="center"/>
          </w:tcPr>
          <w:p w14:paraId="4D969993">
            <w:pPr>
              <w:pStyle w:val="11"/>
              <w:bidi w:val="0"/>
              <w:jc w:val="center"/>
              <w:rPr>
                <w:rFonts w:hint="eastAsia"/>
                <w:lang w:eastAsia="zh-CN"/>
              </w:rPr>
            </w:pPr>
            <w:r>
              <w:rPr>
                <w:rFonts w:hint="eastAsia"/>
              </w:rPr>
              <w:t>吨</w:t>
            </w:r>
          </w:p>
        </w:tc>
        <w:tc>
          <w:tcPr>
            <w:tcW w:w="1025" w:type="pct"/>
            <w:vAlign w:val="center"/>
          </w:tcPr>
          <w:p w14:paraId="2F6FEBCB">
            <w:pPr>
              <w:pStyle w:val="11"/>
              <w:bidi w:val="0"/>
              <w:jc w:val="center"/>
              <w:rPr>
                <w:rFonts w:hint="eastAsia"/>
                <w:lang w:eastAsia="zh-CN"/>
              </w:rPr>
            </w:pPr>
            <w:r>
              <w:rPr>
                <w:rFonts w:hint="eastAsia"/>
              </w:rPr>
              <w:t>21379</w:t>
            </w:r>
          </w:p>
        </w:tc>
        <w:tc>
          <w:tcPr>
            <w:tcW w:w="1025" w:type="pct"/>
            <w:vAlign w:val="center"/>
          </w:tcPr>
          <w:p w14:paraId="5CED054E">
            <w:pPr>
              <w:pStyle w:val="11"/>
              <w:bidi w:val="0"/>
              <w:jc w:val="center"/>
              <w:rPr>
                <w:rFonts w:hint="eastAsia"/>
                <w:lang w:eastAsia="zh-CN"/>
              </w:rPr>
            </w:pPr>
            <w:r>
              <w:rPr>
                <w:rFonts w:hint="eastAsia"/>
              </w:rPr>
              <w:t>33.5</w:t>
            </w:r>
          </w:p>
        </w:tc>
      </w:tr>
      <w:tr w14:paraId="0088CB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7945103D">
            <w:pPr>
              <w:pStyle w:val="11"/>
              <w:bidi w:val="0"/>
              <w:ind w:leftChars="100"/>
              <w:jc w:val="both"/>
              <w:rPr>
                <w:rFonts w:hint="eastAsia"/>
                <w:lang w:eastAsia="zh-CN"/>
              </w:rPr>
            </w:pPr>
            <w:r>
              <w:rPr>
                <w:rFonts w:hint="eastAsia"/>
              </w:rPr>
              <w:t>其中：瓦楞纸箱</w:t>
            </w:r>
          </w:p>
        </w:tc>
        <w:tc>
          <w:tcPr>
            <w:tcW w:w="1117" w:type="pct"/>
            <w:vAlign w:val="center"/>
          </w:tcPr>
          <w:p w14:paraId="7F821EC6">
            <w:pPr>
              <w:pStyle w:val="11"/>
              <w:bidi w:val="0"/>
              <w:jc w:val="center"/>
              <w:rPr>
                <w:rFonts w:hint="eastAsia"/>
                <w:lang w:eastAsia="zh-CN"/>
              </w:rPr>
            </w:pPr>
            <w:r>
              <w:rPr>
                <w:rFonts w:hint="eastAsia"/>
              </w:rPr>
              <w:t>吨</w:t>
            </w:r>
          </w:p>
        </w:tc>
        <w:tc>
          <w:tcPr>
            <w:tcW w:w="1025" w:type="pct"/>
            <w:vAlign w:val="center"/>
          </w:tcPr>
          <w:p w14:paraId="1BD140C1">
            <w:pPr>
              <w:pStyle w:val="11"/>
              <w:bidi w:val="0"/>
              <w:jc w:val="center"/>
              <w:rPr>
                <w:rFonts w:hint="eastAsia"/>
                <w:lang w:eastAsia="zh-CN"/>
              </w:rPr>
            </w:pPr>
            <w:r>
              <w:rPr>
                <w:rFonts w:hint="eastAsia"/>
              </w:rPr>
              <w:t>15</w:t>
            </w:r>
          </w:p>
        </w:tc>
        <w:tc>
          <w:tcPr>
            <w:tcW w:w="1025" w:type="pct"/>
            <w:vAlign w:val="center"/>
          </w:tcPr>
          <w:p w14:paraId="16E28AE8">
            <w:pPr>
              <w:pStyle w:val="11"/>
              <w:bidi w:val="0"/>
              <w:jc w:val="center"/>
              <w:rPr>
                <w:rFonts w:hint="eastAsia"/>
                <w:lang w:eastAsia="zh-CN"/>
              </w:rPr>
            </w:pPr>
            <w:r>
              <w:rPr>
                <w:rFonts w:hint="eastAsia"/>
              </w:rPr>
              <w:t>-37.0</w:t>
            </w:r>
          </w:p>
        </w:tc>
      </w:tr>
      <w:tr w14:paraId="7E6DE7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2F0B910A">
            <w:pPr>
              <w:pStyle w:val="11"/>
              <w:bidi w:val="0"/>
              <w:jc w:val="both"/>
              <w:rPr>
                <w:rFonts w:hint="eastAsia"/>
                <w:lang w:eastAsia="zh-CN"/>
              </w:rPr>
            </w:pPr>
            <w:r>
              <w:rPr>
                <w:rFonts w:hint="eastAsia"/>
              </w:rPr>
              <w:t>化学农药原药（折有效成分100％）</w:t>
            </w:r>
          </w:p>
        </w:tc>
        <w:tc>
          <w:tcPr>
            <w:tcW w:w="1117" w:type="pct"/>
            <w:vAlign w:val="center"/>
          </w:tcPr>
          <w:p w14:paraId="4CB88940">
            <w:pPr>
              <w:pStyle w:val="11"/>
              <w:bidi w:val="0"/>
              <w:jc w:val="center"/>
              <w:rPr>
                <w:rFonts w:hint="eastAsia"/>
                <w:lang w:eastAsia="zh-CN"/>
              </w:rPr>
            </w:pPr>
            <w:r>
              <w:rPr>
                <w:rFonts w:hint="eastAsia"/>
              </w:rPr>
              <w:t>吨</w:t>
            </w:r>
          </w:p>
        </w:tc>
        <w:tc>
          <w:tcPr>
            <w:tcW w:w="1025" w:type="pct"/>
            <w:vAlign w:val="center"/>
          </w:tcPr>
          <w:p w14:paraId="533E3C80">
            <w:pPr>
              <w:pStyle w:val="11"/>
              <w:bidi w:val="0"/>
              <w:jc w:val="center"/>
              <w:rPr>
                <w:rFonts w:hint="eastAsia"/>
                <w:lang w:eastAsia="zh-CN"/>
              </w:rPr>
            </w:pPr>
            <w:r>
              <w:rPr>
                <w:rFonts w:hint="eastAsia"/>
              </w:rPr>
              <w:t>116</w:t>
            </w:r>
          </w:p>
        </w:tc>
        <w:tc>
          <w:tcPr>
            <w:tcW w:w="1025" w:type="pct"/>
            <w:vAlign w:val="center"/>
          </w:tcPr>
          <w:p w14:paraId="19535568">
            <w:pPr>
              <w:pStyle w:val="11"/>
              <w:bidi w:val="0"/>
              <w:jc w:val="center"/>
              <w:rPr>
                <w:rFonts w:hint="eastAsia"/>
                <w:lang w:eastAsia="zh-CN"/>
              </w:rPr>
            </w:pPr>
            <w:r>
              <w:rPr>
                <w:rFonts w:hint="eastAsia"/>
              </w:rPr>
              <w:t>-55.4</w:t>
            </w:r>
          </w:p>
        </w:tc>
      </w:tr>
      <w:tr w14:paraId="3DDBE0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1500DF0C">
            <w:pPr>
              <w:pStyle w:val="11"/>
              <w:bidi w:val="0"/>
              <w:jc w:val="both"/>
              <w:rPr>
                <w:rFonts w:hint="eastAsia"/>
                <w:lang w:eastAsia="zh-CN"/>
              </w:rPr>
            </w:pPr>
            <w:r>
              <w:rPr>
                <w:rFonts w:hint="eastAsia"/>
              </w:rPr>
              <w:t>涂料</w:t>
            </w:r>
          </w:p>
        </w:tc>
        <w:tc>
          <w:tcPr>
            <w:tcW w:w="1117" w:type="pct"/>
            <w:vAlign w:val="center"/>
          </w:tcPr>
          <w:p w14:paraId="7B9D8FFD">
            <w:pPr>
              <w:pStyle w:val="11"/>
              <w:bidi w:val="0"/>
              <w:jc w:val="center"/>
              <w:rPr>
                <w:rFonts w:hint="eastAsia"/>
                <w:lang w:eastAsia="zh-CN"/>
              </w:rPr>
            </w:pPr>
            <w:r>
              <w:rPr>
                <w:rFonts w:hint="eastAsia"/>
              </w:rPr>
              <w:t>吨</w:t>
            </w:r>
          </w:p>
        </w:tc>
        <w:tc>
          <w:tcPr>
            <w:tcW w:w="1025" w:type="pct"/>
            <w:vAlign w:val="center"/>
          </w:tcPr>
          <w:p w14:paraId="229262F1">
            <w:pPr>
              <w:pStyle w:val="11"/>
              <w:bidi w:val="0"/>
              <w:jc w:val="center"/>
              <w:rPr>
                <w:rFonts w:hint="eastAsia"/>
                <w:lang w:eastAsia="zh-CN"/>
              </w:rPr>
            </w:pPr>
            <w:r>
              <w:rPr>
                <w:rFonts w:hint="eastAsia"/>
              </w:rPr>
              <w:t>43464</w:t>
            </w:r>
          </w:p>
        </w:tc>
        <w:tc>
          <w:tcPr>
            <w:tcW w:w="1025" w:type="pct"/>
            <w:vAlign w:val="center"/>
          </w:tcPr>
          <w:p w14:paraId="7D616A1D">
            <w:pPr>
              <w:pStyle w:val="11"/>
              <w:bidi w:val="0"/>
              <w:jc w:val="center"/>
              <w:rPr>
                <w:rFonts w:hint="eastAsia"/>
                <w:lang w:eastAsia="zh-CN"/>
              </w:rPr>
            </w:pPr>
            <w:r>
              <w:rPr>
                <w:rFonts w:hint="eastAsia"/>
              </w:rPr>
              <w:t>13.2</w:t>
            </w:r>
          </w:p>
        </w:tc>
      </w:tr>
      <w:tr w14:paraId="522200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4CC5C4F0">
            <w:pPr>
              <w:pStyle w:val="11"/>
              <w:bidi w:val="0"/>
              <w:jc w:val="both"/>
              <w:rPr>
                <w:rFonts w:hint="eastAsia"/>
                <w:lang w:eastAsia="zh-CN"/>
              </w:rPr>
            </w:pPr>
            <w:r>
              <w:rPr>
                <w:rFonts w:hint="eastAsia"/>
              </w:rPr>
              <w:t>初级形态塑料</w:t>
            </w:r>
          </w:p>
        </w:tc>
        <w:tc>
          <w:tcPr>
            <w:tcW w:w="1117" w:type="pct"/>
            <w:vAlign w:val="center"/>
          </w:tcPr>
          <w:p w14:paraId="2467DCB6">
            <w:pPr>
              <w:pStyle w:val="11"/>
              <w:bidi w:val="0"/>
              <w:jc w:val="center"/>
              <w:rPr>
                <w:rFonts w:hint="eastAsia"/>
                <w:lang w:eastAsia="zh-CN"/>
              </w:rPr>
            </w:pPr>
            <w:r>
              <w:rPr>
                <w:rFonts w:hint="eastAsia"/>
              </w:rPr>
              <w:t>吨</w:t>
            </w:r>
          </w:p>
        </w:tc>
        <w:tc>
          <w:tcPr>
            <w:tcW w:w="1025" w:type="pct"/>
            <w:vAlign w:val="center"/>
          </w:tcPr>
          <w:p w14:paraId="4D7B26AE">
            <w:pPr>
              <w:pStyle w:val="11"/>
              <w:bidi w:val="0"/>
              <w:jc w:val="center"/>
              <w:rPr>
                <w:rFonts w:hint="eastAsia"/>
                <w:lang w:eastAsia="zh-CN"/>
              </w:rPr>
            </w:pPr>
            <w:r>
              <w:rPr>
                <w:rFonts w:hint="eastAsia"/>
              </w:rPr>
              <w:t>27620</w:t>
            </w:r>
          </w:p>
        </w:tc>
        <w:tc>
          <w:tcPr>
            <w:tcW w:w="1025" w:type="pct"/>
            <w:vAlign w:val="center"/>
          </w:tcPr>
          <w:p w14:paraId="4C243123">
            <w:pPr>
              <w:pStyle w:val="11"/>
              <w:bidi w:val="0"/>
              <w:jc w:val="center"/>
              <w:rPr>
                <w:rFonts w:hint="eastAsia"/>
                <w:lang w:eastAsia="zh-CN"/>
              </w:rPr>
            </w:pPr>
            <w:r>
              <w:rPr>
                <w:rFonts w:hint="eastAsia"/>
              </w:rPr>
              <w:t>11.1</w:t>
            </w:r>
          </w:p>
        </w:tc>
      </w:tr>
      <w:tr w14:paraId="199A49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0822318C">
            <w:pPr>
              <w:pStyle w:val="11"/>
              <w:bidi w:val="0"/>
              <w:ind w:leftChars="200"/>
              <w:jc w:val="both"/>
              <w:rPr>
                <w:rFonts w:hint="eastAsia"/>
                <w:lang w:eastAsia="zh-CN"/>
              </w:rPr>
            </w:pPr>
            <w:r>
              <w:rPr>
                <w:rFonts w:hint="eastAsia"/>
              </w:rPr>
              <w:t>聚丙烯树脂</w:t>
            </w:r>
          </w:p>
        </w:tc>
        <w:tc>
          <w:tcPr>
            <w:tcW w:w="1117" w:type="pct"/>
            <w:vAlign w:val="center"/>
          </w:tcPr>
          <w:p w14:paraId="2F6D4454">
            <w:pPr>
              <w:pStyle w:val="11"/>
              <w:bidi w:val="0"/>
              <w:jc w:val="center"/>
              <w:rPr>
                <w:rFonts w:hint="eastAsia"/>
                <w:lang w:eastAsia="zh-CN"/>
              </w:rPr>
            </w:pPr>
            <w:r>
              <w:rPr>
                <w:rFonts w:hint="eastAsia"/>
              </w:rPr>
              <w:t>吨</w:t>
            </w:r>
          </w:p>
        </w:tc>
        <w:tc>
          <w:tcPr>
            <w:tcW w:w="1025" w:type="pct"/>
            <w:vAlign w:val="center"/>
          </w:tcPr>
          <w:p w14:paraId="291AE877">
            <w:pPr>
              <w:pStyle w:val="11"/>
              <w:bidi w:val="0"/>
              <w:jc w:val="center"/>
              <w:rPr>
                <w:rFonts w:hint="eastAsia"/>
                <w:lang w:eastAsia="zh-CN"/>
              </w:rPr>
            </w:pPr>
            <w:r>
              <w:rPr>
                <w:rFonts w:hint="eastAsia"/>
              </w:rPr>
              <w:t>6008</w:t>
            </w:r>
          </w:p>
        </w:tc>
        <w:tc>
          <w:tcPr>
            <w:tcW w:w="1025" w:type="pct"/>
            <w:vAlign w:val="center"/>
          </w:tcPr>
          <w:p w14:paraId="15705468">
            <w:pPr>
              <w:pStyle w:val="11"/>
              <w:bidi w:val="0"/>
              <w:jc w:val="center"/>
              <w:rPr>
                <w:rFonts w:hint="eastAsia"/>
                <w:lang w:eastAsia="zh-CN"/>
              </w:rPr>
            </w:pPr>
            <w:r>
              <w:rPr>
                <w:rFonts w:hint="eastAsia"/>
              </w:rPr>
              <w:t>-6.8</w:t>
            </w:r>
          </w:p>
        </w:tc>
      </w:tr>
      <w:tr w14:paraId="27D6A9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48D0D62B">
            <w:pPr>
              <w:pStyle w:val="11"/>
              <w:bidi w:val="0"/>
              <w:jc w:val="both"/>
              <w:rPr>
                <w:rFonts w:hint="eastAsia"/>
                <w:lang w:eastAsia="zh-CN"/>
              </w:rPr>
            </w:pPr>
            <w:r>
              <w:rPr>
                <w:rFonts w:hint="eastAsia"/>
              </w:rPr>
              <w:t>化学试剂</w:t>
            </w:r>
          </w:p>
        </w:tc>
        <w:tc>
          <w:tcPr>
            <w:tcW w:w="1117" w:type="pct"/>
            <w:vAlign w:val="center"/>
          </w:tcPr>
          <w:p w14:paraId="11B20D5B">
            <w:pPr>
              <w:pStyle w:val="11"/>
              <w:bidi w:val="0"/>
              <w:jc w:val="center"/>
              <w:rPr>
                <w:rFonts w:hint="eastAsia"/>
                <w:lang w:eastAsia="zh-CN"/>
              </w:rPr>
            </w:pPr>
            <w:r>
              <w:rPr>
                <w:rFonts w:hint="eastAsia"/>
              </w:rPr>
              <w:t>吨</w:t>
            </w:r>
          </w:p>
        </w:tc>
        <w:tc>
          <w:tcPr>
            <w:tcW w:w="1025" w:type="pct"/>
            <w:vAlign w:val="center"/>
          </w:tcPr>
          <w:p w14:paraId="114D7498">
            <w:pPr>
              <w:pStyle w:val="11"/>
              <w:bidi w:val="0"/>
              <w:jc w:val="center"/>
              <w:rPr>
                <w:rFonts w:hint="eastAsia"/>
                <w:lang w:eastAsia="zh-CN"/>
              </w:rPr>
            </w:pPr>
            <w:r>
              <w:rPr>
                <w:rFonts w:hint="eastAsia"/>
              </w:rPr>
              <w:t>6730</w:t>
            </w:r>
          </w:p>
        </w:tc>
        <w:tc>
          <w:tcPr>
            <w:tcW w:w="1025" w:type="pct"/>
            <w:vAlign w:val="center"/>
          </w:tcPr>
          <w:p w14:paraId="1B36FEB7">
            <w:pPr>
              <w:pStyle w:val="11"/>
              <w:bidi w:val="0"/>
              <w:jc w:val="center"/>
              <w:rPr>
                <w:rFonts w:hint="eastAsia"/>
                <w:lang w:eastAsia="zh-CN"/>
              </w:rPr>
            </w:pPr>
            <w:r>
              <w:rPr>
                <w:rFonts w:hint="eastAsia"/>
              </w:rPr>
              <w:t>29.3</w:t>
            </w:r>
          </w:p>
        </w:tc>
      </w:tr>
      <w:tr w14:paraId="5D35E2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087AD1EC">
            <w:pPr>
              <w:pStyle w:val="11"/>
              <w:bidi w:val="0"/>
              <w:jc w:val="both"/>
              <w:rPr>
                <w:rFonts w:hint="eastAsia"/>
                <w:lang w:eastAsia="zh-CN"/>
              </w:rPr>
            </w:pPr>
            <w:r>
              <w:rPr>
                <w:rFonts w:hint="eastAsia"/>
              </w:rPr>
              <w:t>合成洗涤剂</w:t>
            </w:r>
          </w:p>
        </w:tc>
        <w:tc>
          <w:tcPr>
            <w:tcW w:w="1117" w:type="pct"/>
            <w:vAlign w:val="center"/>
          </w:tcPr>
          <w:p w14:paraId="017913A4">
            <w:pPr>
              <w:pStyle w:val="11"/>
              <w:bidi w:val="0"/>
              <w:jc w:val="center"/>
              <w:rPr>
                <w:rFonts w:hint="eastAsia"/>
                <w:lang w:eastAsia="zh-CN"/>
              </w:rPr>
            </w:pPr>
            <w:r>
              <w:rPr>
                <w:rFonts w:hint="eastAsia"/>
              </w:rPr>
              <w:t>吨</w:t>
            </w:r>
          </w:p>
        </w:tc>
        <w:tc>
          <w:tcPr>
            <w:tcW w:w="1025" w:type="pct"/>
            <w:vAlign w:val="center"/>
          </w:tcPr>
          <w:p w14:paraId="0D235BBF">
            <w:pPr>
              <w:pStyle w:val="11"/>
              <w:bidi w:val="0"/>
              <w:jc w:val="center"/>
              <w:rPr>
                <w:rFonts w:hint="eastAsia"/>
                <w:lang w:eastAsia="zh-CN"/>
              </w:rPr>
            </w:pPr>
            <w:r>
              <w:rPr>
                <w:rFonts w:hint="eastAsia"/>
              </w:rPr>
              <w:t>1938</w:t>
            </w:r>
          </w:p>
        </w:tc>
        <w:tc>
          <w:tcPr>
            <w:tcW w:w="1025" w:type="pct"/>
            <w:vAlign w:val="center"/>
          </w:tcPr>
          <w:p w14:paraId="06D702D7">
            <w:pPr>
              <w:pStyle w:val="11"/>
              <w:bidi w:val="0"/>
              <w:jc w:val="center"/>
              <w:rPr>
                <w:rFonts w:hint="eastAsia"/>
                <w:lang w:eastAsia="zh-CN"/>
              </w:rPr>
            </w:pPr>
            <w:r>
              <w:rPr>
                <w:rFonts w:hint="eastAsia"/>
              </w:rPr>
              <w:t>17.9</w:t>
            </w:r>
          </w:p>
        </w:tc>
      </w:tr>
      <w:tr w14:paraId="1B2AD7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7C43CF2A">
            <w:pPr>
              <w:pStyle w:val="11"/>
              <w:bidi w:val="0"/>
              <w:ind w:leftChars="200"/>
              <w:jc w:val="both"/>
              <w:rPr>
                <w:rFonts w:hint="eastAsia"/>
                <w:lang w:eastAsia="zh-CN"/>
              </w:rPr>
            </w:pPr>
            <w:r>
              <w:rPr>
                <w:rFonts w:hint="eastAsia"/>
              </w:rPr>
              <w:t>液体洗涤剂</w:t>
            </w:r>
          </w:p>
        </w:tc>
        <w:tc>
          <w:tcPr>
            <w:tcW w:w="1117" w:type="pct"/>
            <w:vAlign w:val="center"/>
          </w:tcPr>
          <w:p w14:paraId="4847EE83">
            <w:pPr>
              <w:pStyle w:val="11"/>
              <w:bidi w:val="0"/>
              <w:jc w:val="center"/>
              <w:rPr>
                <w:rFonts w:hint="eastAsia"/>
                <w:lang w:eastAsia="zh-CN"/>
              </w:rPr>
            </w:pPr>
            <w:r>
              <w:rPr>
                <w:rFonts w:hint="eastAsia"/>
              </w:rPr>
              <w:t>吨</w:t>
            </w:r>
          </w:p>
        </w:tc>
        <w:tc>
          <w:tcPr>
            <w:tcW w:w="1025" w:type="pct"/>
            <w:vAlign w:val="center"/>
          </w:tcPr>
          <w:p w14:paraId="7AB21B06">
            <w:pPr>
              <w:pStyle w:val="11"/>
              <w:bidi w:val="0"/>
              <w:jc w:val="center"/>
              <w:rPr>
                <w:rFonts w:hint="eastAsia"/>
                <w:lang w:eastAsia="zh-CN"/>
              </w:rPr>
            </w:pPr>
            <w:r>
              <w:rPr>
                <w:rFonts w:hint="eastAsia"/>
              </w:rPr>
              <w:t>1936</w:t>
            </w:r>
          </w:p>
        </w:tc>
        <w:tc>
          <w:tcPr>
            <w:tcW w:w="1025" w:type="pct"/>
            <w:vAlign w:val="center"/>
          </w:tcPr>
          <w:p w14:paraId="4FC84358">
            <w:pPr>
              <w:pStyle w:val="11"/>
              <w:bidi w:val="0"/>
              <w:jc w:val="center"/>
              <w:rPr>
                <w:rFonts w:hint="eastAsia"/>
                <w:lang w:eastAsia="zh-CN"/>
              </w:rPr>
            </w:pPr>
            <w:r>
              <w:rPr>
                <w:rFonts w:hint="eastAsia"/>
              </w:rPr>
              <w:t>17.8</w:t>
            </w:r>
          </w:p>
        </w:tc>
      </w:tr>
      <w:tr w14:paraId="69264B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792E8AB9">
            <w:pPr>
              <w:pStyle w:val="11"/>
              <w:bidi w:val="0"/>
              <w:jc w:val="both"/>
              <w:rPr>
                <w:rFonts w:hint="eastAsia"/>
                <w:lang w:eastAsia="zh-CN"/>
              </w:rPr>
            </w:pPr>
            <w:r>
              <w:rPr>
                <w:rFonts w:hint="eastAsia"/>
              </w:rPr>
              <w:t>塑料制品</w:t>
            </w:r>
          </w:p>
        </w:tc>
        <w:tc>
          <w:tcPr>
            <w:tcW w:w="1117" w:type="pct"/>
            <w:vAlign w:val="center"/>
          </w:tcPr>
          <w:p w14:paraId="5D0A45F2">
            <w:pPr>
              <w:pStyle w:val="11"/>
              <w:bidi w:val="0"/>
              <w:jc w:val="center"/>
              <w:rPr>
                <w:rFonts w:hint="eastAsia"/>
                <w:lang w:eastAsia="zh-CN"/>
              </w:rPr>
            </w:pPr>
            <w:r>
              <w:rPr>
                <w:rFonts w:hint="eastAsia"/>
              </w:rPr>
              <w:t>吨</w:t>
            </w:r>
          </w:p>
        </w:tc>
        <w:tc>
          <w:tcPr>
            <w:tcW w:w="1025" w:type="pct"/>
            <w:vAlign w:val="center"/>
          </w:tcPr>
          <w:p w14:paraId="6A20C5EE">
            <w:pPr>
              <w:pStyle w:val="11"/>
              <w:bidi w:val="0"/>
              <w:jc w:val="center"/>
              <w:rPr>
                <w:rFonts w:hint="eastAsia"/>
                <w:lang w:eastAsia="zh-CN"/>
              </w:rPr>
            </w:pPr>
            <w:r>
              <w:rPr>
                <w:rFonts w:hint="eastAsia"/>
              </w:rPr>
              <w:t>23267</w:t>
            </w:r>
          </w:p>
        </w:tc>
        <w:tc>
          <w:tcPr>
            <w:tcW w:w="1025" w:type="pct"/>
            <w:vAlign w:val="center"/>
          </w:tcPr>
          <w:p w14:paraId="28835A08">
            <w:pPr>
              <w:pStyle w:val="11"/>
              <w:bidi w:val="0"/>
              <w:jc w:val="center"/>
              <w:rPr>
                <w:rFonts w:hint="eastAsia"/>
                <w:lang w:eastAsia="zh-CN"/>
              </w:rPr>
            </w:pPr>
            <w:r>
              <w:rPr>
                <w:rFonts w:hint="eastAsia"/>
              </w:rPr>
              <w:t>-15.4</w:t>
            </w:r>
          </w:p>
        </w:tc>
      </w:tr>
      <w:tr w14:paraId="331A82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161D5EBF">
            <w:pPr>
              <w:pStyle w:val="11"/>
              <w:bidi w:val="0"/>
              <w:ind w:leftChars="100"/>
              <w:jc w:val="both"/>
              <w:rPr>
                <w:rFonts w:hint="eastAsia"/>
                <w:lang w:eastAsia="zh-CN"/>
              </w:rPr>
            </w:pPr>
            <w:r>
              <w:rPr>
                <w:rFonts w:hint="eastAsia"/>
              </w:rPr>
              <w:t>其中：塑料薄膜</w:t>
            </w:r>
          </w:p>
        </w:tc>
        <w:tc>
          <w:tcPr>
            <w:tcW w:w="1117" w:type="pct"/>
            <w:vAlign w:val="center"/>
          </w:tcPr>
          <w:p w14:paraId="39307E1D">
            <w:pPr>
              <w:pStyle w:val="11"/>
              <w:bidi w:val="0"/>
              <w:jc w:val="center"/>
              <w:rPr>
                <w:rFonts w:hint="eastAsia"/>
                <w:lang w:eastAsia="zh-CN"/>
              </w:rPr>
            </w:pPr>
            <w:r>
              <w:rPr>
                <w:rFonts w:hint="eastAsia"/>
              </w:rPr>
              <w:t>吨</w:t>
            </w:r>
          </w:p>
        </w:tc>
        <w:tc>
          <w:tcPr>
            <w:tcW w:w="1025" w:type="pct"/>
            <w:vAlign w:val="center"/>
          </w:tcPr>
          <w:p w14:paraId="055180AA">
            <w:pPr>
              <w:pStyle w:val="11"/>
              <w:bidi w:val="0"/>
              <w:jc w:val="center"/>
              <w:rPr>
                <w:rFonts w:hint="eastAsia"/>
                <w:lang w:eastAsia="zh-CN"/>
              </w:rPr>
            </w:pPr>
            <w:r>
              <w:rPr>
                <w:rFonts w:hint="eastAsia"/>
              </w:rPr>
              <w:t>12073</w:t>
            </w:r>
          </w:p>
        </w:tc>
        <w:tc>
          <w:tcPr>
            <w:tcW w:w="1025" w:type="pct"/>
            <w:vAlign w:val="center"/>
          </w:tcPr>
          <w:p w14:paraId="181CFECD">
            <w:pPr>
              <w:pStyle w:val="11"/>
              <w:bidi w:val="0"/>
              <w:jc w:val="center"/>
              <w:rPr>
                <w:rFonts w:hint="eastAsia"/>
                <w:lang w:eastAsia="zh-CN"/>
              </w:rPr>
            </w:pPr>
            <w:r>
              <w:rPr>
                <w:rFonts w:hint="eastAsia"/>
              </w:rPr>
              <w:t>-14.9</w:t>
            </w:r>
          </w:p>
        </w:tc>
      </w:tr>
      <w:tr w14:paraId="1743CF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04D10104">
            <w:pPr>
              <w:pStyle w:val="11"/>
              <w:bidi w:val="0"/>
              <w:ind w:leftChars="100"/>
              <w:jc w:val="both"/>
              <w:rPr>
                <w:rFonts w:hint="eastAsia"/>
                <w:lang w:eastAsia="zh-CN"/>
              </w:rPr>
            </w:pPr>
            <w:r>
              <w:rPr>
                <w:rFonts w:hint="eastAsia"/>
              </w:rPr>
              <w:t>其中：农用薄膜</w:t>
            </w:r>
          </w:p>
        </w:tc>
        <w:tc>
          <w:tcPr>
            <w:tcW w:w="1117" w:type="pct"/>
            <w:vAlign w:val="center"/>
          </w:tcPr>
          <w:p w14:paraId="7E18D343">
            <w:pPr>
              <w:pStyle w:val="11"/>
              <w:bidi w:val="0"/>
              <w:jc w:val="center"/>
              <w:rPr>
                <w:rFonts w:hint="eastAsia"/>
                <w:lang w:eastAsia="zh-CN"/>
              </w:rPr>
            </w:pPr>
            <w:r>
              <w:rPr>
                <w:rFonts w:hint="eastAsia"/>
              </w:rPr>
              <w:t>吨</w:t>
            </w:r>
          </w:p>
        </w:tc>
        <w:tc>
          <w:tcPr>
            <w:tcW w:w="1025" w:type="pct"/>
            <w:vAlign w:val="center"/>
          </w:tcPr>
          <w:p w14:paraId="1D37090A">
            <w:pPr>
              <w:pStyle w:val="11"/>
              <w:bidi w:val="0"/>
              <w:jc w:val="center"/>
              <w:rPr>
                <w:rFonts w:hint="eastAsia"/>
                <w:lang w:eastAsia="zh-CN"/>
              </w:rPr>
            </w:pPr>
            <w:r>
              <w:rPr>
                <w:rFonts w:hint="eastAsia"/>
              </w:rPr>
              <w:t>5067</w:t>
            </w:r>
          </w:p>
        </w:tc>
        <w:tc>
          <w:tcPr>
            <w:tcW w:w="1025" w:type="pct"/>
            <w:vAlign w:val="center"/>
          </w:tcPr>
          <w:p w14:paraId="2777F97D">
            <w:pPr>
              <w:pStyle w:val="11"/>
              <w:bidi w:val="0"/>
              <w:jc w:val="center"/>
              <w:rPr>
                <w:rFonts w:hint="eastAsia"/>
                <w:lang w:eastAsia="zh-CN"/>
              </w:rPr>
            </w:pPr>
            <w:r>
              <w:rPr>
                <w:rFonts w:hint="eastAsia"/>
              </w:rPr>
              <w:t>-42.5</w:t>
            </w:r>
          </w:p>
        </w:tc>
      </w:tr>
      <w:tr w14:paraId="28218F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10CA2D1F">
            <w:pPr>
              <w:pStyle w:val="11"/>
              <w:bidi w:val="0"/>
              <w:jc w:val="both"/>
              <w:rPr>
                <w:rFonts w:hint="eastAsia"/>
                <w:lang w:eastAsia="zh-CN"/>
              </w:rPr>
            </w:pPr>
            <w:r>
              <w:rPr>
                <w:rFonts w:hint="eastAsia"/>
              </w:rPr>
              <w:t>硅酸盐水泥熟料</w:t>
            </w:r>
          </w:p>
        </w:tc>
        <w:tc>
          <w:tcPr>
            <w:tcW w:w="1117" w:type="pct"/>
            <w:vAlign w:val="center"/>
          </w:tcPr>
          <w:p w14:paraId="0E291B0A">
            <w:pPr>
              <w:pStyle w:val="11"/>
              <w:bidi w:val="0"/>
              <w:jc w:val="center"/>
              <w:rPr>
                <w:rFonts w:hint="eastAsia"/>
                <w:lang w:eastAsia="zh-CN"/>
              </w:rPr>
            </w:pPr>
            <w:r>
              <w:rPr>
                <w:rFonts w:hint="eastAsia"/>
              </w:rPr>
              <w:t>吨</w:t>
            </w:r>
          </w:p>
        </w:tc>
        <w:tc>
          <w:tcPr>
            <w:tcW w:w="1025" w:type="pct"/>
            <w:vAlign w:val="center"/>
          </w:tcPr>
          <w:p w14:paraId="728B157A">
            <w:pPr>
              <w:pStyle w:val="11"/>
              <w:bidi w:val="0"/>
              <w:jc w:val="center"/>
              <w:rPr>
                <w:rFonts w:hint="eastAsia"/>
                <w:lang w:eastAsia="zh-CN"/>
              </w:rPr>
            </w:pPr>
            <w:r>
              <w:rPr>
                <w:rFonts w:hint="eastAsia"/>
              </w:rPr>
              <w:t>1599105</w:t>
            </w:r>
          </w:p>
        </w:tc>
        <w:tc>
          <w:tcPr>
            <w:tcW w:w="1025" w:type="pct"/>
            <w:vAlign w:val="center"/>
          </w:tcPr>
          <w:p w14:paraId="7FCDAFC1">
            <w:pPr>
              <w:pStyle w:val="11"/>
              <w:bidi w:val="0"/>
              <w:jc w:val="center"/>
              <w:rPr>
                <w:rFonts w:hint="eastAsia"/>
                <w:lang w:eastAsia="zh-CN"/>
              </w:rPr>
            </w:pPr>
            <w:r>
              <w:rPr>
                <w:rFonts w:hint="eastAsia"/>
              </w:rPr>
              <w:t>0.0</w:t>
            </w:r>
          </w:p>
        </w:tc>
      </w:tr>
      <w:tr w14:paraId="4A7911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543CD1FB">
            <w:pPr>
              <w:pStyle w:val="11"/>
              <w:bidi w:val="0"/>
              <w:jc w:val="both"/>
              <w:rPr>
                <w:rFonts w:hint="eastAsia"/>
                <w:lang w:eastAsia="zh-CN"/>
              </w:rPr>
            </w:pPr>
            <w:r>
              <w:rPr>
                <w:rFonts w:hint="eastAsia"/>
              </w:rPr>
              <w:t>商品混凝土</w:t>
            </w:r>
          </w:p>
        </w:tc>
        <w:tc>
          <w:tcPr>
            <w:tcW w:w="1117" w:type="pct"/>
            <w:vAlign w:val="center"/>
          </w:tcPr>
          <w:p w14:paraId="11B37C01">
            <w:pPr>
              <w:pStyle w:val="11"/>
              <w:bidi w:val="0"/>
              <w:jc w:val="center"/>
              <w:rPr>
                <w:rFonts w:hint="eastAsia"/>
                <w:lang w:eastAsia="zh-CN"/>
              </w:rPr>
            </w:pPr>
            <w:r>
              <w:rPr>
                <w:rFonts w:hint="eastAsia"/>
              </w:rPr>
              <w:t>立方米</w:t>
            </w:r>
          </w:p>
        </w:tc>
        <w:tc>
          <w:tcPr>
            <w:tcW w:w="1025" w:type="pct"/>
            <w:vAlign w:val="center"/>
          </w:tcPr>
          <w:p w14:paraId="031FFBA3">
            <w:pPr>
              <w:pStyle w:val="11"/>
              <w:bidi w:val="0"/>
              <w:jc w:val="center"/>
              <w:rPr>
                <w:rFonts w:hint="eastAsia"/>
                <w:lang w:eastAsia="zh-CN"/>
              </w:rPr>
            </w:pPr>
            <w:r>
              <w:rPr>
                <w:rFonts w:hint="eastAsia"/>
              </w:rPr>
              <w:t>333794</w:t>
            </w:r>
          </w:p>
        </w:tc>
        <w:tc>
          <w:tcPr>
            <w:tcW w:w="1025" w:type="pct"/>
            <w:vAlign w:val="center"/>
          </w:tcPr>
          <w:p w14:paraId="5CE209ED">
            <w:pPr>
              <w:pStyle w:val="11"/>
              <w:bidi w:val="0"/>
              <w:jc w:val="center"/>
              <w:rPr>
                <w:rFonts w:hint="eastAsia"/>
                <w:lang w:eastAsia="zh-CN"/>
              </w:rPr>
            </w:pPr>
            <w:r>
              <w:rPr>
                <w:rFonts w:hint="eastAsia"/>
              </w:rPr>
              <w:t>31.8</w:t>
            </w:r>
          </w:p>
        </w:tc>
      </w:tr>
      <w:tr w14:paraId="5C3871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0FAB5F98">
            <w:pPr>
              <w:pStyle w:val="11"/>
              <w:bidi w:val="0"/>
              <w:jc w:val="both"/>
              <w:rPr>
                <w:rFonts w:hint="eastAsia"/>
                <w:lang w:eastAsia="zh-CN"/>
              </w:rPr>
            </w:pPr>
            <w:r>
              <w:rPr>
                <w:rFonts w:hint="eastAsia"/>
              </w:rPr>
              <w:t>砖</w:t>
            </w:r>
          </w:p>
        </w:tc>
        <w:tc>
          <w:tcPr>
            <w:tcW w:w="1117" w:type="pct"/>
            <w:vAlign w:val="center"/>
          </w:tcPr>
          <w:p w14:paraId="37C4B76B">
            <w:pPr>
              <w:pStyle w:val="11"/>
              <w:bidi w:val="0"/>
              <w:jc w:val="center"/>
              <w:rPr>
                <w:rFonts w:hint="eastAsia"/>
                <w:lang w:eastAsia="zh-CN"/>
              </w:rPr>
            </w:pPr>
            <w:r>
              <w:rPr>
                <w:rFonts w:hint="eastAsia"/>
              </w:rPr>
              <w:t>万块</w:t>
            </w:r>
          </w:p>
        </w:tc>
        <w:tc>
          <w:tcPr>
            <w:tcW w:w="1025" w:type="pct"/>
            <w:vAlign w:val="center"/>
          </w:tcPr>
          <w:p w14:paraId="0207F0CC">
            <w:pPr>
              <w:pStyle w:val="11"/>
              <w:bidi w:val="0"/>
              <w:jc w:val="center"/>
              <w:rPr>
                <w:rFonts w:hint="eastAsia"/>
                <w:lang w:eastAsia="zh-CN"/>
              </w:rPr>
            </w:pPr>
            <w:r>
              <w:rPr>
                <w:rFonts w:hint="eastAsia"/>
              </w:rPr>
              <w:t>4345</w:t>
            </w:r>
          </w:p>
        </w:tc>
        <w:tc>
          <w:tcPr>
            <w:tcW w:w="1025" w:type="pct"/>
            <w:vAlign w:val="center"/>
          </w:tcPr>
          <w:p w14:paraId="6F5CE7BF">
            <w:pPr>
              <w:pStyle w:val="11"/>
              <w:bidi w:val="0"/>
              <w:jc w:val="center"/>
              <w:rPr>
                <w:rFonts w:hint="eastAsia"/>
                <w:lang w:eastAsia="zh-CN"/>
              </w:rPr>
            </w:pPr>
            <w:r>
              <w:rPr>
                <w:rFonts w:hint="eastAsia"/>
              </w:rPr>
              <w:t>45.7</w:t>
            </w:r>
          </w:p>
        </w:tc>
      </w:tr>
      <w:tr w14:paraId="2C005F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25C06297">
            <w:pPr>
              <w:pStyle w:val="11"/>
              <w:bidi w:val="0"/>
              <w:jc w:val="both"/>
              <w:rPr>
                <w:rFonts w:hint="eastAsia"/>
                <w:lang w:eastAsia="zh-CN"/>
              </w:rPr>
            </w:pPr>
            <w:r>
              <w:rPr>
                <w:rFonts w:hint="eastAsia"/>
              </w:rPr>
              <w:t>卫生陶瓷制品</w:t>
            </w:r>
          </w:p>
        </w:tc>
        <w:tc>
          <w:tcPr>
            <w:tcW w:w="1117" w:type="pct"/>
            <w:vAlign w:val="center"/>
          </w:tcPr>
          <w:p w14:paraId="49BAC496">
            <w:pPr>
              <w:pStyle w:val="11"/>
              <w:bidi w:val="0"/>
              <w:jc w:val="center"/>
              <w:rPr>
                <w:rFonts w:hint="eastAsia"/>
                <w:lang w:eastAsia="zh-CN"/>
              </w:rPr>
            </w:pPr>
            <w:r>
              <w:rPr>
                <w:rFonts w:hint="eastAsia"/>
              </w:rPr>
              <w:t>件</w:t>
            </w:r>
          </w:p>
        </w:tc>
        <w:tc>
          <w:tcPr>
            <w:tcW w:w="1025" w:type="pct"/>
            <w:vAlign w:val="center"/>
          </w:tcPr>
          <w:p w14:paraId="4CDD552E">
            <w:pPr>
              <w:pStyle w:val="11"/>
              <w:bidi w:val="0"/>
              <w:jc w:val="center"/>
              <w:rPr>
                <w:rFonts w:hint="eastAsia"/>
                <w:lang w:eastAsia="zh-CN"/>
              </w:rPr>
            </w:pPr>
            <w:r>
              <w:rPr>
                <w:rFonts w:hint="eastAsia"/>
              </w:rPr>
              <w:t>944289</w:t>
            </w:r>
          </w:p>
        </w:tc>
        <w:tc>
          <w:tcPr>
            <w:tcW w:w="1025" w:type="pct"/>
            <w:vAlign w:val="center"/>
          </w:tcPr>
          <w:p w14:paraId="2A3A8326">
            <w:pPr>
              <w:pStyle w:val="11"/>
              <w:bidi w:val="0"/>
              <w:jc w:val="center"/>
              <w:rPr>
                <w:rFonts w:hint="eastAsia"/>
                <w:lang w:eastAsia="zh-CN"/>
              </w:rPr>
            </w:pPr>
            <w:r>
              <w:rPr>
                <w:rFonts w:hint="eastAsia"/>
              </w:rPr>
              <w:t>-1.5</w:t>
            </w:r>
          </w:p>
        </w:tc>
      </w:tr>
      <w:tr w14:paraId="133709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4FB13A16">
            <w:pPr>
              <w:pStyle w:val="11"/>
              <w:bidi w:val="0"/>
              <w:jc w:val="both"/>
              <w:rPr>
                <w:rFonts w:hint="eastAsia"/>
                <w:lang w:eastAsia="zh-CN"/>
              </w:rPr>
            </w:pPr>
            <w:r>
              <w:rPr>
                <w:rFonts w:hint="eastAsia"/>
              </w:rPr>
              <w:t>钢结构</w:t>
            </w:r>
          </w:p>
        </w:tc>
        <w:tc>
          <w:tcPr>
            <w:tcW w:w="1117" w:type="pct"/>
            <w:vAlign w:val="center"/>
          </w:tcPr>
          <w:p w14:paraId="1507561C">
            <w:pPr>
              <w:pStyle w:val="11"/>
              <w:bidi w:val="0"/>
              <w:jc w:val="center"/>
              <w:rPr>
                <w:rFonts w:hint="eastAsia"/>
                <w:lang w:eastAsia="zh-CN"/>
              </w:rPr>
            </w:pPr>
            <w:r>
              <w:rPr>
                <w:rFonts w:hint="eastAsia"/>
              </w:rPr>
              <w:t>吨</w:t>
            </w:r>
          </w:p>
        </w:tc>
        <w:tc>
          <w:tcPr>
            <w:tcW w:w="1025" w:type="pct"/>
            <w:vAlign w:val="center"/>
          </w:tcPr>
          <w:p w14:paraId="564DADD8">
            <w:pPr>
              <w:pStyle w:val="11"/>
              <w:bidi w:val="0"/>
              <w:jc w:val="center"/>
              <w:rPr>
                <w:rFonts w:hint="eastAsia"/>
                <w:lang w:eastAsia="zh-CN"/>
              </w:rPr>
            </w:pPr>
            <w:r>
              <w:rPr>
                <w:rFonts w:hint="eastAsia"/>
              </w:rPr>
              <w:t>1783</w:t>
            </w:r>
          </w:p>
        </w:tc>
        <w:tc>
          <w:tcPr>
            <w:tcW w:w="1025" w:type="pct"/>
            <w:vAlign w:val="center"/>
          </w:tcPr>
          <w:p w14:paraId="07E48FC7">
            <w:pPr>
              <w:pStyle w:val="11"/>
              <w:bidi w:val="0"/>
              <w:jc w:val="center"/>
              <w:rPr>
                <w:rFonts w:hint="eastAsia"/>
                <w:lang w:eastAsia="zh-CN"/>
              </w:rPr>
            </w:pPr>
            <w:r>
              <w:rPr>
                <w:rFonts w:hint="eastAsia"/>
              </w:rPr>
              <w:t>90.2</w:t>
            </w:r>
          </w:p>
        </w:tc>
      </w:tr>
      <w:tr w14:paraId="192BFF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590335B4">
            <w:pPr>
              <w:pStyle w:val="11"/>
              <w:bidi w:val="0"/>
              <w:jc w:val="both"/>
              <w:rPr>
                <w:rFonts w:hint="eastAsia"/>
                <w:lang w:eastAsia="zh-CN"/>
              </w:rPr>
            </w:pPr>
            <w:r>
              <w:rPr>
                <w:rFonts w:hint="eastAsia"/>
              </w:rPr>
              <w:t>电子元件</w:t>
            </w:r>
          </w:p>
        </w:tc>
        <w:tc>
          <w:tcPr>
            <w:tcW w:w="1117" w:type="pct"/>
            <w:vAlign w:val="center"/>
          </w:tcPr>
          <w:p w14:paraId="484FEA11">
            <w:pPr>
              <w:pStyle w:val="11"/>
              <w:bidi w:val="0"/>
              <w:jc w:val="center"/>
              <w:rPr>
                <w:rFonts w:hint="eastAsia"/>
                <w:lang w:eastAsia="zh-CN"/>
              </w:rPr>
            </w:pPr>
            <w:r>
              <w:rPr>
                <w:rFonts w:hint="eastAsia"/>
              </w:rPr>
              <w:t>万只</w:t>
            </w:r>
          </w:p>
        </w:tc>
        <w:tc>
          <w:tcPr>
            <w:tcW w:w="1025" w:type="pct"/>
            <w:vAlign w:val="center"/>
          </w:tcPr>
          <w:p w14:paraId="136C270F">
            <w:pPr>
              <w:pStyle w:val="11"/>
              <w:bidi w:val="0"/>
              <w:jc w:val="center"/>
              <w:rPr>
                <w:rFonts w:hint="eastAsia"/>
                <w:lang w:eastAsia="zh-CN"/>
              </w:rPr>
            </w:pPr>
            <w:r>
              <w:rPr>
                <w:rFonts w:hint="eastAsia"/>
              </w:rPr>
              <w:t>1404</w:t>
            </w:r>
          </w:p>
        </w:tc>
        <w:tc>
          <w:tcPr>
            <w:tcW w:w="1025" w:type="pct"/>
            <w:vAlign w:val="center"/>
          </w:tcPr>
          <w:p w14:paraId="62C5B947">
            <w:pPr>
              <w:pStyle w:val="11"/>
              <w:bidi w:val="0"/>
              <w:jc w:val="center"/>
              <w:rPr>
                <w:rFonts w:hint="eastAsia"/>
                <w:lang w:eastAsia="zh-CN"/>
              </w:rPr>
            </w:pPr>
            <w:r>
              <w:rPr>
                <w:rFonts w:hint="eastAsia"/>
              </w:rPr>
              <w:t>-14.8</w:t>
            </w:r>
          </w:p>
        </w:tc>
      </w:tr>
      <w:tr w14:paraId="742797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0" w:type="pct"/>
            <w:vAlign w:val="center"/>
          </w:tcPr>
          <w:p w14:paraId="012B3B69">
            <w:pPr>
              <w:pStyle w:val="11"/>
              <w:bidi w:val="0"/>
              <w:jc w:val="both"/>
              <w:rPr>
                <w:rFonts w:hint="eastAsia"/>
                <w:lang w:eastAsia="zh-CN"/>
              </w:rPr>
            </w:pPr>
            <w:r>
              <w:rPr>
                <w:rFonts w:hint="eastAsia"/>
              </w:rPr>
              <w:t>自来水生产量</w:t>
            </w:r>
          </w:p>
        </w:tc>
        <w:tc>
          <w:tcPr>
            <w:tcW w:w="1117" w:type="pct"/>
            <w:vAlign w:val="center"/>
          </w:tcPr>
          <w:p w14:paraId="3F6C2F20">
            <w:pPr>
              <w:pStyle w:val="11"/>
              <w:bidi w:val="0"/>
              <w:jc w:val="center"/>
              <w:rPr>
                <w:rFonts w:hint="eastAsia"/>
                <w:lang w:eastAsia="zh-CN"/>
              </w:rPr>
            </w:pPr>
            <w:r>
              <w:rPr>
                <w:rFonts w:hint="eastAsia"/>
              </w:rPr>
              <w:t>万立方米</w:t>
            </w:r>
          </w:p>
        </w:tc>
        <w:tc>
          <w:tcPr>
            <w:tcW w:w="1025" w:type="pct"/>
            <w:vAlign w:val="center"/>
          </w:tcPr>
          <w:p w14:paraId="59897D29">
            <w:pPr>
              <w:pStyle w:val="11"/>
              <w:bidi w:val="0"/>
              <w:jc w:val="center"/>
              <w:rPr>
                <w:rFonts w:hint="eastAsia"/>
                <w:lang w:eastAsia="zh-CN"/>
              </w:rPr>
            </w:pPr>
            <w:r>
              <w:rPr>
                <w:rFonts w:hint="eastAsia"/>
              </w:rPr>
              <w:t>814</w:t>
            </w:r>
          </w:p>
        </w:tc>
        <w:tc>
          <w:tcPr>
            <w:tcW w:w="1025" w:type="pct"/>
            <w:vAlign w:val="center"/>
          </w:tcPr>
          <w:p w14:paraId="20175CBB">
            <w:pPr>
              <w:pStyle w:val="11"/>
              <w:bidi w:val="0"/>
              <w:jc w:val="center"/>
              <w:rPr>
                <w:rFonts w:hint="eastAsia"/>
                <w:lang w:eastAsia="zh-CN"/>
              </w:rPr>
            </w:pPr>
            <w:r>
              <w:rPr>
                <w:rFonts w:hint="eastAsia"/>
              </w:rPr>
              <w:t>4.2</w:t>
            </w:r>
          </w:p>
        </w:tc>
      </w:tr>
    </w:tbl>
    <w:p w14:paraId="7A359275">
      <w:pPr>
        <w:pStyle w:val="4"/>
        <w:bidi w:val="0"/>
        <w:rPr>
          <w:rFonts w:hint="eastAsia"/>
        </w:rPr>
      </w:pPr>
      <w:r>
        <w:rPr>
          <w:rFonts w:hint="eastAsia"/>
        </w:rPr>
        <w:t>表41</w:t>
      </w:r>
      <w:r>
        <w:rPr>
          <w:rFonts w:hint="eastAsia"/>
          <w:lang w:val="en-US" w:eastAsia="zh-CN"/>
        </w:rPr>
        <w:t xml:space="preserve">  </w:t>
      </w:r>
      <w:r>
        <w:rPr>
          <w:rFonts w:hint="eastAsia"/>
        </w:rPr>
        <w:t>全市用电量</w:t>
      </w:r>
    </w:p>
    <w:tbl>
      <w:tblPr>
        <w:tblStyle w:val="8"/>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32"/>
        <w:gridCol w:w="1997"/>
        <w:gridCol w:w="1730"/>
        <w:gridCol w:w="1803"/>
      </w:tblGrid>
      <w:tr w14:paraId="421BFF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Merge w:val="restart"/>
            <w:vAlign w:val="center"/>
          </w:tcPr>
          <w:p w14:paraId="550E50EA">
            <w:pPr>
              <w:pStyle w:val="11"/>
              <w:bidi w:val="0"/>
              <w:jc w:val="center"/>
              <w:rPr>
                <w:rFonts w:hint="eastAsia"/>
                <w:b/>
                <w:bCs/>
                <w:lang w:eastAsia="zh-CN"/>
              </w:rPr>
            </w:pPr>
            <w:r>
              <w:rPr>
                <w:rFonts w:hint="eastAsia"/>
                <w:b/>
                <w:bCs/>
              </w:rPr>
              <w:t>项目</w:t>
            </w:r>
          </w:p>
        </w:tc>
        <w:tc>
          <w:tcPr>
            <w:tcW w:w="2775" w:type="pct"/>
            <w:gridSpan w:val="3"/>
            <w:vAlign w:val="center"/>
          </w:tcPr>
          <w:p w14:paraId="4BAC38ED">
            <w:pPr>
              <w:pStyle w:val="11"/>
              <w:bidi w:val="0"/>
              <w:jc w:val="center"/>
              <w:rPr>
                <w:rFonts w:hint="eastAsia"/>
                <w:b/>
                <w:bCs/>
                <w:lang w:eastAsia="zh-CN"/>
              </w:rPr>
            </w:pPr>
            <w:r>
              <w:rPr>
                <w:rFonts w:hint="eastAsia"/>
                <w:b/>
                <w:bCs/>
              </w:rPr>
              <w:t>用电量（万千瓦时）</w:t>
            </w:r>
          </w:p>
        </w:tc>
      </w:tr>
      <w:tr w14:paraId="329207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Merge w:val="continue"/>
            <w:vAlign w:val="center"/>
          </w:tcPr>
          <w:p w14:paraId="161109C2">
            <w:pPr>
              <w:pStyle w:val="11"/>
              <w:bidi w:val="0"/>
              <w:jc w:val="both"/>
              <w:rPr>
                <w:rFonts w:hint="eastAsia"/>
                <w:b/>
                <w:bCs/>
                <w:lang w:eastAsia="zh-CN"/>
              </w:rPr>
            </w:pPr>
          </w:p>
        </w:tc>
        <w:tc>
          <w:tcPr>
            <w:tcW w:w="1002" w:type="pct"/>
            <w:vAlign w:val="center"/>
          </w:tcPr>
          <w:p w14:paraId="327C4C92">
            <w:pPr>
              <w:pStyle w:val="11"/>
              <w:bidi w:val="0"/>
              <w:jc w:val="center"/>
              <w:rPr>
                <w:rFonts w:hint="default"/>
                <w:b/>
                <w:bCs/>
                <w:lang w:val="en-US" w:eastAsia="zh-CN"/>
              </w:rPr>
            </w:pPr>
            <w:r>
              <w:rPr>
                <w:rFonts w:hint="eastAsia"/>
                <w:b/>
                <w:bCs/>
                <w:lang w:val="en-US" w:eastAsia="zh-CN"/>
              </w:rPr>
              <w:t>2018年</w:t>
            </w:r>
          </w:p>
        </w:tc>
        <w:tc>
          <w:tcPr>
            <w:tcW w:w="868" w:type="pct"/>
            <w:vAlign w:val="center"/>
          </w:tcPr>
          <w:p w14:paraId="6E09E383">
            <w:pPr>
              <w:pStyle w:val="11"/>
              <w:bidi w:val="0"/>
              <w:jc w:val="center"/>
              <w:rPr>
                <w:rFonts w:hint="default"/>
                <w:b/>
                <w:bCs/>
                <w:lang w:val="en-US" w:eastAsia="zh-CN"/>
              </w:rPr>
            </w:pPr>
            <w:r>
              <w:rPr>
                <w:rFonts w:hint="eastAsia"/>
                <w:b/>
                <w:bCs/>
                <w:lang w:val="en-US" w:eastAsia="zh-CN"/>
              </w:rPr>
              <w:t>2017年</w:t>
            </w:r>
          </w:p>
        </w:tc>
        <w:tc>
          <w:tcPr>
            <w:tcW w:w="904" w:type="pct"/>
            <w:vAlign w:val="center"/>
          </w:tcPr>
          <w:p w14:paraId="69F08785">
            <w:pPr>
              <w:pStyle w:val="11"/>
              <w:bidi w:val="0"/>
              <w:jc w:val="center"/>
              <w:rPr>
                <w:rFonts w:hint="eastAsia"/>
                <w:b/>
                <w:bCs/>
                <w:lang w:eastAsia="zh-CN"/>
              </w:rPr>
            </w:pPr>
            <w:r>
              <w:rPr>
                <w:rFonts w:hint="eastAsia"/>
                <w:b/>
                <w:bCs/>
              </w:rPr>
              <w:t>同比增长（%）</w:t>
            </w:r>
          </w:p>
        </w:tc>
      </w:tr>
      <w:tr w14:paraId="6506FF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3689DF20">
            <w:pPr>
              <w:pStyle w:val="11"/>
              <w:bidi w:val="0"/>
              <w:jc w:val="both"/>
              <w:rPr>
                <w:rFonts w:hint="eastAsia"/>
                <w:lang w:eastAsia="zh-CN"/>
              </w:rPr>
            </w:pPr>
            <w:r>
              <w:rPr>
                <w:rFonts w:hint="eastAsia"/>
              </w:rPr>
              <w:t>全社会用电量总计</w:t>
            </w:r>
          </w:p>
        </w:tc>
        <w:tc>
          <w:tcPr>
            <w:tcW w:w="1002" w:type="pct"/>
            <w:vAlign w:val="center"/>
          </w:tcPr>
          <w:p w14:paraId="18768D53">
            <w:pPr>
              <w:pStyle w:val="11"/>
              <w:bidi w:val="0"/>
              <w:jc w:val="center"/>
              <w:rPr>
                <w:rFonts w:hint="eastAsia"/>
                <w:lang w:eastAsia="zh-CN"/>
              </w:rPr>
            </w:pPr>
            <w:r>
              <w:rPr>
                <w:rFonts w:hint="eastAsia"/>
              </w:rPr>
              <w:t>70724</w:t>
            </w:r>
          </w:p>
        </w:tc>
        <w:tc>
          <w:tcPr>
            <w:tcW w:w="868" w:type="pct"/>
            <w:vAlign w:val="center"/>
          </w:tcPr>
          <w:p w14:paraId="3DA28DDB">
            <w:pPr>
              <w:pStyle w:val="11"/>
              <w:bidi w:val="0"/>
              <w:jc w:val="center"/>
              <w:rPr>
                <w:rFonts w:hint="eastAsia"/>
                <w:lang w:eastAsia="zh-CN"/>
              </w:rPr>
            </w:pPr>
            <w:r>
              <w:rPr>
                <w:rFonts w:hint="eastAsia"/>
              </w:rPr>
              <w:t>51317</w:t>
            </w:r>
          </w:p>
        </w:tc>
        <w:tc>
          <w:tcPr>
            <w:tcW w:w="904" w:type="pct"/>
            <w:vAlign w:val="center"/>
          </w:tcPr>
          <w:p w14:paraId="0A96CD49">
            <w:pPr>
              <w:pStyle w:val="11"/>
              <w:bidi w:val="0"/>
              <w:jc w:val="center"/>
              <w:rPr>
                <w:rFonts w:hint="eastAsia"/>
                <w:lang w:eastAsia="zh-CN"/>
              </w:rPr>
            </w:pPr>
            <w:r>
              <w:rPr>
                <w:rFonts w:hint="eastAsia"/>
              </w:rPr>
              <w:t>37.8</w:t>
            </w:r>
          </w:p>
        </w:tc>
      </w:tr>
      <w:tr w14:paraId="504245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3A1299CF">
            <w:pPr>
              <w:pStyle w:val="11"/>
              <w:bidi w:val="0"/>
              <w:jc w:val="both"/>
              <w:rPr>
                <w:rFonts w:hint="eastAsia"/>
                <w:lang w:eastAsia="zh-CN"/>
              </w:rPr>
            </w:pPr>
            <w:r>
              <w:rPr>
                <w:rFonts w:hint="eastAsia"/>
              </w:rPr>
              <w:t>A、各行业用电量合计</w:t>
            </w:r>
          </w:p>
        </w:tc>
        <w:tc>
          <w:tcPr>
            <w:tcW w:w="1002" w:type="pct"/>
            <w:vAlign w:val="center"/>
          </w:tcPr>
          <w:p w14:paraId="19DB0239">
            <w:pPr>
              <w:pStyle w:val="11"/>
              <w:bidi w:val="0"/>
              <w:jc w:val="center"/>
              <w:rPr>
                <w:rFonts w:hint="eastAsia"/>
                <w:lang w:eastAsia="zh-CN"/>
              </w:rPr>
            </w:pPr>
            <w:r>
              <w:rPr>
                <w:rFonts w:hint="eastAsia"/>
              </w:rPr>
              <w:t>52238</w:t>
            </w:r>
          </w:p>
        </w:tc>
        <w:tc>
          <w:tcPr>
            <w:tcW w:w="868" w:type="pct"/>
            <w:vAlign w:val="center"/>
          </w:tcPr>
          <w:p w14:paraId="3D329A84">
            <w:pPr>
              <w:pStyle w:val="11"/>
              <w:bidi w:val="0"/>
              <w:jc w:val="center"/>
              <w:rPr>
                <w:rFonts w:hint="eastAsia"/>
                <w:lang w:eastAsia="zh-CN"/>
              </w:rPr>
            </w:pPr>
            <w:r>
              <w:rPr>
                <w:rFonts w:hint="eastAsia"/>
              </w:rPr>
              <w:t>35130</w:t>
            </w:r>
          </w:p>
        </w:tc>
        <w:tc>
          <w:tcPr>
            <w:tcW w:w="904" w:type="pct"/>
            <w:vAlign w:val="center"/>
          </w:tcPr>
          <w:p w14:paraId="7F87FD80">
            <w:pPr>
              <w:pStyle w:val="11"/>
              <w:bidi w:val="0"/>
              <w:jc w:val="center"/>
              <w:rPr>
                <w:rFonts w:hint="eastAsia"/>
                <w:lang w:eastAsia="zh-CN"/>
              </w:rPr>
            </w:pPr>
            <w:r>
              <w:rPr>
                <w:rFonts w:hint="eastAsia"/>
              </w:rPr>
              <w:t>48.7</w:t>
            </w:r>
          </w:p>
        </w:tc>
      </w:tr>
      <w:tr w14:paraId="36DAA4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746D97A4">
            <w:pPr>
              <w:pStyle w:val="11"/>
              <w:bidi w:val="0"/>
              <w:ind w:leftChars="100"/>
              <w:jc w:val="both"/>
              <w:rPr>
                <w:rFonts w:hint="eastAsia"/>
                <w:lang w:eastAsia="zh-CN"/>
              </w:rPr>
            </w:pPr>
            <w:r>
              <w:rPr>
                <w:rFonts w:hint="eastAsia"/>
              </w:rPr>
              <w:t>第一产业</w:t>
            </w:r>
          </w:p>
        </w:tc>
        <w:tc>
          <w:tcPr>
            <w:tcW w:w="1002" w:type="pct"/>
            <w:vAlign w:val="center"/>
          </w:tcPr>
          <w:p w14:paraId="23936FB0">
            <w:pPr>
              <w:pStyle w:val="11"/>
              <w:bidi w:val="0"/>
              <w:jc w:val="center"/>
              <w:rPr>
                <w:rFonts w:hint="eastAsia"/>
                <w:lang w:eastAsia="zh-CN"/>
              </w:rPr>
            </w:pPr>
            <w:r>
              <w:rPr>
                <w:rFonts w:hint="eastAsia"/>
              </w:rPr>
              <w:t>2582</w:t>
            </w:r>
          </w:p>
        </w:tc>
        <w:tc>
          <w:tcPr>
            <w:tcW w:w="868" w:type="pct"/>
            <w:vAlign w:val="center"/>
          </w:tcPr>
          <w:p w14:paraId="39FE52B9">
            <w:pPr>
              <w:pStyle w:val="11"/>
              <w:bidi w:val="0"/>
              <w:jc w:val="center"/>
              <w:rPr>
                <w:rFonts w:hint="eastAsia"/>
                <w:lang w:eastAsia="zh-CN"/>
              </w:rPr>
            </w:pPr>
            <w:r>
              <w:rPr>
                <w:rFonts w:hint="eastAsia"/>
              </w:rPr>
              <w:t>2506</w:t>
            </w:r>
          </w:p>
        </w:tc>
        <w:tc>
          <w:tcPr>
            <w:tcW w:w="904" w:type="pct"/>
            <w:vAlign w:val="center"/>
          </w:tcPr>
          <w:p w14:paraId="123EF2C5">
            <w:pPr>
              <w:pStyle w:val="11"/>
              <w:bidi w:val="0"/>
              <w:jc w:val="center"/>
              <w:rPr>
                <w:rFonts w:hint="eastAsia"/>
                <w:lang w:eastAsia="zh-CN"/>
              </w:rPr>
            </w:pPr>
            <w:r>
              <w:rPr>
                <w:rFonts w:hint="eastAsia"/>
              </w:rPr>
              <w:t>3.0</w:t>
            </w:r>
          </w:p>
        </w:tc>
      </w:tr>
      <w:tr w14:paraId="3A4803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0B9A7C65">
            <w:pPr>
              <w:pStyle w:val="11"/>
              <w:bidi w:val="0"/>
              <w:ind w:leftChars="100"/>
              <w:jc w:val="both"/>
              <w:rPr>
                <w:rFonts w:hint="eastAsia"/>
                <w:lang w:eastAsia="zh-CN"/>
              </w:rPr>
            </w:pPr>
            <w:r>
              <w:rPr>
                <w:rFonts w:hint="eastAsia"/>
              </w:rPr>
              <w:t>第二产业</w:t>
            </w:r>
          </w:p>
        </w:tc>
        <w:tc>
          <w:tcPr>
            <w:tcW w:w="1002" w:type="pct"/>
            <w:vAlign w:val="center"/>
          </w:tcPr>
          <w:p w14:paraId="3707365C">
            <w:pPr>
              <w:pStyle w:val="11"/>
              <w:bidi w:val="0"/>
              <w:jc w:val="center"/>
              <w:rPr>
                <w:rFonts w:hint="eastAsia"/>
                <w:lang w:eastAsia="zh-CN"/>
              </w:rPr>
            </w:pPr>
            <w:r>
              <w:rPr>
                <w:rFonts w:hint="eastAsia"/>
              </w:rPr>
              <w:t>37990</w:t>
            </w:r>
          </w:p>
        </w:tc>
        <w:tc>
          <w:tcPr>
            <w:tcW w:w="868" w:type="pct"/>
            <w:vAlign w:val="center"/>
          </w:tcPr>
          <w:p w14:paraId="5B48F82D">
            <w:pPr>
              <w:pStyle w:val="11"/>
              <w:bidi w:val="0"/>
              <w:jc w:val="center"/>
              <w:rPr>
                <w:rFonts w:hint="eastAsia"/>
                <w:lang w:eastAsia="zh-CN"/>
              </w:rPr>
            </w:pPr>
            <w:r>
              <w:rPr>
                <w:rFonts w:hint="eastAsia"/>
              </w:rPr>
              <w:t>22599</w:t>
            </w:r>
          </w:p>
        </w:tc>
        <w:tc>
          <w:tcPr>
            <w:tcW w:w="904" w:type="pct"/>
            <w:vAlign w:val="center"/>
          </w:tcPr>
          <w:p w14:paraId="37741432">
            <w:pPr>
              <w:pStyle w:val="11"/>
              <w:bidi w:val="0"/>
              <w:jc w:val="center"/>
              <w:rPr>
                <w:rFonts w:hint="eastAsia"/>
                <w:lang w:eastAsia="zh-CN"/>
              </w:rPr>
            </w:pPr>
            <w:r>
              <w:rPr>
                <w:rFonts w:hint="eastAsia"/>
              </w:rPr>
              <w:t>68.1</w:t>
            </w:r>
          </w:p>
        </w:tc>
      </w:tr>
      <w:tr w14:paraId="06952E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6F9DCC0B">
            <w:pPr>
              <w:pStyle w:val="11"/>
              <w:bidi w:val="0"/>
              <w:ind w:leftChars="100"/>
              <w:jc w:val="both"/>
              <w:rPr>
                <w:rFonts w:hint="eastAsia"/>
                <w:lang w:eastAsia="zh-CN"/>
              </w:rPr>
            </w:pPr>
            <w:r>
              <w:rPr>
                <w:rFonts w:hint="eastAsia"/>
              </w:rPr>
              <w:t>第三产业</w:t>
            </w:r>
          </w:p>
        </w:tc>
        <w:tc>
          <w:tcPr>
            <w:tcW w:w="1002" w:type="pct"/>
            <w:vAlign w:val="center"/>
          </w:tcPr>
          <w:p w14:paraId="617C7824">
            <w:pPr>
              <w:pStyle w:val="11"/>
              <w:bidi w:val="0"/>
              <w:jc w:val="center"/>
              <w:rPr>
                <w:rFonts w:hint="eastAsia"/>
                <w:lang w:eastAsia="zh-CN"/>
              </w:rPr>
            </w:pPr>
            <w:r>
              <w:rPr>
                <w:rFonts w:hint="eastAsia"/>
              </w:rPr>
              <w:t>11666</w:t>
            </w:r>
          </w:p>
        </w:tc>
        <w:tc>
          <w:tcPr>
            <w:tcW w:w="868" w:type="pct"/>
            <w:vAlign w:val="center"/>
          </w:tcPr>
          <w:p w14:paraId="4AA5EBE2">
            <w:pPr>
              <w:pStyle w:val="11"/>
              <w:bidi w:val="0"/>
              <w:jc w:val="center"/>
              <w:rPr>
                <w:rFonts w:hint="eastAsia"/>
                <w:lang w:eastAsia="zh-CN"/>
              </w:rPr>
            </w:pPr>
            <w:r>
              <w:rPr>
                <w:rFonts w:hint="eastAsia"/>
              </w:rPr>
              <w:t>10024</w:t>
            </w:r>
          </w:p>
        </w:tc>
        <w:tc>
          <w:tcPr>
            <w:tcW w:w="904" w:type="pct"/>
            <w:vAlign w:val="center"/>
          </w:tcPr>
          <w:p w14:paraId="1ABE2C10">
            <w:pPr>
              <w:pStyle w:val="11"/>
              <w:bidi w:val="0"/>
              <w:jc w:val="center"/>
              <w:rPr>
                <w:rFonts w:hint="eastAsia"/>
                <w:lang w:eastAsia="zh-CN"/>
              </w:rPr>
            </w:pPr>
            <w:r>
              <w:rPr>
                <w:rFonts w:hint="eastAsia"/>
              </w:rPr>
              <w:t>16.4</w:t>
            </w:r>
          </w:p>
        </w:tc>
      </w:tr>
      <w:tr w14:paraId="262567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6747574D">
            <w:pPr>
              <w:pStyle w:val="11"/>
              <w:bidi w:val="0"/>
              <w:jc w:val="both"/>
              <w:rPr>
                <w:rFonts w:hint="eastAsia"/>
                <w:lang w:eastAsia="zh-CN"/>
              </w:rPr>
            </w:pPr>
            <w:r>
              <w:rPr>
                <w:rFonts w:hint="eastAsia"/>
              </w:rPr>
              <w:t>B、城乡居民生活用电量合计</w:t>
            </w:r>
          </w:p>
        </w:tc>
        <w:tc>
          <w:tcPr>
            <w:tcW w:w="1002" w:type="pct"/>
            <w:vAlign w:val="center"/>
          </w:tcPr>
          <w:p w14:paraId="1D6061BC">
            <w:pPr>
              <w:pStyle w:val="11"/>
              <w:bidi w:val="0"/>
              <w:jc w:val="center"/>
              <w:rPr>
                <w:rFonts w:hint="eastAsia"/>
                <w:lang w:eastAsia="zh-CN"/>
              </w:rPr>
            </w:pPr>
            <w:r>
              <w:rPr>
                <w:rFonts w:hint="eastAsia"/>
              </w:rPr>
              <w:t>18486</w:t>
            </w:r>
          </w:p>
        </w:tc>
        <w:tc>
          <w:tcPr>
            <w:tcW w:w="868" w:type="pct"/>
            <w:vAlign w:val="center"/>
          </w:tcPr>
          <w:p w14:paraId="24DC57A9">
            <w:pPr>
              <w:pStyle w:val="11"/>
              <w:bidi w:val="0"/>
              <w:jc w:val="center"/>
              <w:rPr>
                <w:rFonts w:hint="eastAsia"/>
                <w:lang w:eastAsia="zh-CN"/>
              </w:rPr>
            </w:pPr>
            <w:r>
              <w:rPr>
                <w:rFonts w:hint="eastAsia"/>
              </w:rPr>
              <w:t>16188</w:t>
            </w:r>
          </w:p>
        </w:tc>
        <w:tc>
          <w:tcPr>
            <w:tcW w:w="904" w:type="pct"/>
            <w:vAlign w:val="center"/>
          </w:tcPr>
          <w:p w14:paraId="323B1618">
            <w:pPr>
              <w:pStyle w:val="11"/>
              <w:bidi w:val="0"/>
              <w:jc w:val="center"/>
              <w:rPr>
                <w:rFonts w:hint="eastAsia"/>
                <w:lang w:eastAsia="zh-CN"/>
              </w:rPr>
            </w:pPr>
            <w:r>
              <w:rPr>
                <w:rFonts w:hint="eastAsia"/>
              </w:rPr>
              <w:t>14.2</w:t>
            </w:r>
          </w:p>
        </w:tc>
      </w:tr>
      <w:tr w14:paraId="431E94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4F3AB6C3">
            <w:pPr>
              <w:pStyle w:val="11"/>
              <w:bidi w:val="0"/>
              <w:jc w:val="both"/>
              <w:rPr>
                <w:rFonts w:hint="eastAsia"/>
                <w:lang w:eastAsia="zh-CN"/>
              </w:rPr>
            </w:pPr>
            <w:r>
              <w:rPr>
                <w:rFonts w:hint="eastAsia"/>
              </w:rPr>
              <w:t>城镇居民</w:t>
            </w:r>
          </w:p>
        </w:tc>
        <w:tc>
          <w:tcPr>
            <w:tcW w:w="1002" w:type="pct"/>
            <w:vAlign w:val="center"/>
          </w:tcPr>
          <w:p w14:paraId="00631255">
            <w:pPr>
              <w:pStyle w:val="11"/>
              <w:bidi w:val="0"/>
              <w:jc w:val="center"/>
              <w:rPr>
                <w:rFonts w:hint="eastAsia"/>
                <w:lang w:eastAsia="zh-CN"/>
              </w:rPr>
            </w:pPr>
            <w:r>
              <w:rPr>
                <w:rFonts w:hint="eastAsia"/>
              </w:rPr>
              <w:t>7810</w:t>
            </w:r>
          </w:p>
        </w:tc>
        <w:tc>
          <w:tcPr>
            <w:tcW w:w="868" w:type="pct"/>
            <w:vAlign w:val="center"/>
          </w:tcPr>
          <w:p w14:paraId="2FA4D990">
            <w:pPr>
              <w:pStyle w:val="11"/>
              <w:bidi w:val="0"/>
              <w:jc w:val="center"/>
              <w:rPr>
                <w:rFonts w:hint="eastAsia"/>
                <w:lang w:eastAsia="zh-CN"/>
              </w:rPr>
            </w:pPr>
            <w:r>
              <w:rPr>
                <w:rFonts w:hint="eastAsia"/>
              </w:rPr>
              <w:t>6936</w:t>
            </w:r>
          </w:p>
        </w:tc>
        <w:tc>
          <w:tcPr>
            <w:tcW w:w="904" w:type="pct"/>
            <w:vAlign w:val="center"/>
          </w:tcPr>
          <w:p w14:paraId="1FCD15E5">
            <w:pPr>
              <w:pStyle w:val="11"/>
              <w:bidi w:val="0"/>
              <w:jc w:val="center"/>
              <w:rPr>
                <w:rFonts w:hint="eastAsia"/>
                <w:lang w:eastAsia="zh-CN"/>
              </w:rPr>
            </w:pPr>
            <w:r>
              <w:rPr>
                <w:rFonts w:hint="eastAsia"/>
              </w:rPr>
              <w:t>12.6</w:t>
            </w:r>
          </w:p>
        </w:tc>
      </w:tr>
      <w:tr w14:paraId="756EDB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7F47B9EC">
            <w:pPr>
              <w:pStyle w:val="11"/>
              <w:bidi w:val="0"/>
              <w:jc w:val="both"/>
              <w:rPr>
                <w:rFonts w:hint="eastAsia"/>
                <w:lang w:eastAsia="zh-CN"/>
              </w:rPr>
            </w:pPr>
            <w:r>
              <w:rPr>
                <w:rFonts w:hint="eastAsia"/>
              </w:rPr>
              <w:t>乡村居民</w:t>
            </w:r>
          </w:p>
        </w:tc>
        <w:tc>
          <w:tcPr>
            <w:tcW w:w="1002" w:type="pct"/>
            <w:vAlign w:val="center"/>
          </w:tcPr>
          <w:p w14:paraId="65C5500A">
            <w:pPr>
              <w:pStyle w:val="11"/>
              <w:bidi w:val="0"/>
              <w:jc w:val="center"/>
              <w:rPr>
                <w:rFonts w:hint="eastAsia"/>
                <w:lang w:eastAsia="zh-CN"/>
              </w:rPr>
            </w:pPr>
            <w:r>
              <w:rPr>
                <w:rFonts w:hint="eastAsia"/>
              </w:rPr>
              <w:t>10677</w:t>
            </w:r>
          </w:p>
        </w:tc>
        <w:tc>
          <w:tcPr>
            <w:tcW w:w="868" w:type="pct"/>
            <w:vAlign w:val="center"/>
          </w:tcPr>
          <w:p w14:paraId="562D0D81">
            <w:pPr>
              <w:pStyle w:val="11"/>
              <w:bidi w:val="0"/>
              <w:jc w:val="center"/>
              <w:rPr>
                <w:rFonts w:hint="eastAsia"/>
                <w:lang w:eastAsia="zh-CN"/>
              </w:rPr>
            </w:pPr>
            <w:r>
              <w:rPr>
                <w:rFonts w:hint="eastAsia"/>
              </w:rPr>
              <w:t>9251</w:t>
            </w:r>
          </w:p>
        </w:tc>
        <w:tc>
          <w:tcPr>
            <w:tcW w:w="904" w:type="pct"/>
            <w:vAlign w:val="center"/>
          </w:tcPr>
          <w:p w14:paraId="30A5353E">
            <w:pPr>
              <w:pStyle w:val="11"/>
              <w:bidi w:val="0"/>
              <w:jc w:val="center"/>
              <w:rPr>
                <w:rFonts w:hint="eastAsia"/>
                <w:lang w:eastAsia="zh-CN"/>
              </w:rPr>
            </w:pPr>
            <w:r>
              <w:rPr>
                <w:rFonts w:hint="eastAsia"/>
              </w:rPr>
              <w:t>15.4</w:t>
            </w:r>
          </w:p>
        </w:tc>
      </w:tr>
      <w:tr w14:paraId="5888BF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58C05409">
            <w:pPr>
              <w:pStyle w:val="11"/>
              <w:bidi w:val="0"/>
              <w:jc w:val="both"/>
              <w:rPr>
                <w:rFonts w:hint="eastAsia"/>
                <w:lang w:eastAsia="zh-CN"/>
              </w:rPr>
            </w:pPr>
            <w:r>
              <w:rPr>
                <w:rFonts w:hint="eastAsia"/>
              </w:rPr>
              <w:t>一、农、林、牧、渔业</w:t>
            </w:r>
          </w:p>
        </w:tc>
        <w:tc>
          <w:tcPr>
            <w:tcW w:w="1002" w:type="pct"/>
            <w:vAlign w:val="center"/>
          </w:tcPr>
          <w:p w14:paraId="57911A97">
            <w:pPr>
              <w:pStyle w:val="11"/>
              <w:bidi w:val="0"/>
              <w:jc w:val="center"/>
              <w:rPr>
                <w:rFonts w:hint="eastAsia"/>
                <w:lang w:eastAsia="zh-CN"/>
              </w:rPr>
            </w:pPr>
            <w:r>
              <w:rPr>
                <w:rFonts w:hint="eastAsia"/>
              </w:rPr>
              <w:t>2814</w:t>
            </w:r>
          </w:p>
        </w:tc>
        <w:tc>
          <w:tcPr>
            <w:tcW w:w="868" w:type="pct"/>
            <w:vAlign w:val="center"/>
          </w:tcPr>
          <w:p w14:paraId="11F4238A">
            <w:pPr>
              <w:pStyle w:val="11"/>
              <w:bidi w:val="0"/>
              <w:jc w:val="center"/>
              <w:rPr>
                <w:rFonts w:hint="eastAsia"/>
                <w:lang w:eastAsia="zh-CN"/>
              </w:rPr>
            </w:pPr>
            <w:r>
              <w:rPr>
                <w:rFonts w:hint="eastAsia"/>
              </w:rPr>
              <w:t>2506</w:t>
            </w:r>
          </w:p>
        </w:tc>
        <w:tc>
          <w:tcPr>
            <w:tcW w:w="904" w:type="pct"/>
            <w:vAlign w:val="center"/>
          </w:tcPr>
          <w:p w14:paraId="1F74692A">
            <w:pPr>
              <w:pStyle w:val="11"/>
              <w:bidi w:val="0"/>
              <w:jc w:val="center"/>
              <w:rPr>
                <w:rFonts w:hint="eastAsia"/>
                <w:lang w:eastAsia="zh-CN"/>
              </w:rPr>
            </w:pPr>
            <w:r>
              <w:rPr>
                <w:rFonts w:hint="eastAsia"/>
              </w:rPr>
              <w:t>12.3</w:t>
            </w:r>
          </w:p>
        </w:tc>
      </w:tr>
      <w:tr w14:paraId="18B172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51DA2931">
            <w:pPr>
              <w:pStyle w:val="11"/>
              <w:bidi w:val="0"/>
              <w:jc w:val="both"/>
              <w:rPr>
                <w:rFonts w:hint="eastAsia"/>
                <w:lang w:eastAsia="zh-CN"/>
              </w:rPr>
            </w:pPr>
            <w:r>
              <w:rPr>
                <w:rFonts w:hint="eastAsia"/>
              </w:rPr>
              <w:t>二、工业</w:t>
            </w:r>
          </w:p>
        </w:tc>
        <w:tc>
          <w:tcPr>
            <w:tcW w:w="1002" w:type="pct"/>
            <w:vAlign w:val="center"/>
          </w:tcPr>
          <w:p w14:paraId="5BB23868">
            <w:pPr>
              <w:pStyle w:val="11"/>
              <w:bidi w:val="0"/>
              <w:jc w:val="center"/>
              <w:rPr>
                <w:rFonts w:hint="eastAsia"/>
                <w:lang w:eastAsia="zh-CN"/>
              </w:rPr>
            </w:pPr>
            <w:r>
              <w:rPr>
                <w:rFonts w:hint="eastAsia"/>
              </w:rPr>
              <w:t>36678</w:t>
            </w:r>
          </w:p>
        </w:tc>
        <w:tc>
          <w:tcPr>
            <w:tcW w:w="868" w:type="pct"/>
            <w:vAlign w:val="center"/>
          </w:tcPr>
          <w:p w14:paraId="07927F81">
            <w:pPr>
              <w:pStyle w:val="11"/>
              <w:bidi w:val="0"/>
              <w:jc w:val="center"/>
              <w:rPr>
                <w:rFonts w:hint="eastAsia"/>
                <w:lang w:eastAsia="zh-CN"/>
              </w:rPr>
            </w:pPr>
            <w:r>
              <w:rPr>
                <w:rFonts w:hint="eastAsia"/>
              </w:rPr>
              <w:t>21336</w:t>
            </w:r>
          </w:p>
        </w:tc>
        <w:tc>
          <w:tcPr>
            <w:tcW w:w="904" w:type="pct"/>
            <w:vAlign w:val="center"/>
          </w:tcPr>
          <w:p w14:paraId="03F9DD5B">
            <w:pPr>
              <w:pStyle w:val="11"/>
              <w:bidi w:val="0"/>
              <w:jc w:val="center"/>
              <w:rPr>
                <w:rFonts w:hint="eastAsia"/>
                <w:lang w:eastAsia="zh-CN"/>
              </w:rPr>
            </w:pPr>
            <w:r>
              <w:rPr>
                <w:rFonts w:hint="eastAsia"/>
              </w:rPr>
              <w:t>71.9</w:t>
            </w:r>
          </w:p>
        </w:tc>
      </w:tr>
      <w:tr w14:paraId="3FF2A8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01D1B591">
            <w:pPr>
              <w:pStyle w:val="11"/>
              <w:bidi w:val="0"/>
              <w:ind w:leftChars="100"/>
              <w:jc w:val="both"/>
              <w:rPr>
                <w:rFonts w:hint="eastAsia"/>
                <w:lang w:eastAsia="zh-CN"/>
              </w:rPr>
            </w:pPr>
            <w:r>
              <w:rPr>
                <w:rFonts w:hint="eastAsia"/>
              </w:rPr>
              <w:t>（一）采矿业</w:t>
            </w:r>
          </w:p>
        </w:tc>
        <w:tc>
          <w:tcPr>
            <w:tcW w:w="1002" w:type="pct"/>
            <w:vAlign w:val="center"/>
          </w:tcPr>
          <w:p w14:paraId="79BFA11B">
            <w:pPr>
              <w:pStyle w:val="11"/>
              <w:bidi w:val="0"/>
              <w:jc w:val="center"/>
              <w:rPr>
                <w:rFonts w:hint="eastAsia"/>
                <w:lang w:eastAsia="zh-CN"/>
              </w:rPr>
            </w:pPr>
            <w:r>
              <w:rPr>
                <w:rFonts w:hint="eastAsia"/>
              </w:rPr>
              <w:t>295</w:t>
            </w:r>
          </w:p>
        </w:tc>
        <w:tc>
          <w:tcPr>
            <w:tcW w:w="868" w:type="pct"/>
            <w:vAlign w:val="center"/>
          </w:tcPr>
          <w:p w14:paraId="0F1D6435">
            <w:pPr>
              <w:pStyle w:val="11"/>
              <w:bidi w:val="0"/>
              <w:jc w:val="center"/>
              <w:rPr>
                <w:rFonts w:hint="eastAsia"/>
                <w:lang w:eastAsia="zh-CN"/>
              </w:rPr>
            </w:pPr>
            <w:r>
              <w:rPr>
                <w:rFonts w:hint="eastAsia"/>
              </w:rPr>
              <w:t>261</w:t>
            </w:r>
          </w:p>
        </w:tc>
        <w:tc>
          <w:tcPr>
            <w:tcW w:w="904" w:type="pct"/>
            <w:vAlign w:val="center"/>
          </w:tcPr>
          <w:p w14:paraId="7636991D">
            <w:pPr>
              <w:pStyle w:val="11"/>
              <w:bidi w:val="0"/>
              <w:jc w:val="center"/>
              <w:rPr>
                <w:rFonts w:hint="eastAsia"/>
                <w:lang w:eastAsia="zh-CN"/>
              </w:rPr>
            </w:pPr>
            <w:r>
              <w:rPr>
                <w:rFonts w:hint="eastAsia"/>
              </w:rPr>
              <w:t>13.0</w:t>
            </w:r>
          </w:p>
        </w:tc>
      </w:tr>
      <w:tr w14:paraId="39C1B9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69C54E8C">
            <w:pPr>
              <w:pStyle w:val="11"/>
              <w:bidi w:val="0"/>
              <w:ind w:leftChars="100"/>
              <w:jc w:val="both"/>
              <w:rPr>
                <w:rFonts w:hint="eastAsia"/>
                <w:lang w:eastAsia="zh-CN"/>
              </w:rPr>
            </w:pPr>
            <w:r>
              <w:rPr>
                <w:rFonts w:hint="eastAsia"/>
              </w:rPr>
              <w:t>（二）制造业</w:t>
            </w:r>
          </w:p>
        </w:tc>
        <w:tc>
          <w:tcPr>
            <w:tcW w:w="1002" w:type="pct"/>
            <w:vAlign w:val="center"/>
          </w:tcPr>
          <w:p w14:paraId="6FCF9ABF">
            <w:pPr>
              <w:pStyle w:val="11"/>
              <w:bidi w:val="0"/>
              <w:jc w:val="center"/>
              <w:rPr>
                <w:rFonts w:hint="eastAsia"/>
                <w:lang w:eastAsia="zh-CN"/>
              </w:rPr>
            </w:pPr>
            <w:r>
              <w:rPr>
                <w:rFonts w:hint="eastAsia"/>
              </w:rPr>
              <w:t>33802</w:t>
            </w:r>
          </w:p>
        </w:tc>
        <w:tc>
          <w:tcPr>
            <w:tcW w:w="868" w:type="pct"/>
            <w:vAlign w:val="center"/>
          </w:tcPr>
          <w:p w14:paraId="449621F8">
            <w:pPr>
              <w:pStyle w:val="11"/>
              <w:bidi w:val="0"/>
              <w:jc w:val="center"/>
              <w:rPr>
                <w:rFonts w:hint="eastAsia"/>
                <w:lang w:eastAsia="zh-CN"/>
              </w:rPr>
            </w:pPr>
            <w:r>
              <w:rPr>
                <w:rFonts w:hint="eastAsia"/>
              </w:rPr>
              <w:t>19950</w:t>
            </w:r>
          </w:p>
        </w:tc>
        <w:tc>
          <w:tcPr>
            <w:tcW w:w="904" w:type="pct"/>
            <w:vAlign w:val="center"/>
          </w:tcPr>
          <w:p w14:paraId="0D294FB6">
            <w:pPr>
              <w:pStyle w:val="11"/>
              <w:bidi w:val="0"/>
              <w:jc w:val="center"/>
              <w:rPr>
                <w:rFonts w:hint="eastAsia"/>
                <w:lang w:eastAsia="zh-CN"/>
              </w:rPr>
            </w:pPr>
            <w:r>
              <w:rPr>
                <w:rFonts w:hint="eastAsia"/>
              </w:rPr>
              <w:t>69.4</w:t>
            </w:r>
          </w:p>
        </w:tc>
      </w:tr>
      <w:tr w14:paraId="7BD80C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7AAF9CC7">
            <w:pPr>
              <w:pStyle w:val="11"/>
              <w:bidi w:val="0"/>
              <w:ind w:leftChars="100"/>
              <w:jc w:val="both"/>
              <w:rPr>
                <w:rFonts w:hint="eastAsia"/>
                <w:lang w:eastAsia="zh-CN"/>
              </w:rPr>
            </w:pPr>
            <w:r>
              <w:rPr>
                <w:rFonts w:hint="eastAsia"/>
              </w:rPr>
              <w:t>（三）电力、燃气及水的生产和供应业</w:t>
            </w:r>
          </w:p>
        </w:tc>
        <w:tc>
          <w:tcPr>
            <w:tcW w:w="1002" w:type="pct"/>
            <w:vAlign w:val="center"/>
          </w:tcPr>
          <w:p w14:paraId="638DBD10">
            <w:pPr>
              <w:pStyle w:val="11"/>
              <w:bidi w:val="0"/>
              <w:jc w:val="center"/>
              <w:rPr>
                <w:rFonts w:hint="eastAsia"/>
                <w:lang w:eastAsia="zh-CN"/>
              </w:rPr>
            </w:pPr>
            <w:r>
              <w:rPr>
                <w:rFonts w:hint="eastAsia"/>
              </w:rPr>
              <w:t>2580</w:t>
            </w:r>
          </w:p>
        </w:tc>
        <w:tc>
          <w:tcPr>
            <w:tcW w:w="868" w:type="pct"/>
            <w:vAlign w:val="center"/>
          </w:tcPr>
          <w:p w14:paraId="79509078">
            <w:pPr>
              <w:pStyle w:val="11"/>
              <w:bidi w:val="0"/>
              <w:jc w:val="center"/>
              <w:rPr>
                <w:rFonts w:hint="eastAsia"/>
                <w:lang w:eastAsia="zh-CN"/>
              </w:rPr>
            </w:pPr>
            <w:r>
              <w:rPr>
                <w:rFonts w:hint="eastAsia"/>
              </w:rPr>
              <w:t>1125</w:t>
            </w:r>
          </w:p>
        </w:tc>
        <w:tc>
          <w:tcPr>
            <w:tcW w:w="904" w:type="pct"/>
            <w:vAlign w:val="center"/>
          </w:tcPr>
          <w:p w14:paraId="5FB8AC74">
            <w:pPr>
              <w:pStyle w:val="11"/>
              <w:bidi w:val="0"/>
              <w:jc w:val="center"/>
              <w:rPr>
                <w:rFonts w:hint="eastAsia"/>
                <w:lang w:eastAsia="zh-CN"/>
              </w:rPr>
            </w:pPr>
            <w:r>
              <w:rPr>
                <w:rFonts w:hint="eastAsia"/>
              </w:rPr>
              <w:t>129.3</w:t>
            </w:r>
          </w:p>
        </w:tc>
      </w:tr>
      <w:tr w14:paraId="6F0EE8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671F76DD">
            <w:pPr>
              <w:pStyle w:val="11"/>
              <w:bidi w:val="0"/>
              <w:jc w:val="both"/>
              <w:rPr>
                <w:rFonts w:hint="eastAsia"/>
                <w:lang w:eastAsia="zh-CN"/>
              </w:rPr>
            </w:pPr>
            <w:r>
              <w:rPr>
                <w:rFonts w:hint="eastAsia"/>
              </w:rPr>
              <w:t>三、建筑业</w:t>
            </w:r>
          </w:p>
        </w:tc>
        <w:tc>
          <w:tcPr>
            <w:tcW w:w="1002" w:type="pct"/>
            <w:vAlign w:val="center"/>
          </w:tcPr>
          <w:p w14:paraId="5C6C9603">
            <w:pPr>
              <w:pStyle w:val="11"/>
              <w:bidi w:val="0"/>
              <w:jc w:val="center"/>
              <w:rPr>
                <w:rFonts w:hint="eastAsia"/>
                <w:lang w:eastAsia="zh-CN"/>
              </w:rPr>
            </w:pPr>
            <w:r>
              <w:rPr>
                <w:rFonts w:hint="eastAsia"/>
              </w:rPr>
              <w:t>1357</w:t>
            </w:r>
          </w:p>
        </w:tc>
        <w:tc>
          <w:tcPr>
            <w:tcW w:w="868" w:type="pct"/>
            <w:vAlign w:val="center"/>
          </w:tcPr>
          <w:p w14:paraId="682A10A8">
            <w:pPr>
              <w:pStyle w:val="11"/>
              <w:bidi w:val="0"/>
              <w:jc w:val="center"/>
              <w:rPr>
                <w:rFonts w:hint="eastAsia"/>
                <w:lang w:eastAsia="zh-CN"/>
              </w:rPr>
            </w:pPr>
            <w:r>
              <w:rPr>
                <w:rFonts w:hint="eastAsia"/>
              </w:rPr>
              <w:t>1263</w:t>
            </w:r>
          </w:p>
        </w:tc>
        <w:tc>
          <w:tcPr>
            <w:tcW w:w="904" w:type="pct"/>
            <w:vAlign w:val="center"/>
          </w:tcPr>
          <w:p w14:paraId="3BA858FB">
            <w:pPr>
              <w:pStyle w:val="11"/>
              <w:bidi w:val="0"/>
              <w:jc w:val="center"/>
              <w:rPr>
                <w:rFonts w:hint="eastAsia"/>
                <w:lang w:eastAsia="zh-CN"/>
              </w:rPr>
            </w:pPr>
            <w:r>
              <w:rPr>
                <w:rFonts w:hint="eastAsia"/>
              </w:rPr>
              <w:t>7.4</w:t>
            </w:r>
          </w:p>
        </w:tc>
      </w:tr>
      <w:tr w14:paraId="127BD0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515AF6FA">
            <w:pPr>
              <w:pStyle w:val="11"/>
              <w:bidi w:val="0"/>
              <w:jc w:val="both"/>
              <w:rPr>
                <w:rFonts w:hint="eastAsia"/>
                <w:lang w:eastAsia="zh-CN"/>
              </w:rPr>
            </w:pPr>
            <w:r>
              <w:rPr>
                <w:rFonts w:hint="eastAsia"/>
              </w:rPr>
              <w:t>四、交通运输、仓储、邮政业</w:t>
            </w:r>
          </w:p>
        </w:tc>
        <w:tc>
          <w:tcPr>
            <w:tcW w:w="1002" w:type="pct"/>
            <w:vAlign w:val="center"/>
          </w:tcPr>
          <w:p w14:paraId="761E05D3">
            <w:pPr>
              <w:pStyle w:val="11"/>
              <w:bidi w:val="0"/>
              <w:jc w:val="center"/>
              <w:rPr>
                <w:rFonts w:hint="eastAsia"/>
                <w:lang w:eastAsia="zh-CN"/>
              </w:rPr>
            </w:pPr>
            <w:r>
              <w:rPr>
                <w:rFonts w:hint="eastAsia"/>
              </w:rPr>
              <w:t>882</w:t>
            </w:r>
          </w:p>
        </w:tc>
        <w:tc>
          <w:tcPr>
            <w:tcW w:w="868" w:type="pct"/>
            <w:vAlign w:val="center"/>
          </w:tcPr>
          <w:p w14:paraId="04A1AF20">
            <w:pPr>
              <w:pStyle w:val="11"/>
              <w:bidi w:val="0"/>
              <w:jc w:val="center"/>
              <w:rPr>
                <w:rFonts w:hint="eastAsia"/>
                <w:lang w:eastAsia="zh-CN"/>
              </w:rPr>
            </w:pPr>
            <w:r>
              <w:rPr>
                <w:rFonts w:hint="eastAsia"/>
              </w:rPr>
              <w:t>1066</w:t>
            </w:r>
          </w:p>
        </w:tc>
        <w:tc>
          <w:tcPr>
            <w:tcW w:w="904" w:type="pct"/>
            <w:vAlign w:val="center"/>
          </w:tcPr>
          <w:p w14:paraId="1C69DB4E">
            <w:pPr>
              <w:pStyle w:val="11"/>
              <w:bidi w:val="0"/>
              <w:jc w:val="center"/>
              <w:rPr>
                <w:rFonts w:hint="eastAsia"/>
                <w:lang w:eastAsia="zh-CN"/>
              </w:rPr>
            </w:pPr>
            <w:r>
              <w:rPr>
                <w:rFonts w:hint="eastAsia"/>
              </w:rPr>
              <w:t>-17.3</w:t>
            </w:r>
          </w:p>
        </w:tc>
      </w:tr>
      <w:tr w14:paraId="5BA075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215F2790">
            <w:pPr>
              <w:pStyle w:val="11"/>
              <w:bidi w:val="0"/>
              <w:jc w:val="both"/>
              <w:rPr>
                <w:rFonts w:hint="eastAsia"/>
                <w:lang w:eastAsia="zh-CN"/>
              </w:rPr>
            </w:pPr>
            <w:r>
              <w:rPr>
                <w:rFonts w:hint="eastAsia"/>
              </w:rPr>
              <w:t>五、信息传输、计算机服务和软件业</w:t>
            </w:r>
          </w:p>
        </w:tc>
        <w:tc>
          <w:tcPr>
            <w:tcW w:w="1002" w:type="pct"/>
            <w:vAlign w:val="center"/>
          </w:tcPr>
          <w:p w14:paraId="62963188">
            <w:pPr>
              <w:pStyle w:val="11"/>
              <w:bidi w:val="0"/>
              <w:jc w:val="center"/>
              <w:rPr>
                <w:rFonts w:hint="eastAsia"/>
                <w:lang w:eastAsia="zh-CN"/>
              </w:rPr>
            </w:pPr>
            <w:r>
              <w:rPr>
                <w:rFonts w:hint="eastAsia"/>
              </w:rPr>
              <w:t>1225</w:t>
            </w:r>
          </w:p>
        </w:tc>
        <w:tc>
          <w:tcPr>
            <w:tcW w:w="868" w:type="pct"/>
            <w:vAlign w:val="center"/>
          </w:tcPr>
          <w:p w14:paraId="6492CD0B">
            <w:pPr>
              <w:pStyle w:val="11"/>
              <w:bidi w:val="0"/>
              <w:jc w:val="center"/>
              <w:rPr>
                <w:rFonts w:hint="eastAsia"/>
                <w:lang w:eastAsia="zh-CN"/>
              </w:rPr>
            </w:pPr>
            <w:r>
              <w:rPr>
                <w:rFonts w:hint="eastAsia"/>
              </w:rPr>
              <w:t>1149</w:t>
            </w:r>
          </w:p>
        </w:tc>
        <w:tc>
          <w:tcPr>
            <w:tcW w:w="904" w:type="pct"/>
            <w:vAlign w:val="center"/>
          </w:tcPr>
          <w:p w14:paraId="002D7D37">
            <w:pPr>
              <w:pStyle w:val="11"/>
              <w:bidi w:val="0"/>
              <w:jc w:val="center"/>
              <w:rPr>
                <w:rFonts w:hint="eastAsia"/>
                <w:lang w:eastAsia="zh-CN"/>
              </w:rPr>
            </w:pPr>
            <w:r>
              <w:rPr>
                <w:rFonts w:hint="eastAsia"/>
              </w:rPr>
              <w:t>6.6</w:t>
            </w:r>
          </w:p>
        </w:tc>
      </w:tr>
      <w:tr w14:paraId="6276E0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035C1F43">
            <w:pPr>
              <w:pStyle w:val="11"/>
              <w:bidi w:val="0"/>
              <w:jc w:val="both"/>
              <w:rPr>
                <w:rFonts w:hint="eastAsia"/>
                <w:lang w:eastAsia="zh-CN"/>
              </w:rPr>
            </w:pPr>
            <w:r>
              <w:rPr>
                <w:rFonts w:hint="eastAsia"/>
              </w:rPr>
              <w:t>六、商业、住宿和餐饮业</w:t>
            </w:r>
          </w:p>
        </w:tc>
        <w:tc>
          <w:tcPr>
            <w:tcW w:w="1002" w:type="pct"/>
            <w:vAlign w:val="center"/>
          </w:tcPr>
          <w:p w14:paraId="574BEC85">
            <w:pPr>
              <w:pStyle w:val="11"/>
              <w:bidi w:val="0"/>
              <w:jc w:val="center"/>
              <w:rPr>
                <w:rFonts w:hint="eastAsia"/>
                <w:lang w:eastAsia="zh-CN"/>
              </w:rPr>
            </w:pPr>
            <w:r>
              <w:rPr>
                <w:rFonts w:hint="eastAsia"/>
              </w:rPr>
              <w:t>3590</w:t>
            </w:r>
          </w:p>
        </w:tc>
        <w:tc>
          <w:tcPr>
            <w:tcW w:w="868" w:type="pct"/>
            <w:vAlign w:val="center"/>
          </w:tcPr>
          <w:p w14:paraId="08A15BCF">
            <w:pPr>
              <w:pStyle w:val="11"/>
              <w:bidi w:val="0"/>
              <w:jc w:val="center"/>
              <w:rPr>
                <w:rFonts w:hint="eastAsia"/>
                <w:lang w:eastAsia="zh-CN"/>
              </w:rPr>
            </w:pPr>
            <w:r>
              <w:rPr>
                <w:rFonts w:hint="eastAsia"/>
              </w:rPr>
              <w:t>3053</w:t>
            </w:r>
          </w:p>
        </w:tc>
        <w:tc>
          <w:tcPr>
            <w:tcW w:w="904" w:type="pct"/>
            <w:vAlign w:val="center"/>
          </w:tcPr>
          <w:p w14:paraId="3452B40B">
            <w:pPr>
              <w:pStyle w:val="11"/>
              <w:bidi w:val="0"/>
              <w:jc w:val="center"/>
              <w:rPr>
                <w:rFonts w:hint="eastAsia"/>
                <w:lang w:eastAsia="zh-CN"/>
              </w:rPr>
            </w:pPr>
            <w:r>
              <w:rPr>
                <w:rFonts w:hint="eastAsia"/>
              </w:rPr>
              <w:t>17.6</w:t>
            </w:r>
          </w:p>
        </w:tc>
      </w:tr>
      <w:tr w14:paraId="1D107F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111484CA">
            <w:pPr>
              <w:pStyle w:val="11"/>
              <w:bidi w:val="0"/>
              <w:jc w:val="both"/>
              <w:rPr>
                <w:rFonts w:hint="eastAsia"/>
                <w:lang w:eastAsia="zh-CN"/>
              </w:rPr>
            </w:pPr>
            <w:r>
              <w:rPr>
                <w:rFonts w:hint="eastAsia"/>
              </w:rPr>
              <w:t>七、金融、房地产、商务及居民服务业</w:t>
            </w:r>
          </w:p>
        </w:tc>
        <w:tc>
          <w:tcPr>
            <w:tcW w:w="1002" w:type="pct"/>
            <w:vAlign w:val="center"/>
          </w:tcPr>
          <w:p w14:paraId="036885B9">
            <w:pPr>
              <w:pStyle w:val="11"/>
              <w:bidi w:val="0"/>
              <w:jc w:val="center"/>
              <w:rPr>
                <w:rFonts w:hint="eastAsia"/>
                <w:lang w:eastAsia="zh-CN"/>
              </w:rPr>
            </w:pPr>
            <w:r>
              <w:rPr>
                <w:rFonts w:hint="eastAsia"/>
              </w:rPr>
              <w:t>1914</w:t>
            </w:r>
          </w:p>
        </w:tc>
        <w:tc>
          <w:tcPr>
            <w:tcW w:w="868" w:type="pct"/>
            <w:vAlign w:val="center"/>
          </w:tcPr>
          <w:p w14:paraId="78A94179">
            <w:pPr>
              <w:pStyle w:val="11"/>
              <w:bidi w:val="0"/>
              <w:jc w:val="center"/>
              <w:rPr>
                <w:rFonts w:hint="eastAsia"/>
                <w:lang w:eastAsia="zh-CN"/>
              </w:rPr>
            </w:pPr>
            <w:r>
              <w:rPr>
                <w:rFonts w:hint="eastAsia"/>
              </w:rPr>
              <w:t>1421</w:t>
            </w:r>
          </w:p>
        </w:tc>
        <w:tc>
          <w:tcPr>
            <w:tcW w:w="904" w:type="pct"/>
            <w:vAlign w:val="center"/>
          </w:tcPr>
          <w:p w14:paraId="15E77C6E">
            <w:pPr>
              <w:pStyle w:val="11"/>
              <w:bidi w:val="0"/>
              <w:jc w:val="center"/>
              <w:rPr>
                <w:rFonts w:hint="eastAsia"/>
                <w:lang w:eastAsia="zh-CN"/>
              </w:rPr>
            </w:pPr>
            <w:r>
              <w:rPr>
                <w:rFonts w:hint="eastAsia"/>
              </w:rPr>
              <w:t>34.7</w:t>
            </w:r>
          </w:p>
        </w:tc>
      </w:tr>
      <w:tr w14:paraId="7EE98B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4" w:type="pct"/>
            <w:vAlign w:val="center"/>
          </w:tcPr>
          <w:p w14:paraId="320775C2">
            <w:pPr>
              <w:pStyle w:val="11"/>
              <w:bidi w:val="0"/>
              <w:jc w:val="both"/>
              <w:rPr>
                <w:rFonts w:hint="eastAsia"/>
                <w:lang w:eastAsia="zh-CN"/>
              </w:rPr>
            </w:pPr>
            <w:r>
              <w:rPr>
                <w:rFonts w:hint="eastAsia"/>
              </w:rPr>
              <w:t>八、公共事业及管理组织</w:t>
            </w:r>
          </w:p>
        </w:tc>
        <w:tc>
          <w:tcPr>
            <w:tcW w:w="1002" w:type="pct"/>
            <w:vAlign w:val="center"/>
          </w:tcPr>
          <w:p w14:paraId="76894A6F">
            <w:pPr>
              <w:pStyle w:val="11"/>
              <w:bidi w:val="0"/>
              <w:jc w:val="center"/>
              <w:rPr>
                <w:rFonts w:hint="eastAsia"/>
                <w:lang w:eastAsia="zh-CN"/>
              </w:rPr>
            </w:pPr>
            <w:r>
              <w:rPr>
                <w:rFonts w:hint="eastAsia"/>
              </w:rPr>
              <w:t>3779</w:t>
            </w:r>
          </w:p>
        </w:tc>
        <w:tc>
          <w:tcPr>
            <w:tcW w:w="868" w:type="pct"/>
            <w:vAlign w:val="center"/>
          </w:tcPr>
          <w:p w14:paraId="7A2EA984">
            <w:pPr>
              <w:pStyle w:val="11"/>
              <w:bidi w:val="0"/>
              <w:jc w:val="center"/>
              <w:rPr>
                <w:rFonts w:hint="eastAsia"/>
                <w:lang w:eastAsia="zh-CN"/>
              </w:rPr>
            </w:pPr>
            <w:r>
              <w:rPr>
                <w:rFonts w:hint="eastAsia"/>
              </w:rPr>
              <w:t>3336</w:t>
            </w:r>
          </w:p>
        </w:tc>
        <w:tc>
          <w:tcPr>
            <w:tcW w:w="904" w:type="pct"/>
            <w:vAlign w:val="center"/>
          </w:tcPr>
          <w:p w14:paraId="2F7C582E">
            <w:pPr>
              <w:pStyle w:val="11"/>
              <w:bidi w:val="0"/>
              <w:jc w:val="center"/>
              <w:rPr>
                <w:rFonts w:hint="eastAsia"/>
                <w:lang w:eastAsia="zh-CN"/>
              </w:rPr>
            </w:pPr>
            <w:r>
              <w:rPr>
                <w:rFonts w:hint="eastAsia"/>
              </w:rPr>
              <w:t>13.3</w:t>
            </w:r>
          </w:p>
        </w:tc>
      </w:tr>
    </w:tbl>
    <w:p w14:paraId="47FA771E">
      <w:pPr>
        <w:pStyle w:val="4"/>
        <w:bidi w:val="0"/>
        <w:rPr>
          <w:rFonts w:hint="eastAsia"/>
        </w:rPr>
      </w:pPr>
      <w:r>
        <w:rPr>
          <w:rFonts w:hint="eastAsia"/>
        </w:rPr>
        <w:t>表42</w:t>
      </w:r>
      <w:r>
        <w:rPr>
          <w:rFonts w:hint="eastAsia"/>
          <w:lang w:val="en-US" w:eastAsia="zh-CN"/>
        </w:rPr>
        <w:t xml:space="preserve">  </w:t>
      </w:r>
      <w:r>
        <w:rPr>
          <w:rFonts w:hint="eastAsia"/>
        </w:rPr>
        <w:t>全市能源消费情况表</w:t>
      </w:r>
    </w:p>
    <w:tbl>
      <w:tblPr>
        <w:tblStyle w:val="8"/>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60"/>
        <w:gridCol w:w="2102"/>
        <w:gridCol w:w="1195"/>
        <w:gridCol w:w="1195"/>
        <w:gridCol w:w="2106"/>
      </w:tblGrid>
      <w:tr w14:paraId="534093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Merge w:val="restart"/>
            <w:vAlign w:val="center"/>
          </w:tcPr>
          <w:p w14:paraId="1426E7E8">
            <w:pPr>
              <w:pStyle w:val="11"/>
              <w:bidi w:val="0"/>
              <w:jc w:val="center"/>
              <w:rPr>
                <w:rFonts w:hint="default"/>
                <w:b/>
                <w:bCs/>
                <w:lang w:val="en-US" w:eastAsia="zh-CN"/>
              </w:rPr>
            </w:pPr>
            <w:r>
              <w:rPr>
                <w:rFonts w:hint="eastAsia"/>
                <w:b/>
                <w:bCs/>
                <w:lang w:val="en-US" w:eastAsia="zh-CN"/>
              </w:rPr>
              <w:t>指标</w:t>
            </w:r>
          </w:p>
        </w:tc>
        <w:tc>
          <w:tcPr>
            <w:tcW w:w="1055" w:type="pct"/>
            <w:vMerge w:val="restart"/>
            <w:vAlign w:val="center"/>
          </w:tcPr>
          <w:p w14:paraId="2B523430">
            <w:pPr>
              <w:pStyle w:val="11"/>
              <w:bidi w:val="0"/>
              <w:jc w:val="center"/>
              <w:rPr>
                <w:rFonts w:hint="default"/>
                <w:b/>
                <w:bCs/>
                <w:lang w:val="en-US" w:eastAsia="zh-CN"/>
              </w:rPr>
            </w:pPr>
            <w:r>
              <w:rPr>
                <w:rFonts w:hint="eastAsia"/>
                <w:b/>
                <w:bCs/>
                <w:lang w:val="en-US" w:eastAsia="zh-CN"/>
              </w:rPr>
              <w:t>计量单位</w:t>
            </w:r>
          </w:p>
        </w:tc>
        <w:tc>
          <w:tcPr>
            <w:tcW w:w="2257" w:type="pct"/>
            <w:gridSpan w:val="3"/>
            <w:vAlign w:val="center"/>
          </w:tcPr>
          <w:p w14:paraId="72EF2332">
            <w:pPr>
              <w:pStyle w:val="11"/>
              <w:bidi w:val="0"/>
              <w:jc w:val="center"/>
              <w:rPr>
                <w:rFonts w:hint="default"/>
                <w:b/>
                <w:bCs/>
                <w:lang w:val="en-US" w:eastAsia="zh-CN"/>
              </w:rPr>
            </w:pPr>
            <w:r>
              <w:rPr>
                <w:rFonts w:hint="eastAsia"/>
                <w:b/>
                <w:bCs/>
                <w:lang w:val="en-US" w:eastAsia="zh-CN"/>
              </w:rPr>
              <w:t>核实数据</w:t>
            </w:r>
          </w:p>
        </w:tc>
      </w:tr>
      <w:tr w14:paraId="59A388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Merge w:val="continue"/>
            <w:vAlign w:val="center"/>
          </w:tcPr>
          <w:p w14:paraId="7C6D2CE0">
            <w:pPr>
              <w:pStyle w:val="11"/>
              <w:bidi w:val="0"/>
              <w:jc w:val="center"/>
              <w:rPr>
                <w:rFonts w:hint="eastAsia"/>
                <w:b/>
                <w:bCs/>
                <w:lang w:eastAsia="zh-CN"/>
              </w:rPr>
            </w:pPr>
          </w:p>
        </w:tc>
        <w:tc>
          <w:tcPr>
            <w:tcW w:w="1055" w:type="pct"/>
            <w:vMerge w:val="continue"/>
            <w:vAlign w:val="center"/>
          </w:tcPr>
          <w:p w14:paraId="331978E3">
            <w:pPr>
              <w:pStyle w:val="11"/>
              <w:bidi w:val="0"/>
              <w:jc w:val="center"/>
              <w:rPr>
                <w:rFonts w:hint="eastAsia"/>
                <w:b/>
                <w:bCs/>
                <w:lang w:eastAsia="zh-CN"/>
              </w:rPr>
            </w:pPr>
          </w:p>
        </w:tc>
        <w:tc>
          <w:tcPr>
            <w:tcW w:w="600" w:type="pct"/>
            <w:vAlign w:val="center"/>
          </w:tcPr>
          <w:p w14:paraId="35960009">
            <w:pPr>
              <w:pStyle w:val="11"/>
              <w:bidi w:val="0"/>
              <w:jc w:val="center"/>
              <w:rPr>
                <w:rFonts w:hint="default"/>
                <w:b/>
                <w:bCs/>
                <w:lang w:val="en-US" w:eastAsia="zh-CN"/>
              </w:rPr>
            </w:pPr>
            <w:r>
              <w:rPr>
                <w:rFonts w:hint="eastAsia"/>
                <w:b/>
                <w:bCs/>
                <w:lang w:val="en-US" w:eastAsia="zh-CN"/>
              </w:rPr>
              <w:t>2018年</w:t>
            </w:r>
          </w:p>
        </w:tc>
        <w:tc>
          <w:tcPr>
            <w:tcW w:w="600" w:type="pct"/>
            <w:vAlign w:val="center"/>
          </w:tcPr>
          <w:p w14:paraId="5B6442C5">
            <w:pPr>
              <w:pStyle w:val="11"/>
              <w:bidi w:val="0"/>
              <w:jc w:val="center"/>
              <w:rPr>
                <w:rFonts w:hint="default"/>
                <w:b/>
                <w:bCs/>
                <w:lang w:val="en-US" w:eastAsia="zh-CN"/>
              </w:rPr>
            </w:pPr>
            <w:r>
              <w:rPr>
                <w:rFonts w:hint="eastAsia"/>
                <w:b/>
                <w:bCs/>
                <w:lang w:val="en-US" w:eastAsia="zh-CN"/>
              </w:rPr>
              <w:t>2017年</w:t>
            </w:r>
          </w:p>
        </w:tc>
        <w:tc>
          <w:tcPr>
            <w:tcW w:w="1056" w:type="pct"/>
            <w:vAlign w:val="center"/>
          </w:tcPr>
          <w:p w14:paraId="5B960378">
            <w:pPr>
              <w:pStyle w:val="11"/>
              <w:bidi w:val="0"/>
              <w:jc w:val="center"/>
              <w:rPr>
                <w:rFonts w:hint="eastAsia"/>
                <w:b/>
                <w:bCs/>
                <w:lang w:eastAsia="zh-CN"/>
              </w:rPr>
            </w:pPr>
            <w:r>
              <w:rPr>
                <w:rFonts w:hint="eastAsia"/>
                <w:b/>
                <w:bCs/>
              </w:rPr>
              <w:t>同比增长（%）</w:t>
            </w:r>
          </w:p>
        </w:tc>
      </w:tr>
      <w:tr w14:paraId="10E083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6B08AECA">
            <w:pPr>
              <w:pStyle w:val="11"/>
              <w:bidi w:val="0"/>
              <w:jc w:val="both"/>
              <w:rPr>
                <w:rFonts w:hint="eastAsia"/>
                <w:lang w:eastAsia="zh-CN"/>
              </w:rPr>
            </w:pPr>
            <w:r>
              <w:rPr>
                <w:rFonts w:hint="eastAsia"/>
              </w:rPr>
              <w:t>能源消费总量</w:t>
            </w:r>
          </w:p>
        </w:tc>
        <w:tc>
          <w:tcPr>
            <w:tcW w:w="1055" w:type="pct"/>
            <w:vAlign w:val="center"/>
          </w:tcPr>
          <w:p w14:paraId="046FFA29">
            <w:pPr>
              <w:pStyle w:val="11"/>
              <w:bidi w:val="0"/>
              <w:jc w:val="center"/>
              <w:rPr>
                <w:rFonts w:hint="eastAsia"/>
                <w:lang w:eastAsia="zh-CN"/>
              </w:rPr>
            </w:pPr>
            <w:r>
              <w:rPr>
                <w:rFonts w:hint="eastAsia"/>
              </w:rPr>
              <w:t>万吨标准煤</w:t>
            </w:r>
          </w:p>
        </w:tc>
        <w:tc>
          <w:tcPr>
            <w:tcW w:w="600" w:type="pct"/>
            <w:vAlign w:val="center"/>
          </w:tcPr>
          <w:p w14:paraId="09D18924">
            <w:pPr>
              <w:pStyle w:val="11"/>
              <w:bidi w:val="0"/>
              <w:jc w:val="center"/>
              <w:rPr>
                <w:rFonts w:hint="eastAsia"/>
                <w:lang w:eastAsia="zh-CN"/>
              </w:rPr>
            </w:pPr>
            <w:r>
              <w:rPr>
                <w:rFonts w:hint="eastAsia"/>
              </w:rPr>
              <w:t>85.41</w:t>
            </w:r>
          </w:p>
        </w:tc>
        <w:tc>
          <w:tcPr>
            <w:tcW w:w="600" w:type="pct"/>
            <w:vAlign w:val="center"/>
          </w:tcPr>
          <w:p w14:paraId="55E85BA8">
            <w:pPr>
              <w:pStyle w:val="11"/>
              <w:bidi w:val="0"/>
              <w:jc w:val="center"/>
              <w:rPr>
                <w:rFonts w:hint="eastAsia"/>
                <w:lang w:eastAsia="zh-CN"/>
              </w:rPr>
            </w:pPr>
            <w:r>
              <w:rPr>
                <w:rFonts w:hint="eastAsia"/>
              </w:rPr>
              <w:t>56.53</w:t>
            </w:r>
          </w:p>
        </w:tc>
        <w:tc>
          <w:tcPr>
            <w:tcW w:w="1056" w:type="pct"/>
            <w:vAlign w:val="center"/>
          </w:tcPr>
          <w:p w14:paraId="3E19A103">
            <w:pPr>
              <w:pStyle w:val="11"/>
              <w:bidi w:val="0"/>
              <w:jc w:val="center"/>
              <w:rPr>
                <w:rFonts w:hint="eastAsia"/>
                <w:lang w:eastAsia="zh-CN"/>
              </w:rPr>
            </w:pPr>
            <w:r>
              <w:rPr>
                <w:rFonts w:hint="eastAsia"/>
              </w:rPr>
              <w:t>51.09</w:t>
            </w:r>
          </w:p>
        </w:tc>
      </w:tr>
      <w:tr w14:paraId="3854C6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1EF5CE03">
            <w:pPr>
              <w:pStyle w:val="11"/>
              <w:bidi w:val="0"/>
              <w:jc w:val="both"/>
              <w:rPr>
                <w:rFonts w:hint="eastAsia"/>
                <w:lang w:eastAsia="zh-CN"/>
              </w:rPr>
            </w:pPr>
            <w:r>
              <w:rPr>
                <w:rFonts w:hint="eastAsia"/>
              </w:rPr>
              <w:t>第一产业能源消费</w:t>
            </w:r>
          </w:p>
        </w:tc>
        <w:tc>
          <w:tcPr>
            <w:tcW w:w="1055" w:type="pct"/>
            <w:vAlign w:val="center"/>
          </w:tcPr>
          <w:p w14:paraId="375D79B7">
            <w:pPr>
              <w:pStyle w:val="11"/>
              <w:bidi w:val="0"/>
              <w:jc w:val="center"/>
              <w:rPr>
                <w:rFonts w:hint="eastAsia"/>
                <w:lang w:eastAsia="zh-CN"/>
              </w:rPr>
            </w:pPr>
            <w:r>
              <w:rPr>
                <w:rFonts w:hint="eastAsia"/>
              </w:rPr>
              <w:t>万吨标准煤</w:t>
            </w:r>
          </w:p>
        </w:tc>
        <w:tc>
          <w:tcPr>
            <w:tcW w:w="600" w:type="pct"/>
            <w:vAlign w:val="center"/>
          </w:tcPr>
          <w:p w14:paraId="50443EE2">
            <w:pPr>
              <w:pStyle w:val="11"/>
              <w:bidi w:val="0"/>
              <w:jc w:val="center"/>
              <w:rPr>
                <w:rFonts w:hint="eastAsia"/>
                <w:lang w:eastAsia="zh-CN"/>
              </w:rPr>
            </w:pPr>
            <w:r>
              <w:rPr>
                <w:rFonts w:hint="eastAsia"/>
              </w:rPr>
              <w:t>9.99</w:t>
            </w:r>
          </w:p>
        </w:tc>
        <w:tc>
          <w:tcPr>
            <w:tcW w:w="600" w:type="pct"/>
            <w:vAlign w:val="center"/>
          </w:tcPr>
          <w:p w14:paraId="603C95E1">
            <w:pPr>
              <w:pStyle w:val="11"/>
              <w:bidi w:val="0"/>
              <w:jc w:val="center"/>
              <w:rPr>
                <w:rFonts w:hint="eastAsia"/>
                <w:lang w:eastAsia="zh-CN"/>
              </w:rPr>
            </w:pPr>
            <w:r>
              <w:rPr>
                <w:rFonts w:hint="eastAsia"/>
              </w:rPr>
              <w:t>7.97</w:t>
            </w:r>
          </w:p>
        </w:tc>
        <w:tc>
          <w:tcPr>
            <w:tcW w:w="1056" w:type="pct"/>
            <w:vAlign w:val="center"/>
          </w:tcPr>
          <w:p w14:paraId="6D072200">
            <w:pPr>
              <w:pStyle w:val="11"/>
              <w:bidi w:val="0"/>
              <w:jc w:val="center"/>
              <w:rPr>
                <w:rFonts w:hint="eastAsia"/>
                <w:lang w:eastAsia="zh-CN"/>
              </w:rPr>
            </w:pPr>
            <w:r>
              <w:rPr>
                <w:rFonts w:hint="eastAsia"/>
              </w:rPr>
              <w:t>25.35</w:t>
            </w:r>
          </w:p>
        </w:tc>
      </w:tr>
      <w:tr w14:paraId="4B28A8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425493B7">
            <w:pPr>
              <w:pStyle w:val="11"/>
              <w:bidi w:val="0"/>
              <w:jc w:val="both"/>
              <w:rPr>
                <w:rFonts w:hint="eastAsia"/>
                <w:lang w:eastAsia="zh-CN"/>
              </w:rPr>
            </w:pPr>
            <w:r>
              <w:rPr>
                <w:rFonts w:hint="eastAsia"/>
              </w:rPr>
              <w:t>第二产业能源消费</w:t>
            </w:r>
          </w:p>
        </w:tc>
        <w:tc>
          <w:tcPr>
            <w:tcW w:w="1055" w:type="pct"/>
            <w:vAlign w:val="center"/>
          </w:tcPr>
          <w:p w14:paraId="75256B97">
            <w:pPr>
              <w:pStyle w:val="11"/>
              <w:bidi w:val="0"/>
              <w:jc w:val="center"/>
              <w:rPr>
                <w:rFonts w:hint="eastAsia"/>
                <w:lang w:eastAsia="zh-CN"/>
              </w:rPr>
            </w:pPr>
            <w:r>
              <w:rPr>
                <w:rFonts w:hint="eastAsia"/>
              </w:rPr>
              <w:t>万吨标准煤</w:t>
            </w:r>
          </w:p>
        </w:tc>
        <w:tc>
          <w:tcPr>
            <w:tcW w:w="600" w:type="pct"/>
            <w:vAlign w:val="center"/>
          </w:tcPr>
          <w:p w14:paraId="2A930EBF">
            <w:pPr>
              <w:pStyle w:val="11"/>
              <w:bidi w:val="0"/>
              <w:jc w:val="center"/>
              <w:rPr>
                <w:rFonts w:hint="eastAsia"/>
                <w:lang w:eastAsia="zh-CN"/>
              </w:rPr>
            </w:pPr>
            <w:r>
              <w:rPr>
                <w:rFonts w:hint="eastAsia"/>
              </w:rPr>
              <w:t>54.53</w:t>
            </w:r>
          </w:p>
        </w:tc>
        <w:tc>
          <w:tcPr>
            <w:tcW w:w="600" w:type="pct"/>
            <w:vAlign w:val="center"/>
          </w:tcPr>
          <w:p w14:paraId="1ED6766A">
            <w:pPr>
              <w:pStyle w:val="11"/>
              <w:bidi w:val="0"/>
              <w:jc w:val="center"/>
              <w:rPr>
                <w:rFonts w:hint="eastAsia"/>
                <w:lang w:eastAsia="zh-CN"/>
              </w:rPr>
            </w:pPr>
            <w:r>
              <w:rPr>
                <w:rFonts w:hint="eastAsia"/>
              </w:rPr>
              <w:t>29.01</w:t>
            </w:r>
          </w:p>
        </w:tc>
        <w:tc>
          <w:tcPr>
            <w:tcW w:w="1056" w:type="pct"/>
            <w:vAlign w:val="center"/>
          </w:tcPr>
          <w:p w14:paraId="73D79A30">
            <w:pPr>
              <w:pStyle w:val="11"/>
              <w:bidi w:val="0"/>
              <w:jc w:val="center"/>
              <w:rPr>
                <w:rFonts w:hint="eastAsia"/>
                <w:lang w:eastAsia="zh-CN"/>
              </w:rPr>
            </w:pPr>
            <w:r>
              <w:rPr>
                <w:rFonts w:hint="eastAsia"/>
              </w:rPr>
              <w:t>87.97</w:t>
            </w:r>
          </w:p>
        </w:tc>
      </w:tr>
      <w:tr w14:paraId="6A900B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1892CD8B">
            <w:pPr>
              <w:pStyle w:val="11"/>
              <w:bidi w:val="0"/>
              <w:jc w:val="both"/>
              <w:rPr>
                <w:rFonts w:hint="eastAsia"/>
                <w:lang w:eastAsia="zh-CN"/>
              </w:rPr>
            </w:pPr>
            <w:r>
              <w:rPr>
                <w:rFonts w:hint="eastAsia"/>
              </w:rPr>
              <w:t>工业能源消费</w:t>
            </w:r>
          </w:p>
        </w:tc>
        <w:tc>
          <w:tcPr>
            <w:tcW w:w="1055" w:type="pct"/>
            <w:vAlign w:val="center"/>
          </w:tcPr>
          <w:p w14:paraId="286C9FD0">
            <w:pPr>
              <w:pStyle w:val="11"/>
              <w:bidi w:val="0"/>
              <w:jc w:val="center"/>
              <w:rPr>
                <w:rFonts w:hint="eastAsia"/>
                <w:lang w:eastAsia="zh-CN"/>
              </w:rPr>
            </w:pPr>
            <w:r>
              <w:rPr>
                <w:rFonts w:hint="eastAsia"/>
              </w:rPr>
              <w:t>万吨标准煤</w:t>
            </w:r>
          </w:p>
        </w:tc>
        <w:tc>
          <w:tcPr>
            <w:tcW w:w="600" w:type="pct"/>
            <w:vAlign w:val="center"/>
          </w:tcPr>
          <w:p w14:paraId="4FDCA38B">
            <w:pPr>
              <w:pStyle w:val="11"/>
              <w:bidi w:val="0"/>
              <w:jc w:val="center"/>
              <w:rPr>
                <w:rFonts w:hint="eastAsia"/>
                <w:lang w:eastAsia="zh-CN"/>
              </w:rPr>
            </w:pPr>
            <w:r>
              <w:rPr>
                <w:rFonts w:hint="eastAsia"/>
              </w:rPr>
              <w:t>51.28</w:t>
            </w:r>
          </w:p>
        </w:tc>
        <w:tc>
          <w:tcPr>
            <w:tcW w:w="600" w:type="pct"/>
            <w:vAlign w:val="center"/>
          </w:tcPr>
          <w:p w14:paraId="3C24F753">
            <w:pPr>
              <w:pStyle w:val="11"/>
              <w:bidi w:val="0"/>
              <w:jc w:val="center"/>
              <w:rPr>
                <w:rFonts w:hint="eastAsia"/>
                <w:lang w:eastAsia="zh-CN"/>
              </w:rPr>
            </w:pPr>
            <w:r>
              <w:rPr>
                <w:rFonts w:hint="eastAsia"/>
              </w:rPr>
              <w:t>25.58</w:t>
            </w:r>
          </w:p>
        </w:tc>
        <w:tc>
          <w:tcPr>
            <w:tcW w:w="1056" w:type="pct"/>
            <w:vAlign w:val="center"/>
          </w:tcPr>
          <w:p w14:paraId="00D8FAA8">
            <w:pPr>
              <w:pStyle w:val="11"/>
              <w:bidi w:val="0"/>
              <w:jc w:val="center"/>
              <w:rPr>
                <w:rFonts w:hint="eastAsia"/>
                <w:lang w:eastAsia="zh-CN"/>
              </w:rPr>
            </w:pPr>
            <w:r>
              <w:rPr>
                <w:rFonts w:hint="eastAsia"/>
              </w:rPr>
              <w:t>100.47</w:t>
            </w:r>
          </w:p>
        </w:tc>
      </w:tr>
      <w:tr w14:paraId="59D1AA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05AF11C7">
            <w:pPr>
              <w:pStyle w:val="11"/>
              <w:bidi w:val="0"/>
              <w:ind w:leftChars="200"/>
              <w:jc w:val="both"/>
              <w:rPr>
                <w:rFonts w:hint="eastAsia"/>
                <w:lang w:eastAsia="zh-CN"/>
              </w:rPr>
            </w:pPr>
            <w:r>
              <w:rPr>
                <w:rFonts w:hint="eastAsia"/>
              </w:rPr>
              <w:t>规上工业</w:t>
            </w:r>
          </w:p>
        </w:tc>
        <w:tc>
          <w:tcPr>
            <w:tcW w:w="1055" w:type="pct"/>
            <w:vAlign w:val="center"/>
          </w:tcPr>
          <w:p w14:paraId="4737CEFF">
            <w:pPr>
              <w:pStyle w:val="11"/>
              <w:bidi w:val="0"/>
              <w:jc w:val="center"/>
              <w:rPr>
                <w:rFonts w:hint="eastAsia"/>
                <w:lang w:eastAsia="zh-CN"/>
              </w:rPr>
            </w:pPr>
            <w:r>
              <w:rPr>
                <w:rFonts w:hint="eastAsia"/>
              </w:rPr>
              <w:t>万吨标准煤</w:t>
            </w:r>
          </w:p>
        </w:tc>
        <w:tc>
          <w:tcPr>
            <w:tcW w:w="600" w:type="pct"/>
            <w:vAlign w:val="center"/>
          </w:tcPr>
          <w:p w14:paraId="52287EDA">
            <w:pPr>
              <w:pStyle w:val="11"/>
              <w:bidi w:val="0"/>
              <w:jc w:val="center"/>
              <w:rPr>
                <w:rFonts w:hint="eastAsia"/>
                <w:lang w:eastAsia="zh-CN"/>
              </w:rPr>
            </w:pPr>
            <w:r>
              <w:rPr>
                <w:rFonts w:hint="eastAsia"/>
              </w:rPr>
              <w:t>31.84</w:t>
            </w:r>
          </w:p>
        </w:tc>
        <w:tc>
          <w:tcPr>
            <w:tcW w:w="600" w:type="pct"/>
            <w:vAlign w:val="center"/>
          </w:tcPr>
          <w:p w14:paraId="25137774">
            <w:pPr>
              <w:pStyle w:val="11"/>
              <w:bidi w:val="0"/>
              <w:jc w:val="center"/>
              <w:rPr>
                <w:rFonts w:hint="eastAsia"/>
                <w:lang w:eastAsia="zh-CN"/>
              </w:rPr>
            </w:pPr>
            <w:r>
              <w:rPr>
                <w:rFonts w:hint="eastAsia"/>
              </w:rPr>
              <w:t>7.42</w:t>
            </w:r>
          </w:p>
        </w:tc>
        <w:tc>
          <w:tcPr>
            <w:tcW w:w="1056" w:type="pct"/>
            <w:vAlign w:val="center"/>
          </w:tcPr>
          <w:p w14:paraId="2EA476DD">
            <w:pPr>
              <w:pStyle w:val="11"/>
              <w:bidi w:val="0"/>
              <w:jc w:val="center"/>
              <w:rPr>
                <w:rFonts w:hint="eastAsia"/>
                <w:lang w:eastAsia="zh-CN"/>
              </w:rPr>
            </w:pPr>
            <w:r>
              <w:rPr>
                <w:rFonts w:hint="eastAsia"/>
              </w:rPr>
              <w:t>329.11</w:t>
            </w:r>
          </w:p>
        </w:tc>
      </w:tr>
      <w:tr w14:paraId="31501E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24D90BAE">
            <w:pPr>
              <w:pStyle w:val="11"/>
              <w:bidi w:val="0"/>
              <w:ind w:leftChars="200"/>
              <w:jc w:val="both"/>
              <w:rPr>
                <w:rFonts w:hint="eastAsia"/>
                <w:lang w:eastAsia="zh-CN"/>
              </w:rPr>
            </w:pPr>
            <w:r>
              <w:rPr>
                <w:rFonts w:hint="eastAsia"/>
              </w:rPr>
              <w:t>规下工业</w:t>
            </w:r>
          </w:p>
        </w:tc>
        <w:tc>
          <w:tcPr>
            <w:tcW w:w="1055" w:type="pct"/>
            <w:vAlign w:val="center"/>
          </w:tcPr>
          <w:p w14:paraId="71B0A417">
            <w:pPr>
              <w:pStyle w:val="11"/>
              <w:bidi w:val="0"/>
              <w:jc w:val="center"/>
              <w:rPr>
                <w:rFonts w:hint="eastAsia"/>
                <w:lang w:eastAsia="zh-CN"/>
              </w:rPr>
            </w:pPr>
            <w:r>
              <w:rPr>
                <w:rFonts w:hint="eastAsia"/>
              </w:rPr>
              <w:t>万吨标准煤</w:t>
            </w:r>
          </w:p>
        </w:tc>
        <w:tc>
          <w:tcPr>
            <w:tcW w:w="600" w:type="pct"/>
            <w:vAlign w:val="center"/>
          </w:tcPr>
          <w:p w14:paraId="1261FEBB">
            <w:pPr>
              <w:pStyle w:val="11"/>
              <w:bidi w:val="0"/>
              <w:jc w:val="center"/>
              <w:rPr>
                <w:rFonts w:hint="eastAsia"/>
                <w:lang w:eastAsia="zh-CN"/>
              </w:rPr>
            </w:pPr>
            <w:r>
              <w:rPr>
                <w:rFonts w:hint="eastAsia"/>
              </w:rPr>
              <w:t>19.44</w:t>
            </w:r>
          </w:p>
        </w:tc>
        <w:tc>
          <w:tcPr>
            <w:tcW w:w="600" w:type="pct"/>
            <w:vAlign w:val="center"/>
          </w:tcPr>
          <w:p w14:paraId="69367762">
            <w:pPr>
              <w:pStyle w:val="11"/>
              <w:bidi w:val="0"/>
              <w:jc w:val="center"/>
              <w:rPr>
                <w:rFonts w:hint="eastAsia"/>
                <w:lang w:eastAsia="zh-CN"/>
              </w:rPr>
            </w:pPr>
            <w:r>
              <w:rPr>
                <w:rFonts w:hint="eastAsia"/>
              </w:rPr>
              <w:t>18.16</w:t>
            </w:r>
          </w:p>
        </w:tc>
        <w:tc>
          <w:tcPr>
            <w:tcW w:w="1056" w:type="pct"/>
            <w:vAlign w:val="center"/>
          </w:tcPr>
          <w:p w14:paraId="5C95BCA1">
            <w:pPr>
              <w:pStyle w:val="11"/>
              <w:bidi w:val="0"/>
              <w:jc w:val="center"/>
              <w:rPr>
                <w:rFonts w:hint="eastAsia"/>
                <w:lang w:eastAsia="zh-CN"/>
              </w:rPr>
            </w:pPr>
            <w:r>
              <w:rPr>
                <w:rFonts w:hint="eastAsia"/>
              </w:rPr>
              <w:t>7.05</w:t>
            </w:r>
          </w:p>
        </w:tc>
      </w:tr>
      <w:tr w14:paraId="2C1C3B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2B9115CE">
            <w:pPr>
              <w:pStyle w:val="11"/>
              <w:bidi w:val="0"/>
              <w:ind w:leftChars="100"/>
              <w:jc w:val="both"/>
              <w:rPr>
                <w:rFonts w:hint="eastAsia"/>
                <w:lang w:eastAsia="zh-CN"/>
              </w:rPr>
            </w:pPr>
            <w:r>
              <w:rPr>
                <w:rFonts w:hint="eastAsia"/>
              </w:rPr>
              <w:t>建筑业能源消费</w:t>
            </w:r>
          </w:p>
        </w:tc>
        <w:tc>
          <w:tcPr>
            <w:tcW w:w="1055" w:type="pct"/>
            <w:vAlign w:val="center"/>
          </w:tcPr>
          <w:p w14:paraId="62642855">
            <w:pPr>
              <w:pStyle w:val="11"/>
              <w:bidi w:val="0"/>
              <w:jc w:val="center"/>
              <w:rPr>
                <w:rFonts w:hint="eastAsia"/>
                <w:lang w:eastAsia="zh-CN"/>
              </w:rPr>
            </w:pPr>
            <w:r>
              <w:rPr>
                <w:rFonts w:hint="eastAsia"/>
              </w:rPr>
              <w:t>万吨标准煤</w:t>
            </w:r>
          </w:p>
        </w:tc>
        <w:tc>
          <w:tcPr>
            <w:tcW w:w="600" w:type="pct"/>
            <w:vAlign w:val="center"/>
          </w:tcPr>
          <w:p w14:paraId="450EFAD9">
            <w:pPr>
              <w:pStyle w:val="11"/>
              <w:bidi w:val="0"/>
              <w:jc w:val="center"/>
              <w:rPr>
                <w:rFonts w:hint="eastAsia"/>
                <w:lang w:eastAsia="zh-CN"/>
              </w:rPr>
            </w:pPr>
            <w:r>
              <w:rPr>
                <w:rFonts w:hint="eastAsia"/>
              </w:rPr>
              <w:t>3.25</w:t>
            </w:r>
          </w:p>
        </w:tc>
        <w:tc>
          <w:tcPr>
            <w:tcW w:w="600" w:type="pct"/>
            <w:vAlign w:val="center"/>
          </w:tcPr>
          <w:p w14:paraId="25F98716">
            <w:pPr>
              <w:pStyle w:val="11"/>
              <w:bidi w:val="0"/>
              <w:jc w:val="center"/>
              <w:rPr>
                <w:rFonts w:hint="eastAsia"/>
                <w:lang w:eastAsia="zh-CN"/>
              </w:rPr>
            </w:pPr>
            <w:r>
              <w:rPr>
                <w:rFonts w:hint="eastAsia"/>
              </w:rPr>
              <w:t>3.43</w:t>
            </w:r>
          </w:p>
        </w:tc>
        <w:tc>
          <w:tcPr>
            <w:tcW w:w="1056" w:type="pct"/>
            <w:vAlign w:val="center"/>
          </w:tcPr>
          <w:p w14:paraId="356AF1F2">
            <w:pPr>
              <w:pStyle w:val="11"/>
              <w:bidi w:val="0"/>
              <w:jc w:val="center"/>
              <w:rPr>
                <w:rFonts w:hint="eastAsia"/>
                <w:lang w:eastAsia="zh-CN"/>
              </w:rPr>
            </w:pPr>
            <w:r>
              <w:rPr>
                <w:rFonts w:hint="eastAsia"/>
              </w:rPr>
              <w:t>-5.25</w:t>
            </w:r>
          </w:p>
        </w:tc>
      </w:tr>
      <w:tr w14:paraId="4431A1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0146A872">
            <w:pPr>
              <w:pStyle w:val="11"/>
              <w:bidi w:val="0"/>
              <w:jc w:val="both"/>
              <w:rPr>
                <w:rFonts w:hint="eastAsia"/>
                <w:lang w:eastAsia="zh-CN"/>
              </w:rPr>
            </w:pPr>
            <w:r>
              <w:rPr>
                <w:rFonts w:hint="eastAsia"/>
              </w:rPr>
              <w:t>第三产业能源消费</w:t>
            </w:r>
          </w:p>
        </w:tc>
        <w:tc>
          <w:tcPr>
            <w:tcW w:w="1055" w:type="pct"/>
            <w:vAlign w:val="center"/>
          </w:tcPr>
          <w:p w14:paraId="398CC24B">
            <w:pPr>
              <w:pStyle w:val="11"/>
              <w:bidi w:val="0"/>
              <w:jc w:val="center"/>
              <w:rPr>
                <w:rFonts w:hint="eastAsia"/>
                <w:lang w:eastAsia="zh-CN"/>
              </w:rPr>
            </w:pPr>
            <w:r>
              <w:rPr>
                <w:rFonts w:hint="eastAsia"/>
              </w:rPr>
              <w:t>万吨标准煤</w:t>
            </w:r>
          </w:p>
        </w:tc>
        <w:tc>
          <w:tcPr>
            <w:tcW w:w="600" w:type="pct"/>
            <w:vAlign w:val="center"/>
          </w:tcPr>
          <w:p w14:paraId="5BA1401F">
            <w:pPr>
              <w:pStyle w:val="11"/>
              <w:bidi w:val="0"/>
              <w:jc w:val="center"/>
              <w:rPr>
                <w:rFonts w:hint="eastAsia"/>
                <w:lang w:eastAsia="zh-CN"/>
              </w:rPr>
            </w:pPr>
            <w:r>
              <w:rPr>
                <w:rFonts w:hint="eastAsia"/>
              </w:rPr>
              <w:t>10.52</w:t>
            </w:r>
          </w:p>
        </w:tc>
        <w:tc>
          <w:tcPr>
            <w:tcW w:w="600" w:type="pct"/>
            <w:vAlign w:val="center"/>
          </w:tcPr>
          <w:p w14:paraId="66A6A0BF">
            <w:pPr>
              <w:pStyle w:val="11"/>
              <w:bidi w:val="0"/>
              <w:jc w:val="center"/>
              <w:rPr>
                <w:rFonts w:hint="eastAsia"/>
                <w:lang w:eastAsia="zh-CN"/>
              </w:rPr>
            </w:pPr>
            <w:r>
              <w:rPr>
                <w:rFonts w:hint="eastAsia"/>
              </w:rPr>
              <w:t>10.62</w:t>
            </w:r>
          </w:p>
        </w:tc>
        <w:tc>
          <w:tcPr>
            <w:tcW w:w="1056" w:type="pct"/>
            <w:vAlign w:val="center"/>
          </w:tcPr>
          <w:p w14:paraId="37A177D4">
            <w:pPr>
              <w:pStyle w:val="11"/>
              <w:bidi w:val="0"/>
              <w:jc w:val="center"/>
              <w:rPr>
                <w:rFonts w:hint="eastAsia"/>
                <w:lang w:eastAsia="zh-CN"/>
              </w:rPr>
            </w:pPr>
            <w:r>
              <w:rPr>
                <w:rFonts w:hint="eastAsia"/>
              </w:rPr>
              <w:t>-0.94</w:t>
            </w:r>
          </w:p>
        </w:tc>
      </w:tr>
      <w:tr w14:paraId="090437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4B97C9B0">
            <w:pPr>
              <w:pStyle w:val="11"/>
              <w:bidi w:val="0"/>
              <w:ind w:leftChars="200"/>
              <w:jc w:val="both"/>
              <w:rPr>
                <w:rFonts w:hint="eastAsia"/>
                <w:lang w:eastAsia="zh-CN"/>
              </w:rPr>
            </w:pPr>
            <w:r>
              <w:rPr>
                <w:rFonts w:hint="eastAsia"/>
              </w:rPr>
              <w:t>交通运输业能源消费</w:t>
            </w:r>
          </w:p>
        </w:tc>
        <w:tc>
          <w:tcPr>
            <w:tcW w:w="1055" w:type="pct"/>
            <w:vAlign w:val="center"/>
          </w:tcPr>
          <w:p w14:paraId="7A1DF82C">
            <w:pPr>
              <w:pStyle w:val="11"/>
              <w:bidi w:val="0"/>
              <w:jc w:val="center"/>
              <w:rPr>
                <w:rFonts w:hint="eastAsia"/>
                <w:lang w:eastAsia="zh-CN"/>
              </w:rPr>
            </w:pPr>
            <w:r>
              <w:rPr>
                <w:rFonts w:hint="eastAsia"/>
              </w:rPr>
              <w:t>万吨标准煤</w:t>
            </w:r>
          </w:p>
        </w:tc>
        <w:tc>
          <w:tcPr>
            <w:tcW w:w="600" w:type="pct"/>
            <w:vAlign w:val="center"/>
          </w:tcPr>
          <w:p w14:paraId="496C4CDE">
            <w:pPr>
              <w:pStyle w:val="11"/>
              <w:bidi w:val="0"/>
              <w:jc w:val="center"/>
              <w:rPr>
                <w:rFonts w:hint="eastAsia"/>
                <w:lang w:eastAsia="zh-CN"/>
              </w:rPr>
            </w:pPr>
            <w:r>
              <w:rPr>
                <w:rFonts w:hint="eastAsia"/>
              </w:rPr>
              <w:t>5.44</w:t>
            </w:r>
          </w:p>
        </w:tc>
        <w:tc>
          <w:tcPr>
            <w:tcW w:w="600" w:type="pct"/>
            <w:vAlign w:val="center"/>
          </w:tcPr>
          <w:p w14:paraId="29EF09BE">
            <w:pPr>
              <w:pStyle w:val="11"/>
              <w:bidi w:val="0"/>
              <w:jc w:val="center"/>
              <w:rPr>
                <w:rFonts w:hint="eastAsia"/>
                <w:lang w:eastAsia="zh-CN"/>
              </w:rPr>
            </w:pPr>
            <w:r>
              <w:rPr>
                <w:rFonts w:hint="eastAsia"/>
              </w:rPr>
              <w:t>5.43</w:t>
            </w:r>
          </w:p>
        </w:tc>
        <w:tc>
          <w:tcPr>
            <w:tcW w:w="1056" w:type="pct"/>
            <w:vAlign w:val="center"/>
          </w:tcPr>
          <w:p w14:paraId="45CB25AB">
            <w:pPr>
              <w:pStyle w:val="11"/>
              <w:bidi w:val="0"/>
              <w:jc w:val="center"/>
              <w:rPr>
                <w:rFonts w:hint="eastAsia"/>
                <w:lang w:eastAsia="zh-CN"/>
              </w:rPr>
            </w:pPr>
            <w:r>
              <w:rPr>
                <w:rFonts w:hint="eastAsia"/>
              </w:rPr>
              <w:t>0.18</w:t>
            </w:r>
          </w:p>
        </w:tc>
      </w:tr>
      <w:tr w14:paraId="4BCD0C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611CD98E">
            <w:pPr>
              <w:pStyle w:val="11"/>
              <w:bidi w:val="0"/>
              <w:ind w:leftChars="200"/>
              <w:jc w:val="both"/>
              <w:rPr>
                <w:rFonts w:hint="eastAsia"/>
                <w:lang w:eastAsia="zh-CN"/>
              </w:rPr>
            </w:pPr>
            <w:r>
              <w:rPr>
                <w:rFonts w:hint="eastAsia"/>
              </w:rPr>
              <w:t>第三产（不含交通运输）</w:t>
            </w:r>
          </w:p>
        </w:tc>
        <w:tc>
          <w:tcPr>
            <w:tcW w:w="1055" w:type="pct"/>
            <w:vAlign w:val="center"/>
          </w:tcPr>
          <w:p w14:paraId="59179CCF">
            <w:pPr>
              <w:pStyle w:val="11"/>
              <w:bidi w:val="0"/>
              <w:jc w:val="center"/>
              <w:rPr>
                <w:rFonts w:hint="eastAsia"/>
                <w:lang w:eastAsia="zh-CN"/>
              </w:rPr>
            </w:pPr>
            <w:r>
              <w:rPr>
                <w:rFonts w:hint="eastAsia"/>
              </w:rPr>
              <w:t>万吨标准煤</w:t>
            </w:r>
          </w:p>
        </w:tc>
        <w:tc>
          <w:tcPr>
            <w:tcW w:w="600" w:type="pct"/>
            <w:vAlign w:val="center"/>
          </w:tcPr>
          <w:p w14:paraId="54E61F62">
            <w:pPr>
              <w:pStyle w:val="11"/>
              <w:bidi w:val="0"/>
              <w:jc w:val="center"/>
              <w:rPr>
                <w:rFonts w:hint="eastAsia"/>
                <w:lang w:eastAsia="zh-CN"/>
              </w:rPr>
            </w:pPr>
            <w:r>
              <w:rPr>
                <w:rFonts w:hint="eastAsia"/>
              </w:rPr>
              <w:t>5.08</w:t>
            </w:r>
          </w:p>
        </w:tc>
        <w:tc>
          <w:tcPr>
            <w:tcW w:w="600" w:type="pct"/>
            <w:vAlign w:val="center"/>
          </w:tcPr>
          <w:p w14:paraId="672D8FA3">
            <w:pPr>
              <w:pStyle w:val="11"/>
              <w:bidi w:val="0"/>
              <w:jc w:val="center"/>
              <w:rPr>
                <w:rFonts w:hint="eastAsia"/>
                <w:lang w:eastAsia="zh-CN"/>
              </w:rPr>
            </w:pPr>
            <w:r>
              <w:rPr>
                <w:rFonts w:hint="eastAsia"/>
              </w:rPr>
              <w:t>5.19</w:t>
            </w:r>
          </w:p>
        </w:tc>
        <w:tc>
          <w:tcPr>
            <w:tcW w:w="1056" w:type="pct"/>
            <w:vAlign w:val="center"/>
          </w:tcPr>
          <w:p w14:paraId="7EE7102B">
            <w:pPr>
              <w:pStyle w:val="11"/>
              <w:bidi w:val="0"/>
              <w:jc w:val="center"/>
              <w:rPr>
                <w:rFonts w:hint="eastAsia"/>
                <w:lang w:eastAsia="zh-CN"/>
              </w:rPr>
            </w:pPr>
            <w:r>
              <w:rPr>
                <w:rFonts w:hint="eastAsia"/>
              </w:rPr>
              <w:t>-2.12</w:t>
            </w:r>
          </w:p>
        </w:tc>
      </w:tr>
      <w:tr w14:paraId="5A712F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7FED6D37">
            <w:pPr>
              <w:pStyle w:val="11"/>
              <w:bidi w:val="0"/>
              <w:jc w:val="both"/>
              <w:rPr>
                <w:rFonts w:hint="eastAsia"/>
                <w:lang w:eastAsia="zh-CN"/>
              </w:rPr>
            </w:pPr>
            <w:r>
              <w:rPr>
                <w:rFonts w:hint="eastAsia"/>
              </w:rPr>
              <w:t>居民生活用能</w:t>
            </w:r>
          </w:p>
        </w:tc>
        <w:tc>
          <w:tcPr>
            <w:tcW w:w="1055" w:type="pct"/>
            <w:vAlign w:val="center"/>
          </w:tcPr>
          <w:p w14:paraId="117F21E2">
            <w:pPr>
              <w:pStyle w:val="11"/>
              <w:bidi w:val="0"/>
              <w:jc w:val="center"/>
              <w:rPr>
                <w:rFonts w:hint="eastAsia"/>
                <w:lang w:eastAsia="zh-CN"/>
              </w:rPr>
            </w:pPr>
            <w:r>
              <w:rPr>
                <w:rFonts w:hint="eastAsia"/>
              </w:rPr>
              <w:t>万吨标准煤</w:t>
            </w:r>
          </w:p>
        </w:tc>
        <w:tc>
          <w:tcPr>
            <w:tcW w:w="600" w:type="pct"/>
            <w:vAlign w:val="center"/>
          </w:tcPr>
          <w:p w14:paraId="29B13694">
            <w:pPr>
              <w:pStyle w:val="11"/>
              <w:bidi w:val="0"/>
              <w:jc w:val="center"/>
              <w:rPr>
                <w:rFonts w:hint="eastAsia"/>
                <w:lang w:eastAsia="zh-CN"/>
              </w:rPr>
            </w:pPr>
            <w:r>
              <w:rPr>
                <w:rFonts w:hint="eastAsia"/>
              </w:rPr>
              <w:t>10.37</w:t>
            </w:r>
          </w:p>
        </w:tc>
        <w:tc>
          <w:tcPr>
            <w:tcW w:w="600" w:type="pct"/>
            <w:vAlign w:val="center"/>
          </w:tcPr>
          <w:p w14:paraId="3CB9D7AE">
            <w:pPr>
              <w:pStyle w:val="11"/>
              <w:bidi w:val="0"/>
              <w:jc w:val="center"/>
              <w:rPr>
                <w:rFonts w:hint="eastAsia"/>
                <w:lang w:eastAsia="zh-CN"/>
              </w:rPr>
            </w:pPr>
            <w:r>
              <w:rPr>
                <w:rFonts w:hint="eastAsia"/>
              </w:rPr>
              <w:t>8.93</w:t>
            </w:r>
          </w:p>
        </w:tc>
        <w:tc>
          <w:tcPr>
            <w:tcW w:w="1056" w:type="pct"/>
            <w:vAlign w:val="center"/>
          </w:tcPr>
          <w:p w14:paraId="2FD365B7">
            <w:pPr>
              <w:pStyle w:val="11"/>
              <w:bidi w:val="0"/>
              <w:jc w:val="center"/>
              <w:rPr>
                <w:rFonts w:hint="eastAsia"/>
                <w:lang w:eastAsia="zh-CN"/>
              </w:rPr>
            </w:pPr>
            <w:r>
              <w:rPr>
                <w:rFonts w:hint="eastAsia"/>
              </w:rPr>
              <w:t>16.13</w:t>
            </w:r>
          </w:p>
        </w:tc>
      </w:tr>
      <w:tr w14:paraId="738283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31A336E8">
            <w:pPr>
              <w:pStyle w:val="11"/>
              <w:bidi w:val="0"/>
              <w:ind w:leftChars="200"/>
              <w:jc w:val="both"/>
              <w:rPr>
                <w:rFonts w:hint="eastAsia"/>
                <w:lang w:eastAsia="zh-CN"/>
              </w:rPr>
            </w:pPr>
            <w:r>
              <w:rPr>
                <w:rFonts w:hint="eastAsia"/>
              </w:rPr>
              <w:t>城市居民生活用能</w:t>
            </w:r>
          </w:p>
        </w:tc>
        <w:tc>
          <w:tcPr>
            <w:tcW w:w="1055" w:type="pct"/>
            <w:vAlign w:val="center"/>
          </w:tcPr>
          <w:p w14:paraId="5D6B75B5">
            <w:pPr>
              <w:pStyle w:val="11"/>
              <w:bidi w:val="0"/>
              <w:jc w:val="center"/>
              <w:rPr>
                <w:rFonts w:hint="eastAsia"/>
                <w:lang w:eastAsia="zh-CN"/>
              </w:rPr>
            </w:pPr>
            <w:r>
              <w:rPr>
                <w:rFonts w:hint="eastAsia"/>
              </w:rPr>
              <w:t>万吨标准煤</w:t>
            </w:r>
          </w:p>
        </w:tc>
        <w:tc>
          <w:tcPr>
            <w:tcW w:w="600" w:type="pct"/>
            <w:vAlign w:val="center"/>
          </w:tcPr>
          <w:p w14:paraId="1D5312BB">
            <w:pPr>
              <w:pStyle w:val="11"/>
              <w:bidi w:val="0"/>
              <w:jc w:val="center"/>
              <w:rPr>
                <w:rFonts w:hint="eastAsia"/>
                <w:lang w:eastAsia="zh-CN"/>
              </w:rPr>
            </w:pPr>
            <w:r>
              <w:rPr>
                <w:rFonts w:hint="eastAsia"/>
              </w:rPr>
              <w:t>4.72</w:t>
            </w:r>
          </w:p>
        </w:tc>
        <w:tc>
          <w:tcPr>
            <w:tcW w:w="600" w:type="pct"/>
            <w:vAlign w:val="center"/>
          </w:tcPr>
          <w:p w14:paraId="387BAEB0">
            <w:pPr>
              <w:pStyle w:val="11"/>
              <w:bidi w:val="0"/>
              <w:jc w:val="center"/>
              <w:rPr>
                <w:rFonts w:hint="eastAsia"/>
                <w:lang w:eastAsia="zh-CN"/>
              </w:rPr>
            </w:pPr>
            <w:r>
              <w:rPr>
                <w:rFonts w:hint="eastAsia"/>
              </w:rPr>
              <w:t>4.23</w:t>
            </w:r>
          </w:p>
        </w:tc>
        <w:tc>
          <w:tcPr>
            <w:tcW w:w="1056" w:type="pct"/>
            <w:vAlign w:val="center"/>
          </w:tcPr>
          <w:p w14:paraId="78720A24">
            <w:pPr>
              <w:pStyle w:val="11"/>
              <w:bidi w:val="0"/>
              <w:jc w:val="center"/>
              <w:rPr>
                <w:rFonts w:hint="eastAsia"/>
                <w:lang w:eastAsia="zh-CN"/>
              </w:rPr>
            </w:pPr>
            <w:r>
              <w:rPr>
                <w:rFonts w:hint="eastAsia"/>
              </w:rPr>
              <w:t>11.58</w:t>
            </w:r>
          </w:p>
        </w:tc>
      </w:tr>
      <w:tr w14:paraId="0082DC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2B44F600">
            <w:pPr>
              <w:pStyle w:val="11"/>
              <w:bidi w:val="0"/>
              <w:ind w:leftChars="200"/>
              <w:jc w:val="both"/>
              <w:rPr>
                <w:rFonts w:hint="eastAsia"/>
                <w:lang w:eastAsia="zh-CN"/>
              </w:rPr>
            </w:pPr>
            <w:r>
              <w:rPr>
                <w:rFonts w:hint="eastAsia"/>
              </w:rPr>
              <w:t>农村居民生活用能</w:t>
            </w:r>
          </w:p>
        </w:tc>
        <w:tc>
          <w:tcPr>
            <w:tcW w:w="1055" w:type="pct"/>
            <w:vAlign w:val="center"/>
          </w:tcPr>
          <w:p w14:paraId="03D7958A">
            <w:pPr>
              <w:pStyle w:val="11"/>
              <w:bidi w:val="0"/>
              <w:jc w:val="center"/>
              <w:rPr>
                <w:rFonts w:hint="eastAsia"/>
                <w:lang w:eastAsia="zh-CN"/>
              </w:rPr>
            </w:pPr>
            <w:r>
              <w:rPr>
                <w:rFonts w:hint="eastAsia"/>
              </w:rPr>
              <w:t>万吨标准煤</w:t>
            </w:r>
          </w:p>
        </w:tc>
        <w:tc>
          <w:tcPr>
            <w:tcW w:w="600" w:type="pct"/>
            <w:vAlign w:val="center"/>
          </w:tcPr>
          <w:p w14:paraId="4CFB87C8">
            <w:pPr>
              <w:pStyle w:val="11"/>
              <w:bidi w:val="0"/>
              <w:jc w:val="center"/>
              <w:rPr>
                <w:rFonts w:hint="eastAsia"/>
                <w:lang w:eastAsia="zh-CN"/>
              </w:rPr>
            </w:pPr>
            <w:r>
              <w:rPr>
                <w:rFonts w:hint="eastAsia"/>
              </w:rPr>
              <w:t>5.65</w:t>
            </w:r>
          </w:p>
        </w:tc>
        <w:tc>
          <w:tcPr>
            <w:tcW w:w="600" w:type="pct"/>
            <w:vAlign w:val="center"/>
          </w:tcPr>
          <w:p w14:paraId="42E7A211">
            <w:pPr>
              <w:pStyle w:val="11"/>
              <w:bidi w:val="0"/>
              <w:jc w:val="center"/>
              <w:rPr>
                <w:rFonts w:hint="eastAsia"/>
                <w:lang w:eastAsia="zh-CN"/>
              </w:rPr>
            </w:pPr>
            <w:r>
              <w:rPr>
                <w:rFonts w:hint="eastAsia"/>
              </w:rPr>
              <w:t>4.70</w:t>
            </w:r>
          </w:p>
        </w:tc>
        <w:tc>
          <w:tcPr>
            <w:tcW w:w="1056" w:type="pct"/>
            <w:vAlign w:val="center"/>
          </w:tcPr>
          <w:p w14:paraId="0C188B67">
            <w:pPr>
              <w:pStyle w:val="11"/>
              <w:bidi w:val="0"/>
              <w:jc w:val="center"/>
              <w:rPr>
                <w:rFonts w:hint="eastAsia"/>
                <w:lang w:eastAsia="zh-CN"/>
              </w:rPr>
            </w:pPr>
            <w:r>
              <w:rPr>
                <w:rFonts w:hint="eastAsia"/>
              </w:rPr>
              <w:t>20.21</w:t>
            </w:r>
          </w:p>
        </w:tc>
      </w:tr>
      <w:tr w14:paraId="05F993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03E160C5">
            <w:pPr>
              <w:pStyle w:val="11"/>
              <w:bidi w:val="0"/>
              <w:jc w:val="both"/>
              <w:rPr>
                <w:rFonts w:hint="eastAsia"/>
                <w:lang w:eastAsia="zh-CN"/>
              </w:rPr>
            </w:pPr>
            <w:r>
              <w:rPr>
                <w:rFonts w:hint="eastAsia"/>
              </w:rPr>
              <w:t>GDP（可比价）</w:t>
            </w:r>
          </w:p>
        </w:tc>
        <w:tc>
          <w:tcPr>
            <w:tcW w:w="1055" w:type="pct"/>
            <w:vAlign w:val="center"/>
          </w:tcPr>
          <w:p w14:paraId="189FF8B3">
            <w:pPr>
              <w:pStyle w:val="11"/>
              <w:bidi w:val="0"/>
              <w:jc w:val="center"/>
              <w:rPr>
                <w:rFonts w:hint="eastAsia"/>
                <w:lang w:eastAsia="zh-CN"/>
              </w:rPr>
            </w:pPr>
            <w:r>
              <w:rPr>
                <w:rFonts w:hint="eastAsia"/>
              </w:rPr>
              <w:t>亿元</w:t>
            </w:r>
          </w:p>
        </w:tc>
        <w:tc>
          <w:tcPr>
            <w:tcW w:w="600" w:type="pct"/>
            <w:vAlign w:val="center"/>
          </w:tcPr>
          <w:p w14:paraId="4621C392">
            <w:pPr>
              <w:pStyle w:val="11"/>
              <w:bidi w:val="0"/>
              <w:jc w:val="center"/>
              <w:rPr>
                <w:rFonts w:hint="eastAsia"/>
                <w:lang w:eastAsia="zh-CN"/>
              </w:rPr>
            </w:pPr>
            <w:r>
              <w:rPr>
                <w:rFonts w:hint="eastAsia"/>
              </w:rPr>
              <w:t>112.84</w:t>
            </w:r>
          </w:p>
        </w:tc>
        <w:tc>
          <w:tcPr>
            <w:tcW w:w="600" w:type="pct"/>
            <w:vAlign w:val="center"/>
          </w:tcPr>
          <w:p w14:paraId="58C802B6">
            <w:pPr>
              <w:pStyle w:val="11"/>
              <w:bidi w:val="0"/>
              <w:jc w:val="center"/>
              <w:rPr>
                <w:rFonts w:hint="eastAsia"/>
                <w:lang w:eastAsia="zh-CN"/>
              </w:rPr>
            </w:pPr>
            <w:r>
              <w:rPr>
                <w:rFonts w:hint="eastAsia"/>
              </w:rPr>
              <w:t>104.96</w:t>
            </w:r>
          </w:p>
        </w:tc>
        <w:tc>
          <w:tcPr>
            <w:tcW w:w="1056" w:type="pct"/>
            <w:vAlign w:val="center"/>
          </w:tcPr>
          <w:p w14:paraId="5054991A">
            <w:pPr>
              <w:pStyle w:val="11"/>
              <w:bidi w:val="0"/>
              <w:jc w:val="center"/>
              <w:rPr>
                <w:rFonts w:hint="eastAsia"/>
                <w:lang w:eastAsia="zh-CN"/>
              </w:rPr>
            </w:pPr>
            <w:r>
              <w:rPr>
                <w:rFonts w:hint="eastAsia"/>
              </w:rPr>
              <w:t>7.50</w:t>
            </w:r>
          </w:p>
        </w:tc>
      </w:tr>
      <w:tr w14:paraId="3F15DD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5BA6D531">
            <w:pPr>
              <w:pStyle w:val="11"/>
              <w:bidi w:val="0"/>
              <w:jc w:val="both"/>
              <w:rPr>
                <w:rFonts w:hint="eastAsia"/>
                <w:lang w:eastAsia="zh-CN"/>
              </w:rPr>
            </w:pPr>
            <w:r>
              <w:rPr>
                <w:rFonts w:hint="eastAsia"/>
              </w:rPr>
              <w:t>单位GDP能耗</w:t>
            </w:r>
          </w:p>
        </w:tc>
        <w:tc>
          <w:tcPr>
            <w:tcW w:w="1055" w:type="pct"/>
            <w:vAlign w:val="center"/>
          </w:tcPr>
          <w:p w14:paraId="52CBC1B1">
            <w:pPr>
              <w:pStyle w:val="11"/>
              <w:bidi w:val="0"/>
              <w:jc w:val="center"/>
              <w:rPr>
                <w:rFonts w:hint="eastAsia"/>
                <w:lang w:eastAsia="zh-CN"/>
              </w:rPr>
            </w:pPr>
            <w:r>
              <w:rPr>
                <w:rFonts w:hint="eastAsia"/>
              </w:rPr>
              <w:t>吨标准煤/万元</w:t>
            </w:r>
          </w:p>
        </w:tc>
        <w:tc>
          <w:tcPr>
            <w:tcW w:w="600" w:type="pct"/>
            <w:vAlign w:val="center"/>
          </w:tcPr>
          <w:p w14:paraId="33EC4CE0">
            <w:pPr>
              <w:pStyle w:val="11"/>
              <w:bidi w:val="0"/>
              <w:jc w:val="center"/>
              <w:rPr>
                <w:rFonts w:hint="eastAsia"/>
                <w:lang w:eastAsia="zh-CN"/>
              </w:rPr>
            </w:pPr>
            <w:r>
              <w:rPr>
                <w:rFonts w:hint="eastAsia"/>
              </w:rPr>
              <w:t>0.757</w:t>
            </w:r>
          </w:p>
        </w:tc>
        <w:tc>
          <w:tcPr>
            <w:tcW w:w="600" w:type="pct"/>
            <w:vAlign w:val="center"/>
          </w:tcPr>
          <w:p w14:paraId="02F50B53">
            <w:pPr>
              <w:pStyle w:val="11"/>
              <w:bidi w:val="0"/>
              <w:jc w:val="center"/>
              <w:rPr>
                <w:rFonts w:hint="eastAsia"/>
                <w:lang w:eastAsia="zh-CN"/>
              </w:rPr>
            </w:pPr>
            <w:r>
              <w:rPr>
                <w:rFonts w:hint="eastAsia"/>
              </w:rPr>
              <w:t>0.539</w:t>
            </w:r>
          </w:p>
        </w:tc>
        <w:tc>
          <w:tcPr>
            <w:tcW w:w="1056" w:type="pct"/>
            <w:vAlign w:val="center"/>
          </w:tcPr>
          <w:p w14:paraId="263C04F8">
            <w:pPr>
              <w:pStyle w:val="11"/>
              <w:bidi w:val="0"/>
              <w:jc w:val="center"/>
              <w:rPr>
                <w:rFonts w:hint="eastAsia"/>
                <w:lang w:eastAsia="zh-CN"/>
              </w:rPr>
            </w:pPr>
            <w:r>
              <w:rPr>
                <w:rFonts w:hint="eastAsia"/>
              </w:rPr>
              <w:t>40.55</w:t>
            </w:r>
          </w:p>
        </w:tc>
      </w:tr>
      <w:tr w14:paraId="605C50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522BEB38">
            <w:pPr>
              <w:pStyle w:val="11"/>
              <w:bidi w:val="0"/>
              <w:jc w:val="both"/>
              <w:rPr>
                <w:rFonts w:hint="eastAsia"/>
                <w:lang w:eastAsia="zh-CN"/>
              </w:rPr>
            </w:pPr>
            <w:r>
              <w:rPr>
                <w:rFonts w:hint="eastAsia"/>
              </w:rPr>
              <w:t>单位工业增加值能耗</w:t>
            </w:r>
          </w:p>
        </w:tc>
        <w:tc>
          <w:tcPr>
            <w:tcW w:w="1055" w:type="pct"/>
            <w:vAlign w:val="center"/>
          </w:tcPr>
          <w:p w14:paraId="296D0297">
            <w:pPr>
              <w:pStyle w:val="11"/>
              <w:bidi w:val="0"/>
              <w:jc w:val="center"/>
              <w:rPr>
                <w:rFonts w:hint="eastAsia"/>
                <w:lang w:eastAsia="zh-CN"/>
              </w:rPr>
            </w:pPr>
            <w:r>
              <w:rPr>
                <w:rFonts w:hint="eastAsia"/>
              </w:rPr>
              <w:t>吨标准煤/万元</w:t>
            </w:r>
          </w:p>
        </w:tc>
        <w:tc>
          <w:tcPr>
            <w:tcW w:w="600" w:type="pct"/>
            <w:vAlign w:val="center"/>
          </w:tcPr>
          <w:p w14:paraId="685019F7">
            <w:pPr>
              <w:pStyle w:val="11"/>
              <w:bidi w:val="0"/>
              <w:jc w:val="center"/>
              <w:rPr>
                <w:rFonts w:hint="eastAsia"/>
                <w:lang w:eastAsia="zh-CN"/>
              </w:rPr>
            </w:pPr>
            <w:r>
              <w:rPr>
                <w:rFonts w:hint="eastAsia"/>
              </w:rPr>
              <w:t>1.183</w:t>
            </w:r>
          </w:p>
        </w:tc>
        <w:tc>
          <w:tcPr>
            <w:tcW w:w="600" w:type="pct"/>
            <w:vAlign w:val="center"/>
          </w:tcPr>
          <w:p w14:paraId="0F3F8362">
            <w:pPr>
              <w:pStyle w:val="11"/>
              <w:bidi w:val="0"/>
              <w:jc w:val="center"/>
              <w:rPr>
                <w:rFonts w:hint="eastAsia"/>
                <w:lang w:eastAsia="zh-CN"/>
              </w:rPr>
            </w:pPr>
            <w:r>
              <w:rPr>
                <w:rFonts w:hint="eastAsia"/>
              </w:rPr>
              <w:t>0.290</w:t>
            </w:r>
          </w:p>
        </w:tc>
        <w:tc>
          <w:tcPr>
            <w:tcW w:w="1056" w:type="pct"/>
            <w:vAlign w:val="center"/>
          </w:tcPr>
          <w:p w14:paraId="02868C22">
            <w:pPr>
              <w:pStyle w:val="11"/>
              <w:bidi w:val="0"/>
              <w:jc w:val="center"/>
              <w:rPr>
                <w:rFonts w:hint="eastAsia"/>
                <w:lang w:eastAsia="zh-CN"/>
              </w:rPr>
            </w:pPr>
            <w:r>
              <w:rPr>
                <w:rFonts w:hint="eastAsia"/>
              </w:rPr>
              <w:t>307.76</w:t>
            </w:r>
          </w:p>
        </w:tc>
      </w:tr>
      <w:tr w14:paraId="4A6B8A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87" w:type="pct"/>
            <w:vAlign w:val="center"/>
          </w:tcPr>
          <w:p w14:paraId="6A717B45">
            <w:pPr>
              <w:pStyle w:val="11"/>
              <w:bidi w:val="0"/>
              <w:jc w:val="both"/>
              <w:rPr>
                <w:rFonts w:hint="eastAsia"/>
              </w:rPr>
            </w:pPr>
            <w:r>
              <w:rPr>
                <w:rFonts w:hint="eastAsia"/>
              </w:rPr>
              <w:t>单位GDP电耗</w:t>
            </w:r>
          </w:p>
        </w:tc>
        <w:tc>
          <w:tcPr>
            <w:tcW w:w="1055" w:type="pct"/>
            <w:vAlign w:val="center"/>
          </w:tcPr>
          <w:p w14:paraId="08EC2827">
            <w:pPr>
              <w:pStyle w:val="11"/>
              <w:bidi w:val="0"/>
              <w:jc w:val="center"/>
              <w:rPr>
                <w:rFonts w:hint="eastAsia"/>
              </w:rPr>
            </w:pPr>
            <w:r>
              <w:rPr>
                <w:rFonts w:hint="eastAsia"/>
              </w:rPr>
              <w:t>千瓦时/万元</w:t>
            </w:r>
          </w:p>
        </w:tc>
        <w:tc>
          <w:tcPr>
            <w:tcW w:w="600" w:type="pct"/>
            <w:vAlign w:val="center"/>
          </w:tcPr>
          <w:p w14:paraId="07235371">
            <w:pPr>
              <w:pStyle w:val="11"/>
              <w:bidi w:val="0"/>
              <w:jc w:val="center"/>
              <w:rPr>
                <w:rFonts w:hint="eastAsia"/>
              </w:rPr>
            </w:pPr>
            <w:r>
              <w:rPr>
                <w:rFonts w:hint="eastAsia"/>
              </w:rPr>
              <w:t>626.79</w:t>
            </w:r>
          </w:p>
        </w:tc>
        <w:tc>
          <w:tcPr>
            <w:tcW w:w="600" w:type="pct"/>
            <w:vAlign w:val="center"/>
          </w:tcPr>
          <w:p w14:paraId="01ECC195">
            <w:pPr>
              <w:pStyle w:val="11"/>
              <w:bidi w:val="0"/>
              <w:jc w:val="center"/>
              <w:rPr>
                <w:rFonts w:hint="eastAsia"/>
              </w:rPr>
            </w:pPr>
            <w:r>
              <w:rPr>
                <w:rFonts w:hint="eastAsia"/>
              </w:rPr>
              <w:t>488.93</w:t>
            </w:r>
          </w:p>
        </w:tc>
        <w:tc>
          <w:tcPr>
            <w:tcW w:w="1056" w:type="pct"/>
            <w:vAlign w:val="center"/>
          </w:tcPr>
          <w:p w14:paraId="51DDADE2">
            <w:pPr>
              <w:pStyle w:val="11"/>
              <w:bidi w:val="0"/>
              <w:jc w:val="center"/>
              <w:rPr>
                <w:rFonts w:hint="eastAsia"/>
              </w:rPr>
            </w:pPr>
            <w:r>
              <w:rPr>
                <w:rFonts w:hint="eastAsia"/>
              </w:rPr>
              <w:t>28.20</w:t>
            </w:r>
          </w:p>
        </w:tc>
      </w:tr>
    </w:tbl>
    <w:p w14:paraId="395954A0">
      <w:pPr>
        <w:bidi w:val="0"/>
        <w:ind w:left="0" w:leftChars="0" w:firstLine="0" w:firstLineChars="0"/>
        <w:rPr>
          <w:rFonts w:hint="eastAsia"/>
          <w:b/>
          <w:bCs/>
        </w:rPr>
      </w:pPr>
      <w:r>
        <w:rPr>
          <w:rFonts w:hint="eastAsia"/>
          <w:b/>
          <w:bCs/>
        </w:rPr>
        <w:t>注：本表填列的综合能源消费量为等价值量</w:t>
      </w:r>
    </w:p>
    <w:p w14:paraId="50E95D12">
      <w:pPr>
        <w:pStyle w:val="4"/>
        <w:bidi w:val="0"/>
        <w:rPr>
          <w:rFonts w:hint="eastAsia"/>
        </w:rPr>
      </w:pPr>
      <w:r>
        <w:rPr>
          <w:rFonts w:hint="eastAsia"/>
        </w:rPr>
        <w:t>表43</w:t>
      </w:r>
      <w:r>
        <w:rPr>
          <w:rFonts w:hint="eastAsia"/>
          <w:lang w:val="en-US" w:eastAsia="zh-CN"/>
        </w:rPr>
        <w:t xml:space="preserve">  </w:t>
      </w:r>
      <w:r>
        <w:rPr>
          <w:rFonts w:hint="eastAsia"/>
        </w:rPr>
        <w:t>全市交通运输主要指标</w:t>
      </w:r>
    </w:p>
    <w:tbl>
      <w:tblPr>
        <w:tblStyle w:val="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17"/>
        <w:gridCol w:w="3321"/>
        <w:gridCol w:w="3322"/>
      </w:tblGrid>
      <w:tr w14:paraId="110A5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41BC24F9">
            <w:pPr>
              <w:bidi w:val="0"/>
              <w:ind w:firstLine="0" w:firstLineChars="0"/>
              <w:jc w:val="center"/>
              <w:rPr>
                <w:rFonts w:hint="eastAsia"/>
                <w:b/>
                <w:bCs/>
                <w:vertAlign w:val="baseline"/>
                <w:lang w:eastAsia="zh-CN"/>
              </w:rPr>
            </w:pPr>
            <w:r>
              <w:rPr>
                <w:rFonts w:hint="eastAsia"/>
                <w:b/>
                <w:bCs/>
              </w:rPr>
              <w:t>指标</w:t>
            </w:r>
          </w:p>
        </w:tc>
        <w:tc>
          <w:tcPr>
            <w:tcW w:w="1667" w:type="pct"/>
            <w:vAlign w:val="center"/>
          </w:tcPr>
          <w:p w14:paraId="6DFC06F4">
            <w:pPr>
              <w:bidi w:val="0"/>
              <w:ind w:firstLine="0" w:firstLineChars="0"/>
              <w:jc w:val="center"/>
              <w:rPr>
                <w:rFonts w:hint="eastAsia"/>
                <w:b/>
                <w:bCs/>
                <w:vertAlign w:val="baseline"/>
                <w:lang w:eastAsia="zh-CN"/>
              </w:rPr>
            </w:pPr>
            <w:r>
              <w:rPr>
                <w:rFonts w:hint="eastAsia"/>
                <w:b/>
                <w:bCs/>
              </w:rPr>
              <w:t>计量单位</w:t>
            </w:r>
          </w:p>
        </w:tc>
        <w:tc>
          <w:tcPr>
            <w:tcW w:w="1667" w:type="pct"/>
            <w:tcBorders>
              <w:right w:val="nil"/>
            </w:tcBorders>
            <w:vAlign w:val="center"/>
          </w:tcPr>
          <w:p w14:paraId="4924886A">
            <w:pPr>
              <w:bidi w:val="0"/>
              <w:ind w:firstLine="0" w:firstLineChars="0"/>
              <w:jc w:val="center"/>
              <w:rPr>
                <w:rFonts w:hint="eastAsia"/>
                <w:b/>
                <w:bCs/>
                <w:vertAlign w:val="baseline"/>
                <w:lang w:eastAsia="zh-CN"/>
              </w:rPr>
            </w:pPr>
            <w:r>
              <w:rPr>
                <w:rFonts w:hint="eastAsia"/>
                <w:b/>
                <w:bCs/>
              </w:rPr>
              <w:t>2018年</w:t>
            </w:r>
          </w:p>
        </w:tc>
      </w:tr>
      <w:tr w14:paraId="0A443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7CDEA037">
            <w:pPr>
              <w:bidi w:val="0"/>
              <w:ind w:firstLine="0" w:firstLineChars="0"/>
              <w:jc w:val="both"/>
              <w:rPr>
                <w:rFonts w:hint="eastAsia"/>
                <w:vertAlign w:val="baseline"/>
                <w:lang w:eastAsia="zh-CN"/>
              </w:rPr>
            </w:pPr>
            <w:r>
              <w:rPr>
                <w:rFonts w:hint="eastAsia"/>
              </w:rPr>
              <w:t>公路通车总里程</w:t>
            </w:r>
          </w:p>
        </w:tc>
        <w:tc>
          <w:tcPr>
            <w:tcW w:w="1667" w:type="pct"/>
            <w:vAlign w:val="center"/>
          </w:tcPr>
          <w:p w14:paraId="6970A69B">
            <w:pPr>
              <w:bidi w:val="0"/>
              <w:ind w:firstLine="0" w:firstLineChars="0"/>
              <w:jc w:val="center"/>
              <w:rPr>
                <w:rFonts w:hint="eastAsia"/>
                <w:vertAlign w:val="baseline"/>
                <w:lang w:eastAsia="zh-CN"/>
              </w:rPr>
            </w:pPr>
            <w:r>
              <w:rPr>
                <w:rFonts w:hint="eastAsia"/>
              </w:rPr>
              <w:t>千米</w:t>
            </w:r>
          </w:p>
        </w:tc>
        <w:tc>
          <w:tcPr>
            <w:tcW w:w="1667" w:type="pct"/>
            <w:tcBorders>
              <w:right w:val="nil"/>
            </w:tcBorders>
            <w:vAlign w:val="center"/>
          </w:tcPr>
          <w:p w14:paraId="72C490E2">
            <w:pPr>
              <w:bidi w:val="0"/>
              <w:ind w:firstLine="0" w:firstLineChars="0"/>
              <w:jc w:val="center"/>
              <w:rPr>
                <w:rFonts w:hint="eastAsia"/>
                <w:vertAlign w:val="baseline"/>
                <w:lang w:eastAsia="zh-CN"/>
              </w:rPr>
            </w:pPr>
            <w:r>
              <w:rPr>
                <w:rFonts w:hint="eastAsia"/>
              </w:rPr>
              <w:t>2498.987</w:t>
            </w:r>
          </w:p>
        </w:tc>
      </w:tr>
      <w:tr w14:paraId="1378D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344DEACA">
            <w:pPr>
              <w:bidi w:val="0"/>
              <w:ind w:firstLine="0" w:firstLineChars="0"/>
              <w:jc w:val="both"/>
              <w:rPr>
                <w:rFonts w:hint="eastAsia"/>
                <w:vertAlign w:val="baseline"/>
                <w:lang w:eastAsia="zh-CN"/>
              </w:rPr>
            </w:pPr>
            <w:r>
              <w:rPr>
                <w:rFonts w:hint="eastAsia"/>
              </w:rPr>
              <w:t>公路密度（以国土面积计算）</w:t>
            </w:r>
          </w:p>
        </w:tc>
        <w:tc>
          <w:tcPr>
            <w:tcW w:w="1667" w:type="pct"/>
            <w:vAlign w:val="center"/>
          </w:tcPr>
          <w:p w14:paraId="6AD189B9">
            <w:pPr>
              <w:bidi w:val="0"/>
              <w:ind w:firstLine="0" w:firstLineChars="0"/>
              <w:jc w:val="center"/>
              <w:rPr>
                <w:rFonts w:hint="eastAsia"/>
                <w:vertAlign w:val="baseline"/>
                <w:lang w:eastAsia="zh-CN"/>
              </w:rPr>
            </w:pPr>
            <w:r>
              <w:rPr>
                <w:rFonts w:hint="eastAsia"/>
              </w:rPr>
              <w:t>千米/百平方千米</w:t>
            </w:r>
          </w:p>
        </w:tc>
        <w:tc>
          <w:tcPr>
            <w:tcW w:w="1667" w:type="pct"/>
            <w:tcBorders>
              <w:right w:val="nil"/>
            </w:tcBorders>
            <w:vAlign w:val="center"/>
          </w:tcPr>
          <w:p w14:paraId="0AB78C83">
            <w:pPr>
              <w:bidi w:val="0"/>
              <w:ind w:firstLine="0" w:firstLineChars="0"/>
              <w:jc w:val="center"/>
              <w:rPr>
                <w:rFonts w:hint="eastAsia"/>
                <w:vertAlign w:val="baseline"/>
                <w:lang w:eastAsia="zh-CN"/>
              </w:rPr>
            </w:pPr>
            <w:r>
              <w:rPr>
                <w:rFonts w:hint="eastAsia"/>
              </w:rPr>
              <w:t>107.43</w:t>
            </w:r>
          </w:p>
        </w:tc>
      </w:tr>
      <w:tr w14:paraId="51B4A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5035CFDA">
            <w:pPr>
              <w:bidi w:val="0"/>
              <w:ind w:firstLine="0" w:firstLineChars="0"/>
              <w:jc w:val="both"/>
              <w:rPr>
                <w:rFonts w:hint="eastAsia"/>
                <w:vertAlign w:val="baseline"/>
                <w:lang w:eastAsia="zh-CN"/>
              </w:rPr>
            </w:pPr>
            <w:r>
              <w:rPr>
                <w:rFonts w:hint="eastAsia"/>
              </w:rPr>
              <w:t>公路密度（以人口数量计算）</w:t>
            </w:r>
          </w:p>
        </w:tc>
        <w:tc>
          <w:tcPr>
            <w:tcW w:w="1667" w:type="pct"/>
            <w:vAlign w:val="center"/>
          </w:tcPr>
          <w:p w14:paraId="5FB6B1C2">
            <w:pPr>
              <w:bidi w:val="0"/>
              <w:ind w:firstLine="0" w:firstLineChars="0"/>
              <w:jc w:val="center"/>
              <w:rPr>
                <w:rFonts w:hint="eastAsia"/>
                <w:vertAlign w:val="baseline"/>
                <w:lang w:eastAsia="zh-CN"/>
              </w:rPr>
            </w:pPr>
            <w:r>
              <w:rPr>
                <w:rFonts w:hint="eastAsia"/>
              </w:rPr>
              <w:t>千米/万人</w:t>
            </w:r>
          </w:p>
        </w:tc>
        <w:tc>
          <w:tcPr>
            <w:tcW w:w="1667" w:type="pct"/>
            <w:tcBorders>
              <w:right w:val="nil"/>
            </w:tcBorders>
            <w:vAlign w:val="center"/>
          </w:tcPr>
          <w:p w14:paraId="54CF980B">
            <w:pPr>
              <w:bidi w:val="0"/>
              <w:ind w:firstLine="0" w:firstLineChars="0"/>
              <w:jc w:val="center"/>
              <w:rPr>
                <w:rFonts w:hint="eastAsia"/>
                <w:vertAlign w:val="baseline"/>
                <w:lang w:eastAsia="zh-CN"/>
              </w:rPr>
            </w:pPr>
            <w:r>
              <w:rPr>
                <w:rFonts w:hint="eastAsia"/>
              </w:rPr>
              <w:t>74.04</w:t>
            </w:r>
          </w:p>
        </w:tc>
      </w:tr>
      <w:tr w14:paraId="22909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038570A6">
            <w:pPr>
              <w:bidi w:val="0"/>
              <w:ind w:firstLine="0" w:firstLineChars="0"/>
              <w:jc w:val="both"/>
              <w:rPr>
                <w:rFonts w:hint="eastAsia"/>
                <w:vertAlign w:val="baseline"/>
                <w:lang w:eastAsia="zh-CN"/>
              </w:rPr>
            </w:pPr>
            <w:r>
              <w:rPr>
                <w:rFonts w:hint="eastAsia"/>
              </w:rPr>
              <w:t>通公路乡镇数量数</w:t>
            </w:r>
          </w:p>
        </w:tc>
        <w:tc>
          <w:tcPr>
            <w:tcW w:w="1667" w:type="pct"/>
            <w:vAlign w:val="center"/>
          </w:tcPr>
          <w:p w14:paraId="59BAA139">
            <w:pPr>
              <w:bidi w:val="0"/>
              <w:ind w:firstLine="0" w:firstLineChars="0"/>
              <w:jc w:val="center"/>
              <w:rPr>
                <w:rFonts w:hint="eastAsia"/>
                <w:vertAlign w:val="baseline"/>
                <w:lang w:eastAsia="zh-CN"/>
              </w:rPr>
            </w:pPr>
            <w:r>
              <w:rPr>
                <w:rFonts w:hint="eastAsia"/>
              </w:rPr>
              <w:t>个</w:t>
            </w:r>
          </w:p>
        </w:tc>
        <w:tc>
          <w:tcPr>
            <w:tcW w:w="1667" w:type="pct"/>
            <w:tcBorders>
              <w:right w:val="nil"/>
            </w:tcBorders>
            <w:vAlign w:val="center"/>
          </w:tcPr>
          <w:p w14:paraId="7378AD3A">
            <w:pPr>
              <w:bidi w:val="0"/>
              <w:ind w:firstLine="0" w:firstLineChars="0"/>
              <w:jc w:val="center"/>
              <w:rPr>
                <w:rFonts w:hint="eastAsia"/>
                <w:vertAlign w:val="baseline"/>
                <w:lang w:eastAsia="zh-CN"/>
              </w:rPr>
            </w:pPr>
            <w:r>
              <w:rPr>
                <w:rFonts w:hint="eastAsia"/>
              </w:rPr>
              <w:t>18</w:t>
            </w:r>
          </w:p>
        </w:tc>
      </w:tr>
      <w:tr w14:paraId="69EFB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223D7A57">
            <w:pPr>
              <w:bidi w:val="0"/>
              <w:ind w:firstLine="0" w:firstLineChars="0"/>
              <w:jc w:val="both"/>
              <w:rPr>
                <w:rFonts w:hint="eastAsia"/>
                <w:vertAlign w:val="baseline"/>
                <w:lang w:eastAsia="zh-CN"/>
              </w:rPr>
            </w:pPr>
            <w:r>
              <w:rPr>
                <w:rFonts w:hint="eastAsia"/>
              </w:rPr>
              <w:t>通公路行政村数量</w:t>
            </w:r>
          </w:p>
        </w:tc>
        <w:tc>
          <w:tcPr>
            <w:tcW w:w="1667" w:type="pct"/>
            <w:vAlign w:val="center"/>
          </w:tcPr>
          <w:p w14:paraId="2443099A">
            <w:pPr>
              <w:bidi w:val="0"/>
              <w:ind w:firstLine="0" w:firstLineChars="0"/>
              <w:jc w:val="center"/>
              <w:rPr>
                <w:rFonts w:hint="eastAsia"/>
                <w:vertAlign w:val="baseline"/>
                <w:lang w:eastAsia="zh-CN"/>
              </w:rPr>
            </w:pPr>
            <w:r>
              <w:rPr>
                <w:rFonts w:hint="eastAsia"/>
              </w:rPr>
              <w:t>个</w:t>
            </w:r>
          </w:p>
        </w:tc>
        <w:tc>
          <w:tcPr>
            <w:tcW w:w="1667" w:type="pct"/>
            <w:tcBorders>
              <w:right w:val="nil"/>
            </w:tcBorders>
            <w:vAlign w:val="center"/>
          </w:tcPr>
          <w:p w14:paraId="0EC32B3E">
            <w:pPr>
              <w:bidi w:val="0"/>
              <w:ind w:firstLine="0" w:firstLineChars="0"/>
              <w:jc w:val="center"/>
              <w:rPr>
                <w:rFonts w:hint="eastAsia"/>
                <w:vertAlign w:val="baseline"/>
                <w:lang w:eastAsia="zh-CN"/>
              </w:rPr>
            </w:pPr>
            <w:r>
              <w:rPr>
                <w:rFonts w:hint="eastAsia"/>
              </w:rPr>
              <w:t>208</w:t>
            </w:r>
          </w:p>
        </w:tc>
      </w:tr>
      <w:tr w14:paraId="33964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33584B84">
            <w:pPr>
              <w:bidi w:val="0"/>
              <w:ind w:firstLine="0" w:firstLineChars="0"/>
              <w:jc w:val="both"/>
              <w:rPr>
                <w:rFonts w:hint="eastAsia"/>
                <w:vertAlign w:val="baseline"/>
                <w:lang w:eastAsia="zh-CN"/>
              </w:rPr>
            </w:pPr>
            <w:r>
              <w:rPr>
                <w:rFonts w:hint="eastAsia"/>
              </w:rPr>
              <w:t>2018年新登记注册车辆</w:t>
            </w:r>
          </w:p>
        </w:tc>
        <w:tc>
          <w:tcPr>
            <w:tcW w:w="1667" w:type="pct"/>
            <w:vAlign w:val="center"/>
          </w:tcPr>
          <w:p w14:paraId="4E2816B6">
            <w:pPr>
              <w:bidi w:val="0"/>
              <w:ind w:firstLine="0" w:firstLineChars="0"/>
              <w:jc w:val="center"/>
              <w:rPr>
                <w:rFonts w:hint="eastAsia"/>
                <w:vertAlign w:val="baseline"/>
                <w:lang w:eastAsia="zh-CN"/>
              </w:rPr>
            </w:pPr>
            <w:r>
              <w:rPr>
                <w:rFonts w:hint="eastAsia"/>
              </w:rPr>
              <w:t>辆</w:t>
            </w:r>
          </w:p>
        </w:tc>
        <w:tc>
          <w:tcPr>
            <w:tcW w:w="1667" w:type="pct"/>
            <w:tcBorders>
              <w:right w:val="nil"/>
            </w:tcBorders>
            <w:vAlign w:val="center"/>
          </w:tcPr>
          <w:p w14:paraId="04632E65">
            <w:pPr>
              <w:bidi w:val="0"/>
              <w:ind w:firstLine="0" w:firstLineChars="0"/>
              <w:jc w:val="center"/>
              <w:rPr>
                <w:rFonts w:hint="eastAsia"/>
                <w:vertAlign w:val="baseline"/>
                <w:lang w:eastAsia="zh-CN"/>
              </w:rPr>
            </w:pPr>
            <w:r>
              <w:rPr>
                <w:rFonts w:hint="eastAsia"/>
              </w:rPr>
              <w:t>5866</w:t>
            </w:r>
          </w:p>
        </w:tc>
      </w:tr>
      <w:tr w14:paraId="0D025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7857EFDC">
            <w:pPr>
              <w:bidi w:val="0"/>
              <w:ind w:leftChars="100" w:firstLine="0" w:firstLineChars="0"/>
              <w:jc w:val="both"/>
              <w:rPr>
                <w:rFonts w:hint="eastAsia"/>
                <w:vertAlign w:val="baseline"/>
                <w:lang w:eastAsia="zh-CN"/>
              </w:rPr>
            </w:pPr>
            <w:r>
              <w:rPr>
                <w:rFonts w:hint="eastAsia"/>
              </w:rPr>
              <w:t>#汽车</w:t>
            </w:r>
          </w:p>
        </w:tc>
        <w:tc>
          <w:tcPr>
            <w:tcW w:w="1667" w:type="pct"/>
            <w:vAlign w:val="center"/>
          </w:tcPr>
          <w:p w14:paraId="1846F8B6">
            <w:pPr>
              <w:bidi w:val="0"/>
              <w:ind w:firstLine="0" w:firstLineChars="0"/>
              <w:jc w:val="center"/>
              <w:rPr>
                <w:rFonts w:hint="eastAsia"/>
                <w:vertAlign w:val="baseline"/>
                <w:lang w:eastAsia="zh-CN"/>
              </w:rPr>
            </w:pPr>
            <w:r>
              <w:rPr>
                <w:rFonts w:hint="eastAsia"/>
              </w:rPr>
              <w:t>辆</w:t>
            </w:r>
          </w:p>
        </w:tc>
        <w:tc>
          <w:tcPr>
            <w:tcW w:w="1667" w:type="pct"/>
            <w:tcBorders>
              <w:right w:val="nil"/>
            </w:tcBorders>
            <w:vAlign w:val="center"/>
          </w:tcPr>
          <w:p w14:paraId="24284B93">
            <w:pPr>
              <w:bidi w:val="0"/>
              <w:ind w:firstLine="0" w:firstLineChars="0"/>
              <w:jc w:val="center"/>
              <w:rPr>
                <w:rFonts w:hint="eastAsia"/>
                <w:vertAlign w:val="baseline"/>
                <w:lang w:eastAsia="zh-CN"/>
              </w:rPr>
            </w:pPr>
            <w:r>
              <w:rPr>
                <w:rFonts w:hint="eastAsia"/>
              </w:rPr>
              <w:t>4388</w:t>
            </w:r>
          </w:p>
        </w:tc>
      </w:tr>
      <w:tr w14:paraId="76F28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5B234A56">
            <w:pPr>
              <w:bidi w:val="0"/>
              <w:ind w:leftChars="100" w:firstLine="0" w:firstLineChars="0"/>
              <w:jc w:val="both"/>
              <w:rPr>
                <w:rFonts w:hint="eastAsia"/>
                <w:vertAlign w:val="baseline"/>
                <w:lang w:eastAsia="zh-CN"/>
              </w:rPr>
            </w:pPr>
            <w:r>
              <w:rPr>
                <w:rFonts w:hint="eastAsia"/>
              </w:rPr>
              <w:t>#载货汽车</w:t>
            </w:r>
          </w:p>
        </w:tc>
        <w:tc>
          <w:tcPr>
            <w:tcW w:w="1667" w:type="pct"/>
            <w:vAlign w:val="center"/>
          </w:tcPr>
          <w:p w14:paraId="676EF650">
            <w:pPr>
              <w:bidi w:val="0"/>
              <w:ind w:firstLine="0" w:firstLineChars="0"/>
              <w:jc w:val="center"/>
              <w:rPr>
                <w:rFonts w:hint="eastAsia"/>
                <w:vertAlign w:val="baseline"/>
                <w:lang w:eastAsia="zh-CN"/>
              </w:rPr>
            </w:pPr>
            <w:r>
              <w:rPr>
                <w:rFonts w:hint="eastAsia"/>
              </w:rPr>
              <w:t>辆</w:t>
            </w:r>
          </w:p>
        </w:tc>
        <w:tc>
          <w:tcPr>
            <w:tcW w:w="1667" w:type="pct"/>
            <w:tcBorders>
              <w:right w:val="nil"/>
            </w:tcBorders>
            <w:vAlign w:val="center"/>
          </w:tcPr>
          <w:p w14:paraId="1A8E92A5">
            <w:pPr>
              <w:bidi w:val="0"/>
              <w:ind w:firstLine="0" w:firstLineChars="0"/>
              <w:jc w:val="center"/>
              <w:rPr>
                <w:rFonts w:hint="eastAsia"/>
                <w:vertAlign w:val="baseline"/>
                <w:lang w:eastAsia="zh-CN"/>
              </w:rPr>
            </w:pPr>
            <w:r>
              <w:rPr>
                <w:rFonts w:hint="eastAsia"/>
              </w:rPr>
              <w:t>346</w:t>
            </w:r>
          </w:p>
        </w:tc>
      </w:tr>
      <w:tr w14:paraId="5B42A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5805B8E3">
            <w:pPr>
              <w:bidi w:val="0"/>
              <w:ind w:firstLine="0" w:firstLineChars="0"/>
              <w:jc w:val="both"/>
              <w:rPr>
                <w:rFonts w:hint="eastAsia"/>
                <w:vertAlign w:val="baseline"/>
                <w:lang w:eastAsia="zh-CN"/>
              </w:rPr>
            </w:pPr>
            <w:r>
              <w:rPr>
                <w:rFonts w:hint="eastAsia"/>
              </w:rPr>
              <w:t>摩托车</w:t>
            </w:r>
          </w:p>
        </w:tc>
        <w:tc>
          <w:tcPr>
            <w:tcW w:w="1667" w:type="pct"/>
            <w:vAlign w:val="center"/>
          </w:tcPr>
          <w:p w14:paraId="33CE9E52">
            <w:pPr>
              <w:bidi w:val="0"/>
              <w:ind w:firstLine="0" w:firstLineChars="0"/>
              <w:jc w:val="center"/>
              <w:rPr>
                <w:rFonts w:hint="eastAsia"/>
                <w:vertAlign w:val="baseline"/>
                <w:lang w:eastAsia="zh-CN"/>
              </w:rPr>
            </w:pPr>
            <w:r>
              <w:rPr>
                <w:rFonts w:hint="eastAsia"/>
              </w:rPr>
              <w:t>辆</w:t>
            </w:r>
          </w:p>
        </w:tc>
        <w:tc>
          <w:tcPr>
            <w:tcW w:w="1667" w:type="pct"/>
            <w:tcBorders>
              <w:right w:val="nil"/>
            </w:tcBorders>
            <w:vAlign w:val="center"/>
          </w:tcPr>
          <w:p w14:paraId="66621BBE">
            <w:pPr>
              <w:bidi w:val="0"/>
              <w:ind w:firstLine="0" w:firstLineChars="0"/>
              <w:jc w:val="center"/>
              <w:rPr>
                <w:rFonts w:hint="eastAsia"/>
                <w:vertAlign w:val="baseline"/>
                <w:lang w:eastAsia="zh-CN"/>
              </w:rPr>
            </w:pPr>
            <w:r>
              <w:rPr>
                <w:rFonts w:hint="eastAsia"/>
              </w:rPr>
              <w:t>1528</w:t>
            </w:r>
          </w:p>
        </w:tc>
      </w:tr>
      <w:tr w14:paraId="79DB4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3934953F">
            <w:pPr>
              <w:bidi w:val="0"/>
              <w:ind w:firstLine="0" w:firstLineChars="0"/>
              <w:jc w:val="both"/>
              <w:rPr>
                <w:rFonts w:hint="eastAsia"/>
                <w:vertAlign w:val="baseline"/>
                <w:lang w:eastAsia="zh-CN"/>
              </w:rPr>
            </w:pPr>
            <w:r>
              <w:rPr>
                <w:rFonts w:hint="eastAsia"/>
              </w:rPr>
              <w:t>机动车驾驶员</w:t>
            </w:r>
          </w:p>
        </w:tc>
        <w:tc>
          <w:tcPr>
            <w:tcW w:w="1667" w:type="pct"/>
            <w:vAlign w:val="center"/>
          </w:tcPr>
          <w:p w14:paraId="08A6C3C2">
            <w:pPr>
              <w:bidi w:val="0"/>
              <w:ind w:firstLine="0" w:firstLineChars="0"/>
              <w:jc w:val="center"/>
              <w:rPr>
                <w:rFonts w:hint="eastAsia"/>
                <w:vertAlign w:val="baseline"/>
                <w:lang w:eastAsia="zh-CN"/>
              </w:rPr>
            </w:pPr>
            <w:r>
              <w:rPr>
                <w:rFonts w:hint="eastAsia"/>
              </w:rPr>
              <w:t>人</w:t>
            </w:r>
          </w:p>
        </w:tc>
        <w:tc>
          <w:tcPr>
            <w:tcW w:w="1667" w:type="pct"/>
            <w:tcBorders>
              <w:right w:val="nil"/>
            </w:tcBorders>
            <w:vAlign w:val="center"/>
          </w:tcPr>
          <w:p w14:paraId="5CC77141">
            <w:pPr>
              <w:bidi w:val="0"/>
              <w:ind w:firstLine="0" w:firstLineChars="0"/>
              <w:jc w:val="center"/>
              <w:rPr>
                <w:rFonts w:hint="eastAsia"/>
                <w:vertAlign w:val="baseline"/>
                <w:lang w:eastAsia="zh-CN"/>
              </w:rPr>
            </w:pPr>
            <w:r>
              <w:rPr>
                <w:rFonts w:hint="eastAsia"/>
              </w:rPr>
              <w:t>87197</w:t>
            </w:r>
          </w:p>
        </w:tc>
      </w:tr>
      <w:tr w14:paraId="05F7C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6092BFC9">
            <w:pPr>
              <w:bidi w:val="0"/>
              <w:ind w:leftChars="100" w:firstLine="0" w:firstLineChars="0"/>
              <w:jc w:val="both"/>
              <w:rPr>
                <w:rFonts w:hint="eastAsia"/>
                <w:vertAlign w:val="baseline"/>
                <w:lang w:eastAsia="zh-CN"/>
              </w:rPr>
            </w:pPr>
            <w:r>
              <w:rPr>
                <w:rFonts w:hint="eastAsia"/>
              </w:rPr>
              <w:t>其中：汽车驾驶员</w:t>
            </w:r>
          </w:p>
        </w:tc>
        <w:tc>
          <w:tcPr>
            <w:tcW w:w="1667" w:type="pct"/>
            <w:vAlign w:val="center"/>
          </w:tcPr>
          <w:p w14:paraId="535C3F5C">
            <w:pPr>
              <w:bidi w:val="0"/>
              <w:ind w:firstLine="0" w:firstLineChars="0"/>
              <w:jc w:val="center"/>
              <w:rPr>
                <w:rFonts w:hint="eastAsia"/>
                <w:vertAlign w:val="baseline"/>
                <w:lang w:eastAsia="zh-CN"/>
              </w:rPr>
            </w:pPr>
            <w:r>
              <w:rPr>
                <w:rFonts w:hint="eastAsia"/>
              </w:rPr>
              <w:t>人</w:t>
            </w:r>
          </w:p>
        </w:tc>
        <w:tc>
          <w:tcPr>
            <w:tcW w:w="1667" w:type="pct"/>
            <w:tcBorders>
              <w:right w:val="nil"/>
            </w:tcBorders>
            <w:vAlign w:val="center"/>
          </w:tcPr>
          <w:p w14:paraId="23D88EC4">
            <w:pPr>
              <w:bidi w:val="0"/>
              <w:ind w:firstLine="0" w:firstLineChars="0"/>
              <w:jc w:val="center"/>
              <w:rPr>
                <w:rFonts w:hint="eastAsia"/>
                <w:vertAlign w:val="baseline"/>
                <w:lang w:eastAsia="zh-CN"/>
              </w:rPr>
            </w:pPr>
            <w:r>
              <w:rPr>
                <w:rFonts w:hint="eastAsia"/>
              </w:rPr>
              <w:t>59879</w:t>
            </w:r>
          </w:p>
        </w:tc>
      </w:tr>
    </w:tbl>
    <w:p w14:paraId="0C33DE68">
      <w:pPr>
        <w:bidi w:val="0"/>
        <w:ind w:left="0" w:leftChars="0" w:firstLine="0" w:firstLineChars="0"/>
        <w:rPr>
          <w:rFonts w:hint="eastAsia"/>
          <w:b/>
          <w:bCs/>
        </w:rPr>
      </w:pPr>
      <w:r>
        <w:rPr>
          <w:rFonts w:hint="eastAsia"/>
          <w:b/>
          <w:bCs/>
        </w:rPr>
        <w:t>数据提供：市交通运输局、市公安局</w:t>
      </w:r>
    </w:p>
    <w:p w14:paraId="534D259B">
      <w:pPr>
        <w:pStyle w:val="4"/>
        <w:bidi w:val="0"/>
        <w:rPr>
          <w:rFonts w:hint="eastAsia"/>
        </w:rPr>
      </w:pPr>
      <w:r>
        <w:rPr>
          <w:rFonts w:hint="eastAsia"/>
        </w:rPr>
        <w:t>表44</w:t>
      </w:r>
      <w:r>
        <w:rPr>
          <w:rFonts w:hint="eastAsia"/>
          <w:lang w:val="en-US" w:eastAsia="zh-CN"/>
        </w:rPr>
        <w:t xml:space="preserve">  </w:t>
      </w:r>
      <w:r>
        <w:rPr>
          <w:rFonts w:hint="eastAsia"/>
        </w:rPr>
        <w:t>全市社会从业人员情况</w:t>
      </w:r>
    </w:p>
    <w:tbl>
      <w:tblPr>
        <w:tblStyle w:val="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79"/>
        <w:gridCol w:w="4981"/>
      </w:tblGrid>
      <w:tr w14:paraId="113B9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3DAD0112">
            <w:pPr>
              <w:bidi w:val="0"/>
              <w:ind w:firstLine="0" w:firstLineChars="0"/>
              <w:jc w:val="center"/>
              <w:rPr>
                <w:rFonts w:hint="eastAsia"/>
                <w:b/>
                <w:bCs/>
                <w:vertAlign w:val="baseline"/>
                <w:lang w:eastAsia="zh-CN"/>
              </w:rPr>
            </w:pPr>
            <w:r>
              <w:rPr>
                <w:rFonts w:hint="eastAsia"/>
                <w:b/>
                <w:bCs/>
              </w:rPr>
              <w:t>指标名称</w:t>
            </w:r>
          </w:p>
        </w:tc>
        <w:tc>
          <w:tcPr>
            <w:tcW w:w="2500" w:type="pct"/>
            <w:tcBorders>
              <w:right w:val="nil"/>
            </w:tcBorders>
            <w:vAlign w:val="center"/>
          </w:tcPr>
          <w:p w14:paraId="1A6D8AC2">
            <w:pPr>
              <w:bidi w:val="0"/>
              <w:ind w:firstLine="0" w:firstLineChars="0"/>
              <w:jc w:val="center"/>
              <w:rPr>
                <w:rFonts w:hint="eastAsia"/>
                <w:b/>
                <w:bCs/>
                <w:vertAlign w:val="baseline"/>
                <w:lang w:eastAsia="zh-CN"/>
              </w:rPr>
            </w:pPr>
            <w:r>
              <w:rPr>
                <w:rFonts w:hint="eastAsia"/>
                <w:b/>
                <w:bCs/>
              </w:rPr>
              <w:t>从业人员期末人数（人）</w:t>
            </w:r>
          </w:p>
        </w:tc>
      </w:tr>
      <w:tr w14:paraId="23ECA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46F70367">
            <w:pPr>
              <w:bidi w:val="0"/>
              <w:ind w:firstLine="0" w:firstLineChars="0"/>
              <w:jc w:val="both"/>
              <w:rPr>
                <w:rFonts w:hint="eastAsia"/>
                <w:vertAlign w:val="baseline"/>
                <w:lang w:eastAsia="zh-CN"/>
              </w:rPr>
            </w:pPr>
            <w:r>
              <w:rPr>
                <w:rFonts w:hint="eastAsia"/>
              </w:rPr>
              <w:t>合计</w:t>
            </w:r>
          </w:p>
        </w:tc>
        <w:tc>
          <w:tcPr>
            <w:tcW w:w="2500" w:type="pct"/>
            <w:tcBorders>
              <w:right w:val="nil"/>
            </w:tcBorders>
            <w:vAlign w:val="center"/>
          </w:tcPr>
          <w:p w14:paraId="4C6E0767">
            <w:pPr>
              <w:bidi w:val="0"/>
              <w:ind w:firstLine="0" w:firstLineChars="0"/>
              <w:jc w:val="center"/>
              <w:rPr>
                <w:rFonts w:hint="eastAsia"/>
                <w:vertAlign w:val="baseline"/>
                <w:lang w:eastAsia="zh-CN"/>
              </w:rPr>
            </w:pPr>
          </w:p>
        </w:tc>
      </w:tr>
      <w:tr w14:paraId="7831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1E02F031">
            <w:pPr>
              <w:bidi w:val="0"/>
              <w:ind w:firstLine="0" w:firstLineChars="0"/>
              <w:jc w:val="both"/>
              <w:rPr>
                <w:rFonts w:hint="eastAsia"/>
                <w:vertAlign w:val="baseline"/>
                <w:lang w:eastAsia="zh-CN"/>
              </w:rPr>
            </w:pPr>
            <w:r>
              <w:rPr>
                <w:rFonts w:hint="eastAsia"/>
              </w:rPr>
              <w:t>一、按登记注册类型分组</w:t>
            </w:r>
          </w:p>
        </w:tc>
        <w:tc>
          <w:tcPr>
            <w:tcW w:w="2500" w:type="pct"/>
            <w:tcBorders>
              <w:right w:val="nil"/>
            </w:tcBorders>
            <w:vAlign w:val="center"/>
          </w:tcPr>
          <w:p w14:paraId="79546065">
            <w:pPr>
              <w:bidi w:val="0"/>
              <w:ind w:firstLine="0" w:firstLineChars="0"/>
              <w:jc w:val="center"/>
              <w:rPr>
                <w:rFonts w:hint="eastAsia"/>
                <w:vertAlign w:val="baseline"/>
                <w:lang w:eastAsia="zh-CN"/>
              </w:rPr>
            </w:pPr>
            <w:r>
              <w:rPr>
                <w:rFonts w:hint="eastAsia"/>
              </w:rPr>
              <w:t>182765</w:t>
            </w:r>
          </w:p>
        </w:tc>
      </w:tr>
      <w:tr w14:paraId="3E1B1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173E44AC">
            <w:pPr>
              <w:bidi w:val="0"/>
              <w:ind w:leftChars="100" w:firstLine="0" w:firstLineChars="0"/>
              <w:jc w:val="both"/>
              <w:rPr>
                <w:rFonts w:hint="eastAsia"/>
                <w:vertAlign w:val="baseline"/>
                <w:lang w:eastAsia="zh-CN"/>
              </w:rPr>
            </w:pPr>
            <w:r>
              <w:rPr>
                <w:rFonts w:hint="eastAsia"/>
              </w:rPr>
              <w:t>1．国有单位</w:t>
            </w:r>
          </w:p>
        </w:tc>
        <w:tc>
          <w:tcPr>
            <w:tcW w:w="2500" w:type="pct"/>
            <w:tcBorders>
              <w:right w:val="nil"/>
            </w:tcBorders>
            <w:vAlign w:val="center"/>
          </w:tcPr>
          <w:p w14:paraId="09417128">
            <w:pPr>
              <w:bidi w:val="0"/>
              <w:ind w:firstLine="0" w:firstLineChars="0"/>
              <w:jc w:val="center"/>
              <w:rPr>
                <w:rFonts w:hint="eastAsia"/>
                <w:vertAlign w:val="baseline"/>
                <w:lang w:eastAsia="zh-CN"/>
              </w:rPr>
            </w:pPr>
            <w:r>
              <w:rPr>
                <w:rFonts w:hint="eastAsia"/>
              </w:rPr>
              <w:t>14465</w:t>
            </w:r>
          </w:p>
        </w:tc>
      </w:tr>
      <w:tr w14:paraId="5DFE6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347969AC">
            <w:pPr>
              <w:bidi w:val="0"/>
              <w:ind w:leftChars="100" w:firstLine="0" w:firstLineChars="0"/>
              <w:jc w:val="both"/>
              <w:rPr>
                <w:rFonts w:hint="eastAsia"/>
                <w:vertAlign w:val="baseline"/>
                <w:lang w:eastAsia="zh-CN"/>
              </w:rPr>
            </w:pPr>
            <w:r>
              <w:rPr>
                <w:rFonts w:hint="eastAsia"/>
              </w:rPr>
              <w:t>2．集体单位</w:t>
            </w:r>
          </w:p>
        </w:tc>
        <w:tc>
          <w:tcPr>
            <w:tcW w:w="2500" w:type="pct"/>
            <w:tcBorders>
              <w:right w:val="nil"/>
            </w:tcBorders>
            <w:vAlign w:val="center"/>
          </w:tcPr>
          <w:p w14:paraId="55A48BB7">
            <w:pPr>
              <w:bidi w:val="0"/>
              <w:ind w:firstLine="0" w:firstLineChars="0"/>
              <w:jc w:val="center"/>
              <w:rPr>
                <w:rFonts w:hint="eastAsia"/>
                <w:vertAlign w:val="baseline"/>
                <w:lang w:eastAsia="zh-CN"/>
              </w:rPr>
            </w:pPr>
            <w:r>
              <w:rPr>
                <w:rFonts w:hint="eastAsia"/>
              </w:rPr>
              <w:t>93628</w:t>
            </w:r>
          </w:p>
        </w:tc>
      </w:tr>
      <w:tr w14:paraId="2F28A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62745B68">
            <w:pPr>
              <w:bidi w:val="0"/>
              <w:ind w:leftChars="100" w:firstLine="0" w:firstLineChars="0"/>
              <w:jc w:val="both"/>
              <w:rPr>
                <w:rFonts w:hint="eastAsia"/>
                <w:vertAlign w:val="baseline"/>
                <w:lang w:eastAsia="zh-CN"/>
              </w:rPr>
            </w:pPr>
            <w:r>
              <w:rPr>
                <w:rFonts w:hint="eastAsia"/>
              </w:rPr>
              <w:t>3．股份合作单位</w:t>
            </w:r>
          </w:p>
        </w:tc>
        <w:tc>
          <w:tcPr>
            <w:tcW w:w="2500" w:type="pct"/>
            <w:tcBorders>
              <w:right w:val="nil"/>
            </w:tcBorders>
            <w:vAlign w:val="center"/>
          </w:tcPr>
          <w:p w14:paraId="4F3308E4">
            <w:pPr>
              <w:bidi w:val="0"/>
              <w:ind w:firstLine="0" w:firstLineChars="0"/>
              <w:jc w:val="center"/>
              <w:rPr>
                <w:rFonts w:hint="eastAsia"/>
                <w:vertAlign w:val="baseline"/>
                <w:lang w:eastAsia="zh-CN"/>
              </w:rPr>
            </w:pPr>
            <w:r>
              <w:rPr>
                <w:rFonts w:hint="eastAsia"/>
              </w:rPr>
              <w:t>3983</w:t>
            </w:r>
          </w:p>
        </w:tc>
      </w:tr>
      <w:tr w14:paraId="2B707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55CA5251">
            <w:pPr>
              <w:bidi w:val="0"/>
              <w:ind w:leftChars="100" w:firstLine="0" w:firstLineChars="0"/>
              <w:jc w:val="both"/>
              <w:rPr>
                <w:rFonts w:hint="eastAsia"/>
                <w:vertAlign w:val="baseline"/>
                <w:lang w:eastAsia="zh-CN"/>
              </w:rPr>
            </w:pPr>
            <w:r>
              <w:rPr>
                <w:rFonts w:hint="eastAsia"/>
              </w:rPr>
              <w:t>4．联营单位</w:t>
            </w:r>
          </w:p>
        </w:tc>
        <w:tc>
          <w:tcPr>
            <w:tcW w:w="2500" w:type="pct"/>
            <w:tcBorders>
              <w:right w:val="nil"/>
            </w:tcBorders>
            <w:vAlign w:val="center"/>
          </w:tcPr>
          <w:p w14:paraId="291782E1">
            <w:pPr>
              <w:bidi w:val="0"/>
              <w:ind w:firstLine="0" w:firstLineChars="0"/>
              <w:jc w:val="center"/>
              <w:rPr>
                <w:rFonts w:hint="eastAsia"/>
                <w:vertAlign w:val="baseline"/>
                <w:lang w:eastAsia="zh-CN"/>
              </w:rPr>
            </w:pPr>
            <w:r>
              <w:rPr>
                <w:rFonts w:hint="eastAsia"/>
              </w:rPr>
              <w:t>4354</w:t>
            </w:r>
          </w:p>
        </w:tc>
      </w:tr>
      <w:tr w14:paraId="59554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107D7C39">
            <w:pPr>
              <w:bidi w:val="0"/>
              <w:ind w:leftChars="100" w:firstLine="0" w:firstLineChars="0"/>
              <w:jc w:val="both"/>
              <w:rPr>
                <w:rFonts w:hint="eastAsia"/>
                <w:vertAlign w:val="baseline"/>
                <w:lang w:eastAsia="zh-CN"/>
              </w:rPr>
            </w:pPr>
            <w:r>
              <w:rPr>
                <w:rFonts w:hint="eastAsia"/>
              </w:rPr>
              <w:t>5．有限责任公司</w:t>
            </w:r>
          </w:p>
        </w:tc>
        <w:tc>
          <w:tcPr>
            <w:tcW w:w="2500" w:type="pct"/>
            <w:tcBorders>
              <w:right w:val="nil"/>
            </w:tcBorders>
            <w:vAlign w:val="center"/>
          </w:tcPr>
          <w:p w14:paraId="6ABEBA92">
            <w:pPr>
              <w:bidi w:val="0"/>
              <w:ind w:firstLine="0" w:firstLineChars="0"/>
              <w:jc w:val="center"/>
              <w:rPr>
                <w:rFonts w:hint="eastAsia"/>
                <w:vertAlign w:val="baseline"/>
                <w:lang w:eastAsia="zh-CN"/>
              </w:rPr>
            </w:pPr>
            <w:r>
              <w:rPr>
                <w:rFonts w:hint="eastAsia"/>
              </w:rPr>
              <w:t>9260</w:t>
            </w:r>
          </w:p>
        </w:tc>
      </w:tr>
      <w:tr w14:paraId="5D761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18884DC5">
            <w:pPr>
              <w:bidi w:val="0"/>
              <w:ind w:leftChars="100" w:firstLine="0" w:firstLineChars="0"/>
              <w:jc w:val="both"/>
              <w:rPr>
                <w:rFonts w:hint="eastAsia"/>
                <w:vertAlign w:val="baseline"/>
                <w:lang w:eastAsia="zh-CN"/>
              </w:rPr>
            </w:pPr>
            <w:r>
              <w:rPr>
                <w:rFonts w:hint="eastAsia"/>
              </w:rPr>
              <w:t>6．股份有限公司</w:t>
            </w:r>
          </w:p>
        </w:tc>
        <w:tc>
          <w:tcPr>
            <w:tcW w:w="2500" w:type="pct"/>
            <w:tcBorders>
              <w:right w:val="nil"/>
            </w:tcBorders>
            <w:vAlign w:val="center"/>
          </w:tcPr>
          <w:p w14:paraId="0F7EE67D">
            <w:pPr>
              <w:bidi w:val="0"/>
              <w:ind w:firstLine="0" w:firstLineChars="0"/>
              <w:jc w:val="center"/>
              <w:rPr>
                <w:rFonts w:hint="eastAsia"/>
                <w:vertAlign w:val="baseline"/>
                <w:lang w:eastAsia="zh-CN"/>
              </w:rPr>
            </w:pPr>
            <w:r>
              <w:rPr>
                <w:rFonts w:hint="eastAsia"/>
              </w:rPr>
              <w:t>2081</w:t>
            </w:r>
          </w:p>
        </w:tc>
      </w:tr>
      <w:tr w14:paraId="38DB4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6FAE849B">
            <w:pPr>
              <w:bidi w:val="0"/>
              <w:ind w:leftChars="100" w:firstLine="0" w:firstLineChars="0"/>
              <w:jc w:val="both"/>
              <w:rPr>
                <w:rFonts w:hint="eastAsia"/>
                <w:vertAlign w:val="baseline"/>
                <w:lang w:eastAsia="zh-CN"/>
              </w:rPr>
            </w:pPr>
            <w:r>
              <w:rPr>
                <w:rFonts w:hint="eastAsia"/>
              </w:rPr>
              <w:t>7．外商投资单位</w:t>
            </w:r>
          </w:p>
        </w:tc>
        <w:tc>
          <w:tcPr>
            <w:tcW w:w="2500" w:type="pct"/>
            <w:tcBorders>
              <w:right w:val="nil"/>
            </w:tcBorders>
            <w:vAlign w:val="center"/>
          </w:tcPr>
          <w:p w14:paraId="643E9228">
            <w:pPr>
              <w:bidi w:val="0"/>
              <w:ind w:firstLine="0" w:firstLineChars="0"/>
              <w:jc w:val="center"/>
              <w:rPr>
                <w:rFonts w:hint="eastAsia"/>
                <w:vertAlign w:val="baseline"/>
                <w:lang w:eastAsia="zh-CN"/>
              </w:rPr>
            </w:pPr>
            <w:r>
              <w:rPr>
                <w:rFonts w:hint="eastAsia"/>
              </w:rPr>
              <w:t>42</w:t>
            </w:r>
          </w:p>
        </w:tc>
      </w:tr>
      <w:tr w14:paraId="1A172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45978C8A">
            <w:pPr>
              <w:bidi w:val="0"/>
              <w:ind w:leftChars="100" w:firstLine="0" w:firstLineChars="0"/>
              <w:jc w:val="both"/>
              <w:rPr>
                <w:rFonts w:hint="eastAsia"/>
                <w:vertAlign w:val="baseline"/>
                <w:lang w:eastAsia="zh-CN"/>
              </w:rPr>
            </w:pPr>
            <w:r>
              <w:rPr>
                <w:rFonts w:hint="eastAsia"/>
              </w:rPr>
              <w:t>8．港澳台投资单位</w:t>
            </w:r>
          </w:p>
        </w:tc>
        <w:tc>
          <w:tcPr>
            <w:tcW w:w="2500" w:type="pct"/>
            <w:tcBorders>
              <w:right w:val="nil"/>
            </w:tcBorders>
            <w:vAlign w:val="center"/>
          </w:tcPr>
          <w:p w14:paraId="46C17A10">
            <w:pPr>
              <w:bidi w:val="0"/>
              <w:ind w:firstLine="0" w:firstLineChars="0"/>
              <w:jc w:val="center"/>
              <w:rPr>
                <w:rFonts w:hint="eastAsia"/>
                <w:vertAlign w:val="baseline"/>
                <w:lang w:eastAsia="zh-CN"/>
              </w:rPr>
            </w:pPr>
            <w:r>
              <w:rPr>
                <w:rFonts w:hint="eastAsia"/>
              </w:rPr>
              <w:t>772</w:t>
            </w:r>
          </w:p>
        </w:tc>
      </w:tr>
      <w:tr w14:paraId="3D523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46AF11F9">
            <w:pPr>
              <w:bidi w:val="0"/>
              <w:ind w:leftChars="100" w:firstLine="0" w:firstLineChars="0"/>
              <w:jc w:val="both"/>
              <w:rPr>
                <w:rFonts w:hint="eastAsia"/>
                <w:vertAlign w:val="baseline"/>
                <w:lang w:eastAsia="zh-CN"/>
              </w:rPr>
            </w:pPr>
            <w:r>
              <w:rPr>
                <w:rFonts w:hint="eastAsia"/>
              </w:rPr>
              <w:t>9．私营企业</w:t>
            </w:r>
          </w:p>
        </w:tc>
        <w:tc>
          <w:tcPr>
            <w:tcW w:w="2500" w:type="pct"/>
            <w:tcBorders>
              <w:right w:val="nil"/>
            </w:tcBorders>
            <w:vAlign w:val="center"/>
          </w:tcPr>
          <w:p w14:paraId="01DC3281">
            <w:pPr>
              <w:bidi w:val="0"/>
              <w:ind w:firstLine="0" w:firstLineChars="0"/>
              <w:jc w:val="center"/>
              <w:rPr>
                <w:rFonts w:hint="eastAsia"/>
                <w:vertAlign w:val="baseline"/>
                <w:lang w:eastAsia="zh-CN"/>
              </w:rPr>
            </w:pPr>
            <w:r>
              <w:rPr>
                <w:rFonts w:hint="eastAsia"/>
              </w:rPr>
              <w:t>14895</w:t>
            </w:r>
          </w:p>
        </w:tc>
      </w:tr>
      <w:tr w14:paraId="06D31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6D123540">
            <w:pPr>
              <w:bidi w:val="0"/>
              <w:ind w:leftChars="100" w:firstLine="0" w:firstLineChars="0"/>
              <w:jc w:val="both"/>
              <w:rPr>
                <w:rFonts w:hint="eastAsia"/>
                <w:vertAlign w:val="baseline"/>
                <w:lang w:eastAsia="zh-CN"/>
              </w:rPr>
            </w:pPr>
            <w:r>
              <w:rPr>
                <w:rFonts w:hint="eastAsia"/>
              </w:rPr>
              <w:t>10．个体经济</w:t>
            </w:r>
          </w:p>
        </w:tc>
        <w:tc>
          <w:tcPr>
            <w:tcW w:w="2500" w:type="pct"/>
            <w:tcBorders>
              <w:right w:val="nil"/>
            </w:tcBorders>
            <w:vAlign w:val="center"/>
          </w:tcPr>
          <w:p w14:paraId="63B4A1B5">
            <w:pPr>
              <w:bidi w:val="0"/>
              <w:ind w:firstLine="0" w:firstLineChars="0"/>
              <w:jc w:val="center"/>
              <w:rPr>
                <w:rFonts w:hint="eastAsia"/>
                <w:vertAlign w:val="baseline"/>
                <w:lang w:eastAsia="zh-CN"/>
              </w:rPr>
            </w:pPr>
            <w:r>
              <w:rPr>
                <w:rFonts w:hint="eastAsia"/>
              </w:rPr>
              <w:t>39285</w:t>
            </w:r>
          </w:p>
        </w:tc>
      </w:tr>
      <w:tr w14:paraId="147DC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13B1D975">
            <w:pPr>
              <w:bidi w:val="0"/>
              <w:ind w:leftChars="100" w:firstLine="0" w:firstLineChars="0"/>
              <w:jc w:val="both"/>
              <w:rPr>
                <w:rFonts w:hint="eastAsia"/>
                <w:vertAlign w:val="baseline"/>
                <w:lang w:eastAsia="zh-CN"/>
              </w:rPr>
            </w:pPr>
            <w:r>
              <w:rPr>
                <w:rFonts w:hint="eastAsia"/>
              </w:rPr>
              <w:t>11．其他经济</w:t>
            </w:r>
          </w:p>
        </w:tc>
        <w:tc>
          <w:tcPr>
            <w:tcW w:w="2500" w:type="pct"/>
            <w:tcBorders>
              <w:right w:val="nil"/>
            </w:tcBorders>
            <w:vAlign w:val="center"/>
          </w:tcPr>
          <w:p w14:paraId="24D05898">
            <w:pPr>
              <w:bidi w:val="0"/>
              <w:ind w:firstLine="0" w:firstLineChars="0"/>
              <w:jc w:val="center"/>
              <w:rPr>
                <w:rFonts w:hint="eastAsia"/>
                <w:vertAlign w:val="baseline"/>
                <w:lang w:eastAsia="zh-CN"/>
              </w:rPr>
            </w:pPr>
          </w:p>
        </w:tc>
      </w:tr>
      <w:tr w14:paraId="3D4FC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6CDDD3DE">
            <w:pPr>
              <w:bidi w:val="0"/>
              <w:ind w:firstLine="0" w:firstLineChars="0"/>
              <w:jc w:val="both"/>
              <w:rPr>
                <w:rFonts w:hint="eastAsia"/>
                <w:vertAlign w:val="baseline"/>
                <w:lang w:eastAsia="zh-CN"/>
              </w:rPr>
            </w:pPr>
            <w:r>
              <w:rPr>
                <w:rFonts w:hint="eastAsia"/>
              </w:rPr>
              <w:t>二、按行业分组</w:t>
            </w:r>
          </w:p>
        </w:tc>
        <w:tc>
          <w:tcPr>
            <w:tcW w:w="2500" w:type="pct"/>
            <w:tcBorders>
              <w:right w:val="nil"/>
            </w:tcBorders>
            <w:vAlign w:val="center"/>
          </w:tcPr>
          <w:p w14:paraId="356BE23A">
            <w:pPr>
              <w:bidi w:val="0"/>
              <w:ind w:firstLine="0" w:firstLineChars="0"/>
              <w:jc w:val="center"/>
              <w:rPr>
                <w:rFonts w:hint="eastAsia"/>
                <w:vertAlign w:val="baseline"/>
                <w:lang w:eastAsia="zh-CN"/>
              </w:rPr>
            </w:pPr>
          </w:p>
        </w:tc>
      </w:tr>
      <w:tr w14:paraId="4C98D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066288FC">
            <w:pPr>
              <w:bidi w:val="0"/>
              <w:ind w:leftChars="100" w:firstLine="0" w:firstLineChars="0"/>
              <w:jc w:val="both"/>
              <w:rPr>
                <w:rFonts w:hint="eastAsia"/>
                <w:vertAlign w:val="baseline"/>
                <w:lang w:eastAsia="zh-CN"/>
              </w:rPr>
            </w:pPr>
            <w:r>
              <w:rPr>
                <w:rFonts w:hint="eastAsia"/>
              </w:rPr>
              <w:t>1．农、林、牧、渔业</w:t>
            </w:r>
          </w:p>
        </w:tc>
        <w:tc>
          <w:tcPr>
            <w:tcW w:w="2500" w:type="pct"/>
            <w:tcBorders>
              <w:right w:val="nil"/>
            </w:tcBorders>
            <w:vAlign w:val="center"/>
          </w:tcPr>
          <w:p w14:paraId="42AD9919">
            <w:pPr>
              <w:bidi w:val="0"/>
              <w:ind w:firstLine="0" w:firstLineChars="0"/>
              <w:jc w:val="center"/>
              <w:rPr>
                <w:rFonts w:hint="eastAsia"/>
                <w:vertAlign w:val="baseline"/>
                <w:lang w:eastAsia="zh-CN"/>
              </w:rPr>
            </w:pPr>
            <w:r>
              <w:rPr>
                <w:rFonts w:hint="eastAsia"/>
              </w:rPr>
              <w:t>91628</w:t>
            </w:r>
          </w:p>
        </w:tc>
      </w:tr>
      <w:tr w14:paraId="65DD3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09780F12">
            <w:pPr>
              <w:bidi w:val="0"/>
              <w:ind w:leftChars="100" w:firstLine="0" w:firstLineChars="0"/>
              <w:jc w:val="both"/>
              <w:rPr>
                <w:rFonts w:hint="eastAsia"/>
                <w:vertAlign w:val="baseline"/>
                <w:lang w:eastAsia="zh-CN"/>
              </w:rPr>
            </w:pPr>
            <w:r>
              <w:rPr>
                <w:rFonts w:hint="eastAsia"/>
              </w:rPr>
              <w:t>其中：农、林、牧、渔业服务业</w:t>
            </w:r>
          </w:p>
        </w:tc>
        <w:tc>
          <w:tcPr>
            <w:tcW w:w="2500" w:type="pct"/>
            <w:tcBorders>
              <w:right w:val="nil"/>
            </w:tcBorders>
            <w:vAlign w:val="center"/>
          </w:tcPr>
          <w:p w14:paraId="2E90732B">
            <w:pPr>
              <w:bidi w:val="0"/>
              <w:ind w:firstLine="0" w:firstLineChars="0"/>
              <w:jc w:val="center"/>
              <w:rPr>
                <w:rFonts w:hint="eastAsia"/>
                <w:vertAlign w:val="baseline"/>
                <w:lang w:eastAsia="zh-CN"/>
              </w:rPr>
            </w:pPr>
            <w:r>
              <w:rPr>
                <w:rFonts w:hint="eastAsia"/>
              </w:rPr>
              <w:t>4234</w:t>
            </w:r>
          </w:p>
        </w:tc>
      </w:tr>
      <w:tr w14:paraId="79D0F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65B0DE56">
            <w:pPr>
              <w:bidi w:val="0"/>
              <w:ind w:leftChars="100" w:firstLine="0" w:firstLineChars="0"/>
              <w:jc w:val="both"/>
              <w:rPr>
                <w:rFonts w:hint="eastAsia"/>
                <w:vertAlign w:val="baseline"/>
                <w:lang w:eastAsia="zh-CN"/>
              </w:rPr>
            </w:pPr>
            <w:r>
              <w:rPr>
                <w:rFonts w:hint="eastAsia"/>
              </w:rPr>
              <w:t>2．采掘业</w:t>
            </w:r>
          </w:p>
        </w:tc>
        <w:tc>
          <w:tcPr>
            <w:tcW w:w="2500" w:type="pct"/>
            <w:tcBorders>
              <w:right w:val="nil"/>
            </w:tcBorders>
            <w:vAlign w:val="center"/>
          </w:tcPr>
          <w:p w14:paraId="293D21FB">
            <w:pPr>
              <w:bidi w:val="0"/>
              <w:ind w:firstLine="0" w:firstLineChars="0"/>
              <w:jc w:val="center"/>
              <w:rPr>
                <w:rFonts w:hint="eastAsia"/>
                <w:vertAlign w:val="baseline"/>
                <w:lang w:eastAsia="zh-CN"/>
              </w:rPr>
            </w:pPr>
            <w:r>
              <w:rPr>
                <w:rFonts w:hint="eastAsia"/>
              </w:rPr>
              <w:t>1288</w:t>
            </w:r>
          </w:p>
        </w:tc>
      </w:tr>
      <w:tr w14:paraId="60967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4C37DFC2">
            <w:pPr>
              <w:bidi w:val="0"/>
              <w:ind w:leftChars="100" w:firstLine="0" w:firstLineChars="0"/>
              <w:jc w:val="both"/>
              <w:rPr>
                <w:rFonts w:hint="eastAsia"/>
                <w:vertAlign w:val="baseline"/>
                <w:lang w:eastAsia="zh-CN"/>
              </w:rPr>
            </w:pPr>
            <w:r>
              <w:rPr>
                <w:rFonts w:hint="eastAsia"/>
              </w:rPr>
              <w:t>其中：开采辅助活动</w:t>
            </w:r>
          </w:p>
        </w:tc>
        <w:tc>
          <w:tcPr>
            <w:tcW w:w="2500" w:type="pct"/>
            <w:tcBorders>
              <w:right w:val="nil"/>
            </w:tcBorders>
            <w:vAlign w:val="center"/>
          </w:tcPr>
          <w:p w14:paraId="6FB195FF">
            <w:pPr>
              <w:bidi w:val="0"/>
              <w:ind w:firstLine="0" w:firstLineChars="0"/>
              <w:jc w:val="center"/>
              <w:rPr>
                <w:rFonts w:hint="eastAsia"/>
                <w:vertAlign w:val="baseline"/>
                <w:lang w:eastAsia="zh-CN"/>
              </w:rPr>
            </w:pPr>
            <w:r>
              <w:rPr>
                <w:rFonts w:hint="eastAsia"/>
              </w:rPr>
              <w:t>96</w:t>
            </w:r>
          </w:p>
        </w:tc>
      </w:tr>
      <w:tr w14:paraId="10DE4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2EDB019A">
            <w:pPr>
              <w:bidi w:val="0"/>
              <w:ind w:leftChars="100" w:firstLine="0" w:firstLineChars="0"/>
              <w:jc w:val="both"/>
              <w:rPr>
                <w:rFonts w:hint="eastAsia"/>
                <w:vertAlign w:val="baseline"/>
                <w:lang w:eastAsia="zh-CN"/>
              </w:rPr>
            </w:pPr>
            <w:r>
              <w:rPr>
                <w:rFonts w:hint="eastAsia"/>
              </w:rPr>
              <w:t>3．制造业</w:t>
            </w:r>
          </w:p>
        </w:tc>
        <w:tc>
          <w:tcPr>
            <w:tcW w:w="2500" w:type="pct"/>
            <w:tcBorders>
              <w:right w:val="nil"/>
            </w:tcBorders>
            <w:vAlign w:val="center"/>
          </w:tcPr>
          <w:p w14:paraId="51521B25">
            <w:pPr>
              <w:bidi w:val="0"/>
              <w:ind w:firstLine="0" w:firstLineChars="0"/>
              <w:jc w:val="center"/>
              <w:rPr>
                <w:rFonts w:hint="eastAsia"/>
                <w:vertAlign w:val="baseline"/>
                <w:lang w:eastAsia="zh-CN"/>
              </w:rPr>
            </w:pPr>
            <w:r>
              <w:rPr>
                <w:rFonts w:hint="eastAsia"/>
              </w:rPr>
              <w:t>18894</w:t>
            </w:r>
          </w:p>
        </w:tc>
      </w:tr>
      <w:tr w14:paraId="04C61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7E5F090D">
            <w:pPr>
              <w:bidi w:val="0"/>
              <w:ind w:leftChars="100" w:firstLine="0" w:firstLineChars="0"/>
              <w:jc w:val="both"/>
              <w:rPr>
                <w:rFonts w:hint="eastAsia"/>
                <w:vertAlign w:val="baseline"/>
                <w:lang w:eastAsia="zh-CN"/>
              </w:rPr>
            </w:pPr>
            <w:r>
              <w:rPr>
                <w:rFonts w:hint="eastAsia"/>
              </w:rPr>
              <w:t>4．电力、热气、燃气及水的生产和供应业</w:t>
            </w:r>
          </w:p>
        </w:tc>
        <w:tc>
          <w:tcPr>
            <w:tcW w:w="2500" w:type="pct"/>
            <w:tcBorders>
              <w:right w:val="nil"/>
            </w:tcBorders>
            <w:vAlign w:val="center"/>
          </w:tcPr>
          <w:p w14:paraId="79BB37EA">
            <w:pPr>
              <w:bidi w:val="0"/>
              <w:ind w:firstLine="0" w:firstLineChars="0"/>
              <w:jc w:val="center"/>
              <w:rPr>
                <w:rFonts w:hint="eastAsia"/>
                <w:vertAlign w:val="baseline"/>
                <w:lang w:eastAsia="zh-CN"/>
              </w:rPr>
            </w:pPr>
            <w:r>
              <w:rPr>
                <w:rFonts w:hint="eastAsia"/>
              </w:rPr>
              <w:t>2689</w:t>
            </w:r>
          </w:p>
        </w:tc>
      </w:tr>
      <w:tr w14:paraId="1716F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761C3FA8">
            <w:pPr>
              <w:bidi w:val="0"/>
              <w:ind w:leftChars="100" w:firstLine="0" w:firstLineChars="0"/>
              <w:jc w:val="both"/>
              <w:rPr>
                <w:rFonts w:hint="eastAsia"/>
                <w:vertAlign w:val="baseline"/>
                <w:lang w:eastAsia="zh-CN"/>
              </w:rPr>
            </w:pPr>
            <w:r>
              <w:rPr>
                <w:rFonts w:hint="eastAsia"/>
              </w:rPr>
              <w:t>5．建筑业</w:t>
            </w:r>
          </w:p>
        </w:tc>
        <w:tc>
          <w:tcPr>
            <w:tcW w:w="2500" w:type="pct"/>
            <w:tcBorders>
              <w:right w:val="nil"/>
            </w:tcBorders>
            <w:vAlign w:val="center"/>
          </w:tcPr>
          <w:p w14:paraId="63B5FD38">
            <w:pPr>
              <w:bidi w:val="0"/>
              <w:ind w:firstLine="0" w:firstLineChars="0"/>
              <w:jc w:val="center"/>
              <w:rPr>
                <w:rFonts w:hint="eastAsia"/>
                <w:vertAlign w:val="baseline"/>
                <w:lang w:eastAsia="zh-CN"/>
              </w:rPr>
            </w:pPr>
            <w:r>
              <w:rPr>
                <w:rFonts w:hint="eastAsia"/>
              </w:rPr>
              <w:t>9908</w:t>
            </w:r>
          </w:p>
        </w:tc>
      </w:tr>
      <w:tr w14:paraId="66540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032D0AA4">
            <w:pPr>
              <w:bidi w:val="0"/>
              <w:ind w:leftChars="100" w:firstLine="0" w:firstLineChars="0"/>
              <w:jc w:val="both"/>
              <w:rPr>
                <w:rFonts w:hint="eastAsia"/>
                <w:vertAlign w:val="baseline"/>
                <w:lang w:eastAsia="zh-CN"/>
              </w:rPr>
            </w:pPr>
            <w:r>
              <w:rPr>
                <w:rFonts w:hint="eastAsia"/>
              </w:rPr>
              <w:t>6．批发和零售业</w:t>
            </w:r>
          </w:p>
        </w:tc>
        <w:tc>
          <w:tcPr>
            <w:tcW w:w="2500" w:type="pct"/>
            <w:tcBorders>
              <w:right w:val="nil"/>
            </w:tcBorders>
            <w:vAlign w:val="center"/>
          </w:tcPr>
          <w:p w14:paraId="6F581B97">
            <w:pPr>
              <w:bidi w:val="0"/>
              <w:ind w:firstLine="0" w:firstLineChars="0"/>
              <w:jc w:val="center"/>
              <w:rPr>
                <w:rFonts w:hint="eastAsia"/>
                <w:vertAlign w:val="baseline"/>
                <w:lang w:eastAsia="zh-CN"/>
              </w:rPr>
            </w:pPr>
            <w:r>
              <w:rPr>
                <w:rFonts w:hint="eastAsia"/>
              </w:rPr>
              <w:t>21911</w:t>
            </w:r>
          </w:p>
        </w:tc>
      </w:tr>
      <w:tr w14:paraId="3982E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49952745">
            <w:pPr>
              <w:bidi w:val="0"/>
              <w:ind w:leftChars="100" w:firstLine="0" w:firstLineChars="0"/>
              <w:jc w:val="both"/>
              <w:rPr>
                <w:rFonts w:hint="eastAsia"/>
                <w:vertAlign w:val="baseline"/>
                <w:lang w:eastAsia="zh-CN"/>
              </w:rPr>
            </w:pPr>
            <w:r>
              <w:rPr>
                <w:rFonts w:hint="eastAsia"/>
              </w:rPr>
              <w:t>7．交通运输、仓储和邮政业</w:t>
            </w:r>
          </w:p>
        </w:tc>
        <w:tc>
          <w:tcPr>
            <w:tcW w:w="2500" w:type="pct"/>
            <w:tcBorders>
              <w:right w:val="nil"/>
            </w:tcBorders>
            <w:vAlign w:val="center"/>
          </w:tcPr>
          <w:p w14:paraId="1F70B726">
            <w:pPr>
              <w:bidi w:val="0"/>
              <w:ind w:firstLine="0" w:firstLineChars="0"/>
              <w:jc w:val="center"/>
              <w:rPr>
                <w:rFonts w:hint="eastAsia"/>
                <w:vertAlign w:val="baseline"/>
                <w:lang w:eastAsia="zh-CN"/>
              </w:rPr>
            </w:pPr>
            <w:r>
              <w:rPr>
                <w:rFonts w:hint="eastAsia"/>
              </w:rPr>
              <w:t>5590</w:t>
            </w:r>
          </w:p>
        </w:tc>
      </w:tr>
      <w:tr w14:paraId="1934D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6B4D868E">
            <w:pPr>
              <w:bidi w:val="0"/>
              <w:ind w:leftChars="100" w:firstLine="0" w:firstLineChars="0"/>
              <w:jc w:val="both"/>
              <w:rPr>
                <w:rFonts w:hint="eastAsia"/>
                <w:vertAlign w:val="baseline"/>
                <w:lang w:eastAsia="zh-CN"/>
              </w:rPr>
            </w:pPr>
            <w:r>
              <w:rPr>
                <w:rFonts w:hint="eastAsia"/>
              </w:rPr>
              <w:t>8．住宿和餐饮业</w:t>
            </w:r>
          </w:p>
        </w:tc>
        <w:tc>
          <w:tcPr>
            <w:tcW w:w="2500" w:type="pct"/>
            <w:tcBorders>
              <w:right w:val="nil"/>
            </w:tcBorders>
            <w:vAlign w:val="center"/>
          </w:tcPr>
          <w:p w14:paraId="021118DC">
            <w:pPr>
              <w:bidi w:val="0"/>
              <w:ind w:firstLine="0" w:firstLineChars="0"/>
              <w:jc w:val="center"/>
              <w:rPr>
                <w:rFonts w:hint="eastAsia"/>
                <w:vertAlign w:val="baseline"/>
                <w:lang w:eastAsia="zh-CN"/>
              </w:rPr>
            </w:pPr>
            <w:r>
              <w:rPr>
                <w:rFonts w:hint="eastAsia"/>
              </w:rPr>
              <w:t>4149</w:t>
            </w:r>
          </w:p>
        </w:tc>
      </w:tr>
      <w:tr w14:paraId="1846B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16B58D73">
            <w:pPr>
              <w:bidi w:val="0"/>
              <w:ind w:leftChars="100" w:firstLine="0" w:firstLineChars="0"/>
              <w:jc w:val="both"/>
              <w:rPr>
                <w:rFonts w:hint="eastAsia"/>
                <w:vertAlign w:val="baseline"/>
                <w:lang w:eastAsia="zh-CN"/>
              </w:rPr>
            </w:pPr>
            <w:r>
              <w:rPr>
                <w:rFonts w:hint="eastAsia"/>
              </w:rPr>
              <w:t>9．信息传输、软件和信息技术服务</w:t>
            </w:r>
          </w:p>
        </w:tc>
        <w:tc>
          <w:tcPr>
            <w:tcW w:w="2500" w:type="pct"/>
            <w:tcBorders>
              <w:right w:val="nil"/>
            </w:tcBorders>
            <w:vAlign w:val="center"/>
          </w:tcPr>
          <w:p w14:paraId="0EE6907C">
            <w:pPr>
              <w:bidi w:val="0"/>
              <w:ind w:firstLine="0" w:firstLineChars="0"/>
              <w:jc w:val="center"/>
              <w:rPr>
                <w:rFonts w:hint="eastAsia"/>
                <w:vertAlign w:val="baseline"/>
                <w:lang w:eastAsia="zh-CN"/>
              </w:rPr>
            </w:pPr>
            <w:r>
              <w:rPr>
                <w:rFonts w:hint="eastAsia"/>
              </w:rPr>
              <w:t>1640</w:t>
            </w:r>
          </w:p>
        </w:tc>
      </w:tr>
      <w:tr w14:paraId="7CDAB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04D6536A">
            <w:pPr>
              <w:bidi w:val="0"/>
              <w:ind w:leftChars="100" w:firstLine="0" w:firstLineChars="0"/>
              <w:jc w:val="both"/>
              <w:rPr>
                <w:rFonts w:hint="eastAsia"/>
                <w:vertAlign w:val="baseline"/>
                <w:lang w:eastAsia="zh-CN"/>
              </w:rPr>
            </w:pPr>
            <w:r>
              <w:rPr>
                <w:rFonts w:hint="eastAsia"/>
              </w:rPr>
              <w:t>10．金融业</w:t>
            </w:r>
          </w:p>
        </w:tc>
        <w:tc>
          <w:tcPr>
            <w:tcW w:w="2500" w:type="pct"/>
            <w:tcBorders>
              <w:right w:val="nil"/>
            </w:tcBorders>
            <w:vAlign w:val="center"/>
          </w:tcPr>
          <w:p w14:paraId="0143FB86">
            <w:pPr>
              <w:bidi w:val="0"/>
              <w:ind w:firstLine="0" w:firstLineChars="0"/>
              <w:jc w:val="center"/>
              <w:rPr>
                <w:rFonts w:hint="eastAsia"/>
                <w:vertAlign w:val="baseline"/>
                <w:lang w:eastAsia="zh-CN"/>
              </w:rPr>
            </w:pPr>
            <w:r>
              <w:rPr>
                <w:rFonts w:hint="eastAsia"/>
              </w:rPr>
              <w:t>796</w:t>
            </w:r>
          </w:p>
        </w:tc>
      </w:tr>
      <w:tr w14:paraId="43F5D6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7839FED8">
            <w:pPr>
              <w:bidi w:val="0"/>
              <w:ind w:leftChars="100" w:firstLine="0" w:firstLineChars="0"/>
              <w:jc w:val="both"/>
              <w:rPr>
                <w:rFonts w:hint="eastAsia"/>
                <w:vertAlign w:val="baseline"/>
                <w:lang w:eastAsia="zh-CN"/>
              </w:rPr>
            </w:pPr>
            <w:r>
              <w:rPr>
                <w:rFonts w:hint="eastAsia"/>
              </w:rPr>
              <w:t>11．房地产业</w:t>
            </w:r>
          </w:p>
        </w:tc>
        <w:tc>
          <w:tcPr>
            <w:tcW w:w="2500" w:type="pct"/>
            <w:tcBorders>
              <w:right w:val="nil"/>
            </w:tcBorders>
            <w:vAlign w:val="center"/>
          </w:tcPr>
          <w:p w14:paraId="5ACD076B">
            <w:pPr>
              <w:bidi w:val="0"/>
              <w:ind w:firstLine="0" w:firstLineChars="0"/>
              <w:jc w:val="center"/>
              <w:rPr>
                <w:rFonts w:hint="eastAsia"/>
                <w:vertAlign w:val="baseline"/>
                <w:lang w:eastAsia="zh-CN"/>
              </w:rPr>
            </w:pPr>
            <w:r>
              <w:rPr>
                <w:rFonts w:hint="eastAsia"/>
              </w:rPr>
              <w:t>1141</w:t>
            </w:r>
          </w:p>
        </w:tc>
      </w:tr>
      <w:tr w14:paraId="6E170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05C21D81">
            <w:pPr>
              <w:bidi w:val="0"/>
              <w:ind w:leftChars="100" w:firstLine="0" w:firstLineChars="0"/>
              <w:jc w:val="both"/>
              <w:rPr>
                <w:rFonts w:hint="eastAsia"/>
                <w:vertAlign w:val="baseline"/>
                <w:lang w:eastAsia="zh-CN"/>
              </w:rPr>
            </w:pPr>
            <w:r>
              <w:rPr>
                <w:rFonts w:hint="eastAsia"/>
              </w:rPr>
              <w:t>12．租赁和商务服务业</w:t>
            </w:r>
          </w:p>
        </w:tc>
        <w:tc>
          <w:tcPr>
            <w:tcW w:w="2500" w:type="pct"/>
            <w:tcBorders>
              <w:right w:val="nil"/>
            </w:tcBorders>
            <w:vAlign w:val="center"/>
          </w:tcPr>
          <w:p w14:paraId="51C2EF16">
            <w:pPr>
              <w:bidi w:val="0"/>
              <w:ind w:firstLine="0" w:firstLineChars="0"/>
              <w:jc w:val="center"/>
              <w:rPr>
                <w:rFonts w:hint="eastAsia"/>
                <w:vertAlign w:val="baseline"/>
                <w:lang w:eastAsia="zh-CN"/>
              </w:rPr>
            </w:pPr>
            <w:r>
              <w:rPr>
                <w:rFonts w:hint="eastAsia"/>
              </w:rPr>
              <w:t>3244</w:t>
            </w:r>
          </w:p>
        </w:tc>
      </w:tr>
      <w:tr w14:paraId="3DE04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6BD52BD4">
            <w:pPr>
              <w:bidi w:val="0"/>
              <w:ind w:leftChars="100" w:firstLine="0" w:firstLineChars="0"/>
              <w:jc w:val="both"/>
              <w:rPr>
                <w:rFonts w:hint="eastAsia"/>
                <w:vertAlign w:val="baseline"/>
                <w:lang w:eastAsia="zh-CN"/>
              </w:rPr>
            </w:pPr>
            <w:r>
              <w:rPr>
                <w:rFonts w:hint="eastAsia"/>
              </w:rPr>
              <w:t>13．科学研究和技术服务业</w:t>
            </w:r>
          </w:p>
        </w:tc>
        <w:tc>
          <w:tcPr>
            <w:tcW w:w="2500" w:type="pct"/>
            <w:tcBorders>
              <w:right w:val="nil"/>
            </w:tcBorders>
            <w:vAlign w:val="center"/>
          </w:tcPr>
          <w:p w14:paraId="454F4261">
            <w:pPr>
              <w:bidi w:val="0"/>
              <w:ind w:firstLine="0" w:firstLineChars="0"/>
              <w:jc w:val="center"/>
              <w:rPr>
                <w:rFonts w:hint="eastAsia"/>
                <w:vertAlign w:val="baseline"/>
                <w:lang w:eastAsia="zh-CN"/>
              </w:rPr>
            </w:pPr>
            <w:r>
              <w:rPr>
                <w:rFonts w:hint="eastAsia"/>
              </w:rPr>
              <w:t>909</w:t>
            </w:r>
          </w:p>
        </w:tc>
      </w:tr>
      <w:tr w14:paraId="0B38E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3DB8CAB2">
            <w:pPr>
              <w:bidi w:val="0"/>
              <w:ind w:leftChars="100" w:firstLine="0" w:firstLineChars="0"/>
              <w:jc w:val="both"/>
              <w:rPr>
                <w:rFonts w:hint="eastAsia"/>
                <w:vertAlign w:val="baseline"/>
                <w:lang w:eastAsia="zh-CN"/>
              </w:rPr>
            </w:pPr>
            <w:r>
              <w:rPr>
                <w:rFonts w:hint="eastAsia"/>
              </w:rPr>
              <w:t>14．水利、环境和公共设施管理业</w:t>
            </w:r>
          </w:p>
        </w:tc>
        <w:tc>
          <w:tcPr>
            <w:tcW w:w="2500" w:type="pct"/>
            <w:tcBorders>
              <w:right w:val="nil"/>
            </w:tcBorders>
            <w:vAlign w:val="center"/>
          </w:tcPr>
          <w:p w14:paraId="7665C00C">
            <w:pPr>
              <w:bidi w:val="0"/>
              <w:ind w:firstLine="0" w:firstLineChars="0"/>
              <w:jc w:val="center"/>
              <w:rPr>
                <w:rFonts w:hint="eastAsia"/>
                <w:vertAlign w:val="baseline"/>
                <w:lang w:eastAsia="zh-CN"/>
              </w:rPr>
            </w:pPr>
            <w:r>
              <w:rPr>
                <w:rFonts w:hint="eastAsia"/>
              </w:rPr>
              <w:t>887</w:t>
            </w:r>
          </w:p>
        </w:tc>
      </w:tr>
      <w:tr w14:paraId="41EB8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5C9C62D7">
            <w:pPr>
              <w:bidi w:val="0"/>
              <w:ind w:leftChars="100" w:firstLine="0" w:firstLineChars="0"/>
              <w:jc w:val="both"/>
              <w:rPr>
                <w:rFonts w:hint="eastAsia"/>
                <w:vertAlign w:val="baseline"/>
                <w:lang w:eastAsia="zh-CN"/>
              </w:rPr>
            </w:pPr>
            <w:r>
              <w:rPr>
                <w:rFonts w:hint="eastAsia"/>
              </w:rPr>
              <w:t>15．居民服务、修理和其他服务业</w:t>
            </w:r>
          </w:p>
        </w:tc>
        <w:tc>
          <w:tcPr>
            <w:tcW w:w="2500" w:type="pct"/>
            <w:tcBorders>
              <w:right w:val="nil"/>
            </w:tcBorders>
            <w:vAlign w:val="center"/>
          </w:tcPr>
          <w:p w14:paraId="64D21786">
            <w:pPr>
              <w:bidi w:val="0"/>
              <w:ind w:firstLine="0" w:firstLineChars="0"/>
              <w:jc w:val="center"/>
              <w:rPr>
                <w:rFonts w:hint="eastAsia"/>
                <w:vertAlign w:val="baseline"/>
                <w:lang w:eastAsia="zh-CN"/>
              </w:rPr>
            </w:pPr>
            <w:r>
              <w:rPr>
                <w:rFonts w:hint="eastAsia"/>
              </w:rPr>
              <w:t>2026</w:t>
            </w:r>
          </w:p>
        </w:tc>
      </w:tr>
      <w:tr w14:paraId="2E46E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5D8681A8">
            <w:pPr>
              <w:bidi w:val="0"/>
              <w:ind w:leftChars="100" w:firstLine="0" w:firstLineChars="0"/>
              <w:jc w:val="both"/>
              <w:rPr>
                <w:rFonts w:hint="eastAsia"/>
                <w:vertAlign w:val="baseline"/>
                <w:lang w:eastAsia="zh-CN"/>
              </w:rPr>
            </w:pPr>
            <w:r>
              <w:rPr>
                <w:rFonts w:hint="eastAsia"/>
              </w:rPr>
              <w:t>16．教育</w:t>
            </w:r>
          </w:p>
        </w:tc>
        <w:tc>
          <w:tcPr>
            <w:tcW w:w="2500" w:type="pct"/>
            <w:tcBorders>
              <w:right w:val="nil"/>
            </w:tcBorders>
            <w:vAlign w:val="center"/>
          </w:tcPr>
          <w:p w14:paraId="0A9CCE8D">
            <w:pPr>
              <w:bidi w:val="0"/>
              <w:ind w:firstLine="0" w:firstLineChars="0"/>
              <w:jc w:val="center"/>
              <w:rPr>
                <w:rFonts w:hint="eastAsia"/>
                <w:vertAlign w:val="baseline"/>
                <w:lang w:eastAsia="zh-CN"/>
              </w:rPr>
            </w:pPr>
            <w:r>
              <w:rPr>
                <w:rFonts w:hint="eastAsia"/>
              </w:rPr>
              <w:t>5913</w:t>
            </w:r>
          </w:p>
        </w:tc>
      </w:tr>
      <w:tr w14:paraId="5D51A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36F3BBB2">
            <w:pPr>
              <w:bidi w:val="0"/>
              <w:ind w:leftChars="100" w:firstLine="0" w:firstLineChars="0"/>
              <w:jc w:val="both"/>
              <w:rPr>
                <w:rFonts w:hint="eastAsia"/>
                <w:vertAlign w:val="baseline"/>
                <w:lang w:eastAsia="zh-CN"/>
              </w:rPr>
            </w:pPr>
            <w:r>
              <w:rPr>
                <w:rFonts w:hint="eastAsia"/>
              </w:rPr>
              <w:t>17．卫生和社会工作</w:t>
            </w:r>
          </w:p>
        </w:tc>
        <w:tc>
          <w:tcPr>
            <w:tcW w:w="2500" w:type="pct"/>
            <w:tcBorders>
              <w:right w:val="nil"/>
            </w:tcBorders>
            <w:vAlign w:val="center"/>
          </w:tcPr>
          <w:p w14:paraId="4C9E5CA4">
            <w:pPr>
              <w:bidi w:val="0"/>
              <w:ind w:firstLine="0" w:firstLineChars="0"/>
              <w:jc w:val="center"/>
              <w:rPr>
                <w:rFonts w:hint="eastAsia"/>
                <w:vertAlign w:val="baseline"/>
                <w:lang w:eastAsia="zh-CN"/>
              </w:rPr>
            </w:pPr>
            <w:r>
              <w:rPr>
                <w:rFonts w:hint="eastAsia"/>
              </w:rPr>
              <w:t>2387</w:t>
            </w:r>
          </w:p>
        </w:tc>
      </w:tr>
      <w:tr w14:paraId="119DC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18D9FCE8">
            <w:pPr>
              <w:bidi w:val="0"/>
              <w:ind w:leftChars="100" w:firstLine="0" w:firstLineChars="0"/>
              <w:jc w:val="both"/>
              <w:rPr>
                <w:rFonts w:hint="eastAsia"/>
                <w:vertAlign w:val="baseline"/>
                <w:lang w:eastAsia="zh-CN"/>
              </w:rPr>
            </w:pPr>
            <w:r>
              <w:rPr>
                <w:rFonts w:hint="eastAsia"/>
              </w:rPr>
              <w:t>18．文化、体育和娱乐业</w:t>
            </w:r>
          </w:p>
        </w:tc>
        <w:tc>
          <w:tcPr>
            <w:tcW w:w="2500" w:type="pct"/>
            <w:tcBorders>
              <w:right w:val="nil"/>
            </w:tcBorders>
            <w:vAlign w:val="center"/>
          </w:tcPr>
          <w:p w14:paraId="3C4EBEB4">
            <w:pPr>
              <w:bidi w:val="0"/>
              <w:ind w:firstLine="0" w:firstLineChars="0"/>
              <w:jc w:val="center"/>
              <w:rPr>
                <w:rFonts w:hint="eastAsia"/>
                <w:vertAlign w:val="baseline"/>
                <w:lang w:eastAsia="zh-CN"/>
              </w:rPr>
            </w:pPr>
            <w:r>
              <w:rPr>
                <w:rFonts w:hint="eastAsia"/>
              </w:rPr>
              <w:t>1727</w:t>
            </w:r>
          </w:p>
        </w:tc>
      </w:tr>
      <w:tr w14:paraId="1C6D7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Borders>
              <w:left w:val="nil"/>
            </w:tcBorders>
            <w:vAlign w:val="center"/>
          </w:tcPr>
          <w:p w14:paraId="1FDC63A5">
            <w:pPr>
              <w:bidi w:val="0"/>
              <w:ind w:leftChars="100" w:firstLine="0" w:firstLineChars="0"/>
              <w:jc w:val="both"/>
              <w:rPr>
                <w:rFonts w:hint="eastAsia"/>
                <w:vertAlign w:val="baseline"/>
                <w:lang w:eastAsia="zh-CN"/>
              </w:rPr>
            </w:pPr>
            <w:r>
              <w:rPr>
                <w:rFonts w:hint="eastAsia"/>
              </w:rPr>
              <w:t>19．公共管理、社会保障和社会组织</w:t>
            </w:r>
          </w:p>
        </w:tc>
        <w:tc>
          <w:tcPr>
            <w:tcW w:w="2500" w:type="pct"/>
            <w:tcBorders>
              <w:right w:val="nil"/>
            </w:tcBorders>
            <w:vAlign w:val="center"/>
          </w:tcPr>
          <w:p w14:paraId="0AC7726D">
            <w:pPr>
              <w:bidi w:val="0"/>
              <w:ind w:firstLine="0" w:firstLineChars="0"/>
              <w:jc w:val="center"/>
              <w:rPr>
                <w:rFonts w:hint="eastAsia"/>
                <w:vertAlign w:val="baseline"/>
                <w:lang w:eastAsia="zh-CN"/>
              </w:rPr>
            </w:pPr>
            <w:r>
              <w:rPr>
                <w:rFonts w:hint="eastAsia"/>
              </w:rPr>
              <w:t>6038</w:t>
            </w:r>
          </w:p>
        </w:tc>
      </w:tr>
    </w:tbl>
    <w:p w14:paraId="5F9B0E4C">
      <w:pPr>
        <w:pStyle w:val="4"/>
        <w:bidi w:val="0"/>
        <w:rPr>
          <w:rFonts w:hint="eastAsia"/>
        </w:rPr>
      </w:pPr>
      <w:r>
        <w:rPr>
          <w:rFonts w:hint="eastAsia"/>
        </w:rPr>
        <w:t>表45</w:t>
      </w:r>
      <w:r>
        <w:rPr>
          <w:rFonts w:hint="eastAsia"/>
          <w:lang w:val="en-US" w:eastAsia="zh-CN"/>
        </w:rPr>
        <w:t xml:space="preserve">  </w:t>
      </w:r>
      <w:r>
        <w:rPr>
          <w:rFonts w:hint="eastAsia"/>
        </w:rPr>
        <w:t>全市教育情况</w:t>
      </w:r>
    </w:p>
    <w:tbl>
      <w:tblPr>
        <w:tblStyle w:val="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0"/>
        <w:gridCol w:w="1991"/>
        <w:gridCol w:w="1991"/>
        <w:gridCol w:w="1993"/>
        <w:gridCol w:w="1993"/>
      </w:tblGrid>
      <w:tr w14:paraId="4D50B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tcBorders>
              <w:left w:val="nil"/>
            </w:tcBorders>
            <w:vAlign w:val="center"/>
          </w:tcPr>
          <w:p w14:paraId="3CC549A1">
            <w:pPr>
              <w:pStyle w:val="11"/>
              <w:bidi w:val="0"/>
              <w:jc w:val="both"/>
              <w:rPr>
                <w:rFonts w:hint="default"/>
                <w:b/>
                <w:bCs/>
                <w:lang w:val="en-US" w:eastAsia="zh-CN"/>
              </w:rPr>
            </w:pPr>
          </w:p>
        </w:tc>
        <w:tc>
          <w:tcPr>
            <w:tcW w:w="999" w:type="pct"/>
            <w:vAlign w:val="center"/>
          </w:tcPr>
          <w:p w14:paraId="1AA980F3">
            <w:pPr>
              <w:pStyle w:val="11"/>
              <w:bidi w:val="0"/>
              <w:jc w:val="center"/>
              <w:rPr>
                <w:rFonts w:hint="eastAsia"/>
                <w:b/>
                <w:bCs/>
                <w:lang w:eastAsia="zh-CN"/>
              </w:rPr>
            </w:pPr>
            <w:r>
              <w:rPr>
                <w:rFonts w:hint="eastAsia"/>
                <w:b/>
                <w:bCs/>
              </w:rPr>
              <w:t>学校数（所）</w:t>
            </w:r>
          </w:p>
        </w:tc>
        <w:tc>
          <w:tcPr>
            <w:tcW w:w="999" w:type="pct"/>
            <w:vAlign w:val="center"/>
          </w:tcPr>
          <w:p w14:paraId="51E42472">
            <w:pPr>
              <w:pStyle w:val="11"/>
              <w:bidi w:val="0"/>
              <w:jc w:val="center"/>
              <w:rPr>
                <w:rFonts w:hint="eastAsia"/>
                <w:b/>
                <w:bCs/>
                <w:lang w:eastAsia="zh-CN"/>
              </w:rPr>
            </w:pPr>
            <w:r>
              <w:rPr>
                <w:rFonts w:hint="eastAsia"/>
                <w:b/>
                <w:bCs/>
              </w:rPr>
              <w:t>招生数（人）</w:t>
            </w:r>
          </w:p>
        </w:tc>
        <w:tc>
          <w:tcPr>
            <w:tcW w:w="1000" w:type="pct"/>
            <w:vAlign w:val="center"/>
          </w:tcPr>
          <w:p w14:paraId="3A6F38A4">
            <w:pPr>
              <w:pStyle w:val="11"/>
              <w:bidi w:val="0"/>
              <w:jc w:val="center"/>
              <w:rPr>
                <w:rFonts w:hint="eastAsia"/>
                <w:b/>
                <w:bCs/>
                <w:lang w:eastAsia="zh-CN"/>
              </w:rPr>
            </w:pPr>
            <w:r>
              <w:rPr>
                <w:rFonts w:hint="eastAsia"/>
                <w:b/>
                <w:bCs/>
              </w:rPr>
              <w:t>在校学生（人）</w:t>
            </w:r>
          </w:p>
        </w:tc>
        <w:tc>
          <w:tcPr>
            <w:tcW w:w="1000" w:type="pct"/>
            <w:tcBorders>
              <w:right w:val="nil"/>
            </w:tcBorders>
            <w:vAlign w:val="center"/>
          </w:tcPr>
          <w:p w14:paraId="5A1ABB44">
            <w:pPr>
              <w:pStyle w:val="11"/>
              <w:bidi w:val="0"/>
              <w:jc w:val="center"/>
              <w:rPr>
                <w:rFonts w:hint="eastAsia"/>
                <w:b/>
                <w:bCs/>
                <w:lang w:eastAsia="zh-CN"/>
              </w:rPr>
            </w:pPr>
            <w:r>
              <w:rPr>
                <w:rFonts w:hint="eastAsia"/>
                <w:b/>
                <w:bCs/>
              </w:rPr>
              <w:t>毕业人数（人）</w:t>
            </w:r>
          </w:p>
        </w:tc>
      </w:tr>
      <w:tr w14:paraId="1EDB1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tcBorders>
              <w:left w:val="nil"/>
            </w:tcBorders>
            <w:vAlign w:val="center"/>
          </w:tcPr>
          <w:p w14:paraId="55EEBB9D">
            <w:pPr>
              <w:pStyle w:val="11"/>
              <w:bidi w:val="0"/>
              <w:jc w:val="both"/>
              <w:rPr>
                <w:rFonts w:hint="eastAsia"/>
                <w:lang w:eastAsia="zh-CN"/>
              </w:rPr>
            </w:pPr>
            <w:r>
              <w:rPr>
                <w:rFonts w:hint="eastAsia"/>
              </w:rPr>
              <w:t>幼儿园</w:t>
            </w:r>
          </w:p>
        </w:tc>
        <w:tc>
          <w:tcPr>
            <w:tcW w:w="999" w:type="pct"/>
            <w:vAlign w:val="center"/>
          </w:tcPr>
          <w:p w14:paraId="7FC91228">
            <w:pPr>
              <w:pStyle w:val="11"/>
              <w:bidi w:val="0"/>
              <w:jc w:val="center"/>
              <w:rPr>
                <w:rFonts w:hint="eastAsia"/>
                <w:lang w:eastAsia="zh-CN"/>
              </w:rPr>
            </w:pPr>
            <w:r>
              <w:rPr>
                <w:rFonts w:hint="eastAsia"/>
              </w:rPr>
              <w:t>62</w:t>
            </w:r>
          </w:p>
        </w:tc>
        <w:tc>
          <w:tcPr>
            <w:tcW w:w="999" w:type="pct"/>
            <w:vAlign w:val="center"/>
          </w:tcPr>
          <w:p w14:paraId="6738E24E">
            <w:pPr>
              <w:pStyle w:val="11"/>
              <w:bidi w:val="0"/>
              <w:jc w:val="center"/>
              <w:rPr>
                <w:rFonts w:hint="eastAsia"/>
                <w:lang w:eastAsia="zh-CN"/>
              </w:rPr>
            </w:pPr>
            <w:r>
              <w:rPr>
                <w:rFonts w:hint="eastAsia"/>
              </w:rPr>
              <w:t>5603</w:t>
            </w:r>
          </w:p>
        </w:tc>
        <w:tc>
          <w:tcPr>
            <w:tcW w:w="1000" w:type="pct"/>
            <w:vAlign w:val="center"/>
          </w:tcPr>
          <w:p w14:paraId="664F8A30">
            <w:pPr>
              <w:pStyle w:val="11"/>
              <w:bidi w:val="0"/>
              <w:jc w:val="center"/>
              <w:rPr>
                <w:rFonts w:hint="eastAsia"/>
                <w:lang w:eastAsia="zh-CN"/>
              </w:rPr>
            </w:pPr>
            <w:r>
              <w:rPr>
                <w:rFonts w:hint="eastAsia"/>
              </w:rPr>
              <w:t>14257</w:t>
            </w:r>
          </w:p>
        </w:tc>
        <w:tc>
          <w:tcPr>
            <w:tcW w:w="1000" w:type="pct"/>
            <w:tcBorders>
              <w:right w:val="nil"/>
            </w:tcBorders>
            <w:vAlign w:val="center"/>
          </w:tcPr>
          <w:p w14:paraId="59043902">
            <w:pPr>
              <w:pStyle w:val="11"/>
              <w:bidi w:val="0"/>
              <w:jc w:val="center"/>
              <w:rPr>
                <w:rFonts w:hint="eastAsia"/>
                <w:lang w:eastAsia="zh-CN"/>
              </w:rPr>
            </w:pPr>
            <w:r>
              <w:rPr>
                <w:rFonts w:hint="eastAsia"/>
              </w:rPr>
              <w:t>5993</w:t>
            </w:r>
          </w:p>
        </w:tc>
      </w:tr>
      <w:tr w14:paraId="2E631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tcBorders>
              <w:left w:val="nil"/>
            </w:tcBorders>
            <w:vAlign w:val="center"/>
          </w:tcPr>
          <w:p w14:paraId="0FE2E124">
            <w:pPr>
              <w:pStyle w:val="11"/>
              <w:bidi w:val="0"/>
              <w:jc w:val="both"/>
              <w:rPr>
                <w:rFonts w:hint="eastAsia"/>
                <w:lang w:eastAsia="zh-CN"/>
              </w:rPr>
            </w:pPr>
            <w:r>
              <w:rPr>
                <w:rFonts w:hint="eastAsia"/>
              </w:rPr>
              <w:t>义务教育</w:t>
            </w:r>
          </w:p>
        </w:tc>
        <w:tc>
          <w:tcPr>
            <w:tcW w:w="999" w:type="pct"/>
            <w:vAlign w:val="center"/>
          </w:tcPr>
          <w:p w14:paraId="4BA25F64">
            <w:pPr>
              <w:pStyle w:val="11"/>
              <w:bidi w:val="0"/>
              <w:jc w:val="center"/>
              <w:rPr>
                <w:rFonts w:hint="eastAsia"/>
                <w:lang w:eastAsia="zh-CN"/>
              </w:rPr>
            </w:pPr>
            <w:r>
              <w:rPr>
                <w:rFonts w:hint="eastAsia"/>
              </w:rPr>
              <w:t>45</w:t>
            </w:r>
          </w:p>
        </w:tc>
        <w:tc>
          <w:tcPr>
            <w:tcW w:w="999" w:type="pct"/>
            <w:vAlign w:val="center"/>
          </w:tcPr>
          <w:p w14:paraId="2BFB9BED">
            <w:pPr>
              <w:pStyle w:val="11"/>
              <w:bidi w:val="0"/>
              <w:jc w:val="center"/>
              <w:rPr>
                <w:rFonts w:hint="eastAsia"/>
                <w:lang w:eastAsia="zh-CN"/>
              </w:rPr>
            </w:pPr>
            <w:r>
              <w:rPr>
                <w:rFonts w:hint="eastAsia"/>
              </w:rPr>
              <w:t>10576</w:t>
            </w:r>
          </w:p>
        </w:tc>
        <w:tc>
          <w:tcPr>
            <w:tcW w:w="1000" w:type="pct"/>
            <w:vAlign w:val="center"/>
          </w:tcPr>
          <w:p w14:paraId="042EF52A">
            <w:pPr>
              <w:pStyle w:val="11"/>
              <w:bidi w:val="0"/>
              <w:jc w:val="center"/>
              <w:rPr>
                <w:rFonts w:hint="eastAsia"/>
                <w:lang w:eastAsia="zh-CN"/>
              </w:rPr>
            </w:pPr>
            <w:r>
              <w:rPr>
                <w:rFonts w:hint="eastAsia"/>
              </w:rPr>
              <w:t>44181</w:t>
            </w:r>
          </w:p>
        </w:tc>
        <w:tc>
          <w:tcPr>
            <w:tcW w:w="1000" w:type="pct"/>
            <w:tcBorders>
              <w:right w:val="nil"/>
            </w:tcBorders>
            <w:vAlign w:val="center"/>
          </w:tcPr>
          <w:p w14:paraId="41E50DA0">
            <w:pPr>
              <w:pStyle w:val="11"/>
              <w:bidi w:val="0"/>
              <w:jc w:val="center"/>
              <w:rPr>
                <w:rFonts w:hint="eastAsia"/>
                <w:lang w:eastAsia="zh-CN"/>
              </w:rPr>
            </w:pPr>
            <w:r>
              <w:rPr>
                <w:rFonts w:hint="eastAsia"/>
              </w:rPr>
              <w:t>8943</w:t>
            </w:r>
          </w:p>
        </w:tc>
      </w:tr>
      <w:tr w14:paraId="66E43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tcBorders>
              <w:left w:val="nil"/>
            </w:tcBorders>
            <w:vAlign w:val="center"/>
          </w:tcPr>
          <w:p w14:paraId="4A72D434">
            <w:pPr>
              <w:pStyle w:val="11"/>
              <w:bidi w:val="0"/>
              <w:ind w:leftChars="100"/>
              <w:jc w:val="both"/>
              <w:rPr>
                <w:rFonts w:hint="eastAsia"/>
                <w:lang w:eastAsia="zh-CN"/>
              </w:rPr>
            </w:pPr>
            <w:r>
              <w:rPr>
                <w:rFonts w:hint="eastAsia"/>
              </w:rPr>
              <w:t>#：小学</w:t>
            </w:r>
          </w:p>
        </w:tc>
        <w:tc>
          <w:tcPr>
            <w:tcW w:w="999" w:type="pct"/>
            <w:vAlign w:val="center"/>
          </w:tcPr>
          <w:p w14:paraId="63CDD939">
            <w:pPr>
              <w:pStyle w:val="11"/>
              <w:bidi w:val="0"/>
              <w:jc w:val="center"/>
              <w:rPr>
                <w:rFonts w:hint="eastAsia"/>
                <w:lang w:eastAsia="zh-CN"/>
              </w:rPr>
            </w:pPr>
            <w:r>
              <w:rPr>
                <w:rFonts w:hint="eastAsia"/>
              </w:rPr>
              <w:t>29</w:t>
            </w:r>
          </w:p>
        </w:tc>
        <w:tc>
          <w:tcPr>
            <w:tcW w:w="999" w:type="pct"/>
            <w:vAlign w:val="center"/>
          </w:tcPr>
          <w:p w14:paraId="1B3A9597">
            <w:pPr>
              <w:pStyle w:val="11"/>
              <w:bidi w:val="0"/>
              <w:jc w:val="center"/>
              <w:rPr>
                <w:rFonts w:hint="eastAsia"/>
                <w:lang w:eastAsia="zh-CN"/>
              </w:rPr>
            </w:pPr>
            <w:r>
              <w:rPr>
                <w:rFonts w:hint="eastAsia"/>
              </w:rPr>
              <w:t>6002</w:t>
            </w:r>
          </w:p>
        </w:tc>
        <w:tc>
          <w:tcPr>
            <w:tcW w:w="1000" w:type="pct"/>
            <w:vAlign w:val="center"/>
          </w:tcPr>
          <w:p w14:paraId="419C7346">
            <w:pPr>
              <w:pStyle w:val="11"/>
              <w:bidi w:val="0"/>
              <w:jc w:val="center"/>
              <w:rPr>
                <w:rFonts w:hint="eastAsia"/>
                <w:lang w:eastAsia="zh-CN"/>
              </w:rPr>
            </w:pPr>
            <w:r>
              <w:rPr>
                <w:rFonts w:hint="eastAsia"/>
              </w:rPr>
              <w:t>30309</w:t>
            </w:r>
          </w:p>
        </w:tc>
        <w:tc>
          <w:tcPr>
            <w:tcW w:w="1000" w:type="pct"/>
            <w:tcBorders>
              <w:right w:val="nil"/>
            </w:tcBorders>
            <w:vAlign w:val="center"/>
          </w:tcPr>
          <w:p w14:paraId="3A0DEB9B">
            <w:pPr>
              <w:pStyle w:val="11"/>
              <w:bidi w:val="0"/>
              <w:jc w:val="center"/>
              <w:rPr>
                <w:rFonts w:hint="eastAsia"/>
                <w:lang w:eastAsia="zh-CN"/>
              </w:rPr>
            </w:pPr>
            <w:r>
              <w:rPr>
                <w:rFonts w:hint="eastAsia"/>
              </w:rPr>
              <w:t>4594</w:t>
            </w:r>
          </w:p>
        </w:tc>
      </w:tr>
      <w:tr w14:paraId="680BD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tcBorders>
              <w:left w:val="nil"/>
            </w:tcBorders>
            <w:vAlign w:val="center"/>
          </w:tcPr>
          <w:p w14:paraId="20834ECD">
            <w:pPr>
              <w:pStyle w:val="11"/>
              <w:bidi w:val="0"/>
              <w:ind w:leftChars="100"/>
              <w:jc w:val="both"/>
              <w:rPr>
                <w:rFonts w:hint="eastAsia"/>
                <w:lang w:eastAsia="zh-CN"/>
              </w:rPr>
            </w:pPr>
            <w:r>
              <w:rPr>
                <w:rFonts w:hint="eastAsia"/>
              </w:rPr>
              <w:t>#：初中</w:t>
            </w:r>
          </w:p>
        </w:tc>
        <w:tc>
          <w:tcPr>
            <w:tcW w:w="999" w:type="pct"/>
            <w:vAlign w:val="center"/>
          </w:tcPr>
          <w:p w14:paraId="6D745454">
            <w:pPr>
              <w:pStyle w:val="11"/>
              <w:bidi w:val="0"/>
              <w:jc w:val="center"/>
              <w:rPr>
                <w:rFonts w:hint="eastAsia"/>
                <w:lang w:eastAsia="zh-CN"/>
              </w:rPr>
            </w:pPr>
            <w:r>
              <w:rPr>
                <w:rFonts w:hint="eastAsia"/>
              </w:rPr>
              <w:t>16</w:t>
            </w:r>
          </w:p>
        </w:tc>
        <w:tc>
          <w:tcPr>
            <w:tcW w:w="999" w:type="pct"/>
            <w:vAlign w:val="center"/>
          </w:tcPr>
          <w:p w14:paraId="79AB6C86">
            <w:pPr>
              <w:pStyle w:val="11"/>
              <w:bidi w:val="0"/>
              <w:jc w:val="center"/>
              <w:rPr>
                <w:rFonts w:hint="eastAsia"/>
                <w:lang w:eastAsia="zh-CN"/>
              </w:rPr>
            </w:pPr>
            <w:r>
              <w:rPr>
                <w:rFonts w:hint="eastAsia"/>
              </w:rPr>
              <w:t>4574</w:t>
            </w:r>
          </w:p>
        </w:tc>
        <w:tc>
          <w:tcPr>
            <w:tcW w:w="1000" w:type="pct"/>
            <w:vAlign w:val="center"/>
          </w:tcPr>
          <w:p w14:paraId="0D4D5856">
            <w:pPr>
              <w:pStyle w:val="11"/>
              <w:bidi w:val="0"/>
              <w:jc w:val="center"/>
              <w:rPr>
                <w:rFonts w:hint="eastAsia"/>
                <w:lang w:eastAsia="zh-CN"/>
              </w:rPr>
            </w:pPr>
            <w:r>
              <w:rPr>
                <w:rFonts w:hint="eastAsia"/>
              </w:rPr>
              <w:t>13872</w:t>
            </w:r>
          </w:p>
        </w:tc>
        <w:tc>
          <w:tcPr>
            <w:tcW w:w="1000" w:type="pct"/>
            <w:tcBorders>
              <w:right w:val="nil"/>
            </w:tcBorders>
            <w:vAlign w:val="center"/>
          </w:tcPr>
          <w:p w14:paraId="5CF5B103">
            <w:pPr>
              <w:pStyle w:val="11"/>
              <w:bidi w:val="0"/>
              <w:jc w:val="center"/>
              <w:rPr>
                <w:rFonts w:hint="eastAsia"/>
                <w:lang w:eastAsia="zh-CN"/>
              </w:rPr>
            </w:pPr>
            <w:r>
              <w:rPr>
                <w:rFonts w:hint="eastAsia"/>
              </w:rPr>
              <w:t>4349</w:t>
            </w:r>
          </w:p>
        </w:tc>
      </w:tr>
      <w:tr w14:paraId="6E339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tcBorders>
              <w:left w:val="nil"/>
            </w:tcBorders>
            <w:vAlign w:val="center"/>
          </w:tcPr>
          <w:p w14:paraId="2C19AE56">
            <w:pPr>
              <w:pStyle w:val="11"/>
              <w:bidi w:val="0"/>
              <w:jc w:val="both"/>
              <w:rPr>
                <w:rFonts w:hint="eastAsia"/>
                <w:lang w:eastAsia="zh-CN"/>
              </w:rPr>
            </w:pPr>
            <w:r>
              <w:rPr>
                <w:rFonts w:hint="eastAsia"/>
              </w:rPr>
              <w:t>高中</w:t>
            </w:r>
          </w:p>
        </w:tc>
        <w:tc>
          <w:tcPr>
            <w:tcW w:w="999" w:type="pct"/>
            <w:vAlign w:val="center"/>
          </w:tcPr>
          <w:p w14:paraId="2F89FDCA">
            <w:pPr>
              <w:pStyle w:val="11"/>
              <w:bidi w:val="0"/>
              <w:jc w:val="center"/>
              <w:rPr>
                <w:rFonts w:hint="eastAsia"/>
                <w:lang w:eastAsia="zh-CN"/>
              </w:rPr>
            </w:pPr>
            <w:r>
              <w:rPr>
                <w:rFonts w:hint="eastAsia"/>
              </w:rPr>
              <w:t>3</w:t>
            </w:r>
          </w:p>
        </w:tc>
        <w:tc>
          <w:tcPr>
            <w:tcW w:w="999" w:type="pct"/>
            <w:vAlign w:val="center"/>
          </w:tcPr>
          <w:p w14:paraId="231AF327">
            <w:pPr>
              <w:pStyle w:val="11"/>
              <w:bidi w:val="0"/>
              <w:jc w:val="center"/>
              <w:rPr>
                <w:rFonts w:hint="eastAsia"/>
                <w:lang w:eastAsia="zh-CN"/>
              </w:rPr>
            </w:pPr>
            <w:r>
              <w:rPr>
                <w:rFonts w:hint="eastAsia"/>
              </w:rPr>
              <w:t>2183</w:t>
            </w:r>
          </w:p>
        </w:tc>
        <w:tc>
          <w:tcPr>
            <w:tcW w:w="1000" w:type="pct"/>
            <w:vAlign w:val="center"/>
          </w:tcPr>
          <w:p w14:paraId="64319FB4">
            <w:pPr>
              <w:pStyle w:val="11"/>
              <w:bidi w:val="0"/>
              <w:jc w:val="center"/>
              <w:rPr>
                <w:rFonts w:hint="eastAsia"/>
                <w:lang w:eastAsia="zh-CN"/>
              </w:rPr>
            </w:pPr>
            <w:r>
              <w:rPr>
                <w:rFonts w:hint="eastAsia"/>
              </w:rPr>
              <w:t>6650</w:t>
            </w:r>
          </w:p>
        </w:tc>
        <w:tc>
          <w:tcPr>
            <w:tcW w:w="1000" w:type="pct"/>
            <w:tcBorders>
              <w:right w:val="nil"/>
            </w:tcBorders>
            <w:vAlign w:val="center"/>
          </w:tcPr>
          <w:p w14:paraId="0DF921B2">
            <w:pPr>
              <w:pStyle w:val="11"/>
              <w:bidi w:val="0"/>
              <w:jc w:val="center"/>
              <w:rPr>
                <w:rFonts w:hint="eastAsia"/>
                <w:lang w:eastAsia="zh-CN"/>
              </w:rPr>
            </w:pPr>
            <w:r>
              <w:rPr>
                <w:rFonts w:hint="eastAsia"/>
              </w:rPr>
              <w:t>2676</w:t>
            </w:r>
          </w:p>
        </w:tc>
      </w:tr>
      <w:tr w14:paraId="747DA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tcBorders>
              <w:left w:val="nil"/>
            </w:tcBorders>
            <w:vAlign w:val="center"/>
          </w:tcPr>
          <w:p w14:paraId="3B0AB791">
            <w:pPr>
              <w:pStyle w:val="11"/>
              <w:bidi w:val="0"/>
              <w:jc w:val="both"/>
              <w:rPr>
                <w:rFonts w:hint="eastAsia"/>
                <w:lang w:eastAsia="zh-CN"/>
              </w:rPr>
            </w:pPr>
            <w:r>
              <w:rPr>
                <w:rFonts w:hint="eastAsia"/>
              </w:rPr>
              <w:t>特殊教育学校</w:t>
            </w:r>
          </w:p>
        </w:tc>
        <w:tc>
          <w:tcPr>
            <w:tcW w:w="999" w:type="pct"/>
            <w:vAlign w:val="center"/>
          </w:tcPr>
          <w:p w14:paraId="2B68AB67">
            <w:pPr>
              <w:pStyle w:val="11"/>
              <w:bidi w:val="0"/>
              <w:jc w:val="center"/>
              <w:rPr>
                <w:rFonts w:hint="eastAsia"/>
                <w:lang w:eastAsia="zh-CN"/>
              </w:rPr>
            </w:pPr>
            <w:r>
              <w:rPr>
                <w:rFonts w:hint="eastAsia"/>
              </w:rPr>
              <w:t>1</w:t>
            </w:r>
          </w:p>
        </w:tc>
        <w:tc>
          <w:tcPr>
            <w:tcW w:w="999" w:type="pct"/>
            <w:vAlign w:val="center"/>
          </w:tcPr>
          <w:p w14:paraId="106025FF">
            <w:pPr>
              <w:pStyle w:val="11"/>
              <w:bidi w:val="0"/>
              <w:jc w:val="center"/>
              <w:rPr>
                <w:rFonts w:hint="eastAsia"/>
                <w:lang w:eastAsia="zh-CN"/>
              </w:rPr>
            </w:pPr>
            <w:r>
              <w:rPr>
                <w:rFonts w:hint="eastAsia"/>
              </w:rPr>
              <w:t>22</w:t>
            </w:r>
          </w:p>
        </w:tc>
        <w:tc>
          <w:tcPr>
            <w:tcW w:w="1000" w:type="pct"/>
            <w:vAlign w:val="center"/>
          </w:tcPr>
          <w:p w14:paraId="0C8C2697">
            <w:pPr>
              <w:pStyle w:val="11"/>
              <w:bidi w:val="0"/>
              <w:jc w:val="center"/>
              <w:rPr>
                <w:rFonts w:hint="eastAsia"/>
                <w:lang w:eastAsia="zh-CN"/>
              </w:rPr>
            </w:pPr>
            <w:r>
              <w:rPr>
                <w:rFonts w:hint="eastAsia"/>
              </w:rPr>
              <w:t>86</w:t>
            </w:r>
          </w:p>
        </w:tc>
        <w:tc>
          <w:tcPr>
            <w:tcW w:w="1000" w:type="pct"/>
            <w:tcBorders>
              <w:right w:val="nil"/>
            </w:tcBorders>
            <w:vAlign w:val="center"/>
          </w:tcPr>
          <w:p w14:paraId="663BAC6A">
            <w:pPr>
              <w:pStyle w:val="11"/>
              <w:bidi w:val="0"/>
              <w:jc w:val="center"/>
              <w:rPr>
                <w:rFonts w:hint="eastAsia"/>
                <w:lang w:eastAsia="zh-CN"/>
              </w:rPr>
            </w:pPr>
            <w:r>
              <w:rPr>
                <w:rFonts w:hint="eastAsia"/>
              </w:rPr>
              <w:t>10</w:t>
            </w:r>
          </w:p>
        </w:tc>
      </w:tr>
      <w:tr w14:paraId="7DD34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tcBorders>
              <w:left w:val="nil"/>
            </w:tcBorders>
            <w:vAlign w:val="center"/>
          </w:tcPr>
          <w:p w14:paraId="1E2EB32C">
            <w:pPr>
              <w:pStyle w:val="11"/>
              <w:bidi w:val="0"/>
              <w:jc w:val="both"/>
              <w:rPr>
                <w:rFonts w:hint="default"/>
                <w:lang w:val="en-US" w:eastAsia="zh-CN"/>
              </w:rPr>
            </w:pPr>
            <w:r>
              <w:rPr>
                <w:rFonts w:hint="eastAsia"/>
              </w:rPr>
              <w:t>合计</w:t>
            </w:r>
          </w:p>
        </w:tc>
        <w:tc>
          <w:tcPr>
            <w:tcW w:w="999" w:type="pct"/>
            <w:vAlign w:val="center"/>
          </w:tcPr>
          <w:p w14:paraId="6C64580F">
            <w:pPr>
              <w:pStyle w:val="11"/>
              <w:bidi w:val="0"/>
              <w:jc w:val="center"/>
              <w:rPr>
                <w:rFonts w:hint="default"/>
                <w:lang w:val="en-US" w:eastAsia="zh-CN"/>
              </w:rPr>
            </w:pPr>
            <w:r>
              <w:rPr>
                <w:rFonts w:hint="eastAsia"/>
              </w:rPr>
              <w:t>111</w:t>
            </w:r>
          </w:p>
        </w:tc>
        <w:tc>
          <w:tcPr>
            <w:tcW w:w="999" w:type="pct"/>
            <w:vAlign w:val="center"/>
          </w:tcPr>
          <w:p w14:paraId="15626535">
            <w:pPr>
              <w:pStyle w:val="11"/>
              <w:bidi w:val="0"/>
              <w:jc w:val="center"/>
              <w:rPr>
                <w:rFonts w:hint="default"/>
                <w:lang w:val="en-US" w:eastAsia="zh-CN"/>
              </w:rPr>
            </w:pPr>
            <w:r>
              <w:rPr>
                <w:rFonts w:hint="eastAsia"/>
              </w:rPr>
              <w:t>18384</w:t>
            </w:r>
          </w:p>
        </w:tc>
        <w:tc>
          <w:tcPr>
            <w:tcW w:w="1000" w:type="pct"/>
            <w:vAlign w:val="center"/>
          </w:tcPr>
          <w:p w14:paraId="0BE29ED4">
            <w:pPr>
              <w:pStyle w:val="11"/>
              <w:bidi w:val="0"/>
              <w:jc w:val="center"/>
              <w:rPr>
                <w:rFonts w:hint="default"/>
                <w:lang w:val="en-US" w:eastAsia="zh-CN"/>
              </w:rPr>
            </w:pPr>
            <w:r>
              <w:rPr>
                <w:rFonts w:hint="eastAsia"/>
              </w:rPr>
              <w:t>65174</w:t>
            </w:r>
          </w:p>
        </w:tc>
        <w:tc>
          <w:tcPr>
            <w:tcW w:w="1000" w:type="pct"/>
            <w:tcBorders>
              <w:right w:val="nil"/>
            </w:tcBorders>
            <w:vAlign w:val="center"/>
          </w:tcPr>
          <w:p w14:paraId="755A04C1">
            <w:pPr>
              <w:pStyle w:val="11"/>
              <w:bidi w:val="0"/>
              <w:jc w:val="center"/>
              <w:rPr>
                <w:rFonts w:hint="default"/>
                <w:lang w:val="en-US" w:eastAsia="zh-CN"/>
              </w:rPr>
            </w:pPr>
            <w:r>
              <w:rPr>
                <w:rFonts w:hint="eastAsia"/>
              </w:rPr>
              <w:t>17622</w:t>
            </w:r>
          </w:p>
        </w:tc>
      </w:tr>
    </w:tbl>
    <w:p w14:paraId="0B97C78A">
      <w:pPr>
        <w:pStyle w:val="4"/>
        <w:bidi w:val="0"/>
        <w:rPr>
          <w:rFonts w:hint="eastAsia"/>
          <w:lang w:eastAsia="zh-CN"/>
        </w:rPr>
      </w:pPr>
      <w:r>
        <w:rPr>
          <w:rFonts w:hint="eastAsia"/>
        </w:rPr>
        <w:t>表46</w:t>
      </w:r>
      <w:r>
        <w:rPr>
          <w:rFonts w:hint="eastAsia"/>
          <w:lang w:val="en-US" w:eastAsia="zh-CN"/>
        </w:rPr>
        <w:t xml:space="preserve">  </w:t>
      </w:r>
      <w:r>
        <w:rPr>
          <w:rFonts w:hint="eastAsia"/>
        </w:rPr>
        <w:t>全市医疗卫生机构、床位、人员数</w:t>
      </w:r>
    </w:p>
    <w:tbl>
      <w:tblPr>
        <w:tblStyle w:val="8"/>
        <w:tblW w:w="497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67"/>
        <w:gridCol w:w="807"/>
        <w:gridCol w:w="970"/>
        <w:gridCol w:w="876"/>
        <w:gridCol w:w="808"/>
        <w:gridCol w:w="785"/>
        <w:gridCol w:w="794"/>
        <w:gridCol w:w="740"/>
        <w:gridCol w:w="773"/>
        <w:gridCol w:w="699"/>
      </w:tblGrid>
      <w:tr w14:paraId="24D0E5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Merge w:val="restart"/>
            <w:vAlign w:val="center"/>
          </w:tcPr>
          <w:p w14:paraId="19F43EC9">
            <w:pPr>
              <w:pStyle w:val="11"/>
              <w:bidi w:val="0"/>
              <w:jc w:val="center"/>
              <w:rPr>
                <w:rFonts w:hint="eastAsia"/>
                <w:b/>
                <w:bCs/>
                <w:lang w:eastAsia="zh-CN"/>
              </w:rPr>
            </w:pPr>
            <w:r>
              <w:rPr>
                <w:rFonts w:hint="eastAsia"/>
                <w:b/>
                <w:bCs/>
              </w:rPr>
              <w:t>机构分类</w:t>
            </w:r>
          </w:p>
        </w:tc>
        <w:tc>
          <w:tcPr>
            <w:tcW w:w="406" w:type="pct"/>
            <w:vMerge w:val="restart"/>
            <w:vAlign w:val="center"/>
          </w:tcPr>
          <w:p w14:paraId="194004AE">
            <w:pPr>
              <w:pStyle w:val="11"/>
              <w:bidi w:val="0"/>
              <w:jc w:val="center"/>
              <w:rPr>
                <w:rFonts w:hint="eastAsia"/>
                <w:b/>
                <w:bCs/>
                <w:lang w:eastAsia="zh-CN"/>
              </w:rPr>
            </w:pPr>
            <w:r>
              <w:rPr>
                <w:rFonts w:hint="eastAsia"/>
                <w:b/>
                <w:bCs/>
              </w:rPr>
              <w:t>机构个数</w:t>
            </w:r>
          </w:p>
        </w:tc>
        <w:tc>
          <w:tcPr>
            <w:tcW w:w="488" w:type="pct"/>
            <w:vMerge w:val="restart"/>
            <w:vAlign w:val="center"/>
          </w:tcPr>
          <w:p w14:paraId="02B4B738">
            <w:pPr>
              <w:pStyle w:val="11"/>
              <w:bidi w:val="0"/>
              <w:jc w:val="center"/>
              <w:rPr>
                <w:rFonts w:hint="eastAsia"/>
                <w:b/>
                <w:bCs/>
                <w:lang w:eastAsia="zh-CN"/>
              </w:rPr>
            </w:pPr>
            <w:r>
              <w:rPr>
                <w:rFonts w:hint="eastAsia"/>
                <w:b/>
                <w:bCs/>
              </w:rPr>
              <w:t>编制床位数</w:t>
            </w:r>
          </w:p>
        </w:tc>
        <w:tc>
          <w:tcPr>
            <w:tcW w:w="441" w:type="pct"/>
            <w:vMerge w:val="restart"/>
            <w:vAlign w:val="center"/>
          </w:tcPr>
          <w:p w14:paraId="3BEF1FB9">
            <w:pPr>
              <w:pStyle w:val="11"/>
              <w:bidi w:val="0"/>
              <w:jc w:val="center"/>
              <w:rPr>
                <w:rFonts w:hint="eastAsia"/>
                <w:b/>
                <w:bCs/>
                <w:lang w:eastAsia="zh-CN"/>
              </w:rPr>
            </w:pPr>
            <w:r>
              <w:rPr>
                <w:rFonts w:hint="eastAsia"/>
                <w:b/>
                <w:bCs/>
              </w:rPr>
              <w:t>实有床位数</w:t>
            </w:r>
          </w:p>
        </w:tc>
        <w:tc>
          <w:tcPr>
            <w:tcW w:w="407" w:type="pct"/>
            <w:vMerge w:val="restart"/>
            <w:vAlign w:val="center"/>
          </w:tcPr>
          <w:p w14:paraId="5AE3287A">
            <w:pPr>
              <w:pStyle w:val="11"/>
              <w:bidi w:val="0"/>
              <w:jc w:val="center"/>
              <w:rPr>
                <w:rFonts w:hint="eastAsia"/>
                <w:b/>
                <w:bCs/>
                <w:lang w:eastAsia="zh-CN"/>
              </w:rPr>
            </w:pPr>
            <w:r>
              <w:rPr>
                <w:rFonts w:hint="eastAsia"/>
                <w:b/>
                <w:bCs/>
              </w:rPr>
              <w:t>编制人数</w:t>
            </w:r>
          </w:p>
        </w:tc>
        <w:tc>
          <w:tcPr>
            <w:tcW w:w="1910" w:type="pct"/>
            <w:gridSpan w:val="5"/>
            <w:vAlign w:val="center"/>
          </w:tcPr>
          <w:p w14:paraId="55871010">
            <w:pPr>
              <w:pStyle w:val="11"/>
              <w:bidi w:val="0"/>
              <w:jc w:val="center"/>
              <w:rPr>
                <w:rFonts w:hint="eastAsia"/>
                <w:b/>
                <w:bCs/>
                <w:lang w:eastAsia="zh-CN"/>
              </w:rPr>
            </w:pPr>
            <w:r>
              <w:rPr>
                <w:rFonts w:hint="eastAsia"/>
                <w:b/>
                <w:bCs/>
              </w:rPr>
              <w:t>在岗职工</w:t>
            </w:r>
          </w:p>
        </w:tc>
      </w:tr>
      <w:tr w14:paraId="545828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Merge w:val="continue"/>
            <w:vAlign w:val="center"/>
          </w:tcPr>
          <w:p w14:paraId="73A1EE56">
            <w:pPr>
              <w:pStyle w:val="11"/>
              <w:bidi w:val="0"/>
              <w:jc w:val="both"/>
              <w:rPr>
                <w:rFonts w:hint="eastAsia"/>
                <w:b/>
                <w:bCs/>
                <w:lang w:eastAsia="zh-CN"/>
              </w:rPr>
            </w:pPr>
          </w:p>
        </w:tc>
        <w:tc>
          <w:tcPr>
            <w:tcW w:w="406" w:type="pct"/>
            <w:vMerge w:val="continue"/>
            <w:vAlign w:val="center"/>
          </w:tcPr>
          <w:p w14:paraId="423F54D7">
            <w:pPr>
              <w:pStyle w:val="11"/>
              <w:bidi w:val="0"/>
              <w:jc w:val="center"/>
              <w:rPr>
                <w:rFonts w:hint="eastAsia"/>
                <w:b/>
                <w:bCs/>
                <w:lang w:eastAsia="zh-CN"/>
              </w:rPr>
            </w:pPr>
          </w:p>
        </w:tc>
        <w:tc>
          <w:tcPr>
            <w:tcW w:w="488" w:type="pct"/>
            <w:vMerge w:val="continue"/>
            <w:vAlign w:val="center"/>
          </w:tcPr>
          <w:p w14:paraId="1C719BD8">
            <w:pPr>
              <w:pStyle w:val="11"/>
              <w:bidi w:val="0"/>
              <w:jc w:val="center"/>
              <w:rPr>
                <w:rFonts w:hint="eastAsia"/>
                <w:b/>
                <w:bCs/>
                <w:lang w:eastAsia="zh-CN"/>
              </w:rPr>
            </w:pPr>
          </w:p>
        </w:tc>
        <w:tc>
          <w:tcPr>
            <w:tcW w:w="441" w:type="pct"/>
            <w:vMerge w:val="continue"/>
            <w:vAlign w:val="center"/>
          </w:tcPr>
          <w:p w14:paraId="25C743BA">
            <w:pPr>
              <w:pStyle w:val="11"/>
              <w:bidi w:val="0"/>
              <w:jc w:val="center"/>
              <w:rPr>
                <w:rFonts w:hint="eastAsia"/>
                <w:b/>
                <w:bCs/>
                <w:lang w:eastAsia="zh-CN"/>
              </w:rPr>
            </w:pPr>
          </w:p>
        </w:tc>
        <w:tc>
          <w:tcPr>
            <w:tcW w:w="407" w:type="pct"/>
            <w:vMerge w:val="continue"/>
            <w:vAlign w:val="center"/>
          </w:tcPr>
          <w:p w14:paraId="240E06AA">
            <w:pPr>
              <w:pStyle w:val="11"/>
              <w:bidi w:val="0"/>
              <w:jc w:val="center"/>
              <w:rPr>
                <w:rFonts w:hint="eastAsia"/>
                <w:b/>
                <w:bCs/>
                <w:lang w:eastAsia="zh-CN"/>
              </w:rPr>
            </w:pPr>
          </w:p>
        </w:tc>
        <w:tc>
          <w:tcPr>
            <w:tcW w:w="395" w:type="pct"/>
            <w:vMerge w:val="restart"/>
            <w:vAlign w:val="center"/>
          </w:tcPr>
          <w:p w14:paraId="44916177">
            <w:pPr>
              <w:pStyle w:val="11"/>
              <w:bidi w:val="0"/>
              <w:jc w:val="center"/>
              <w:rPr>
                <w:rFonts w:hint="eastAsia"/>
                <w:b/>
                <w:bCs/>
                <w:lang w:eastAsia="zh-CN"/>
              </w:rPr>
            </w:pPr>
            <w:r>
              <w:rPr>
                <w:rFonts w:hint="eastAsia"/>
                <w:b/>
                <w:bCs/>
              </w:rPr>
              <w:t>合计</w:t>
            </w:r>
          </w:p>
        </w:tc>
        <w:tc>
          <w:tcPr>
            <w:tcW w:w="1515" w:type="pct"/>
            <w:gridSpan w:val="4"/>
            <w:vAlign w:val="center"/>
          </w:tcPr>
          <w:p w14:paraId="2D6F5EC0">
            <w:pPr>
              <w:pStyle w:val="11"/>
              <w:bidi w:val="0"/>
              <w:jc w:val="center"/>
              <w:rPr>
                <w:rFonts w:hint="eastAsia"/>
                <w:b/>
                <w:bCs/>
                <w:lang w:eastAsia="zh-CN"/>
              </w:rPr>
            </w:pPr>
            <w:r>
              <w:rPr>
                <w:rFonts w:hint="eastAsia"/>
                <w:b/>
                <w:bCs/>
              </w:rPr>
              <w:t>卫生技术人员</w:t>
            </w:r>
          </w:p>
        </w:tc>
      </w:tr>
      <w:tr w14:paraId="6054FF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Merge w:val="continue"/>
            <w:vAlign w:val="center"/>
          </w:tcPr>
          <w:p w14:paraId="622E45A6">
            <w:pPr>
              <w:pStyle w:val="11"/>
              <w:bidi w:val="0"/>
              <w:jc w:val="both"/>
              <w:rPr>
                <w:rFonts w:hint="eastAsia"/>
                <w:b/>
                <w:bCs/>
                <w:lang w:eastAsia="zh-CN"/>
              </w:rPr>
            </w:pPr>
          </w:p>
        </w:tc>
        <w:tc>
          <w:tcPr>
            <w:tcW w:w="406" w:type="pct"/>
            <w:vMerge w:val="continue"/>
            <w:vAlign w:val="center"/>
          </w:tcPr>
          <w:p w14:paraId="719C4176">
            <w:pPr>
              <w:pStyle w:val="11"/>
              <w:bidi w:val="0"/>
              <w:jc w:val="center"/>
              <w:rPr>
                <w:rFonts w:hint="eastAsia"/>
                <w:b/>
                <w:bCs/>
                <w:lang w:eastAsia="zh-CN"/>
              </w:rPr>
            </w:pPr>
          </w:p>
        </w:tc>
        <w:tc>
          <w:tcPr>
            <w:tcW w:w="488" w:type="pct"/>
            <w:vMerge w:val="continue"/>
            <w:vAlign w:val="center"/>
          </w:tcPr>
          <w:p w14:paraId="5AE7C69E">
            <w:pPr>
              <w:pStyle w:val="11"/>
              <w:bidi w:val="0"/>
              <w:jc w:val="center"/>
              <w:rPr>
                <w:rFonts w:hint="eastAsia"/>
                <w:b/>
                <w:bCs/>
                <w:lang w:eastAsia="zh-CN"/>
              </w:rPr>
            </w:pPr>
          </w:p>
        </w:tc>
        <w:tc>
          <w:tcPr>
            <w:tcW w:w="441" w:type="pct"/>
            <w:vMerge w:val="continue"/>
            <w:vAlign w:val="center"/>
          </w:tcPr>
          <w:p w14:paraId="0BFC1A97">
            <w:pPr>
              <w:pStyle w:val="11"/>
              <w:bidi w:val="0"/>
              <w:jc w:val="center"/>
              <w:rPr>
                <w:rFonts w:hint="eastAsia"/>
                <w:b/>
                <w:bCs/>
                <w:lang w:eastAsia="zh-CN"/>
              </w:rPr>
            </w:pPr>
          </w:p>
        </w:tc>
        <w:tc>
          <w:tcPr>
            <w:tcW w:w="407" w:type="pct"/>
            <w:vMerge w:val="continue"/>
            <w:vAlign w:val="center"/>
          </w:tcPr>
          <w:p w14:paraId="3DAA768D">
            <w:pPr>
              <w:pStyle w:val="11"/>
              <w:bidi w:val="0"/>
              <w:jc w:val="center"/>
              <w:rPr>
                <w:rFonts w:hint="eastAsia"/>
                <w:b/>
                <w:bCs/>
                <w:lang w:eastAsia="zh-CN"/>
              </w:rPr>
            </w:pPr>
          </w:p>
        </w:tc>
        <w:tc>
          <w:tcPr>
            <w:tcW w:w="395" w:type="pct"/>
            <w:vMerge w:val="continue"/>
            <w:vAlign w:val="center"/>
          </w:tcPr>
          <w:p w14:paraId="167C0A1C">
            <w:pPr>
              <w:pStyle w:val="11"/>
              <w:bidi w:val="0"/>
              <w:jc w:val="center"/>
              <w:rPr>
                <w:rFonts w:hint="eastAsia"/>
                <w:b/>
                <w:bCs/>
                <w:lang w:eastAsia="zh-CN"/>
              </w:rPr>
            </w:pPr>
          </w:p>
        </w:tc>
        <w:tc>
          <w:tcPr>
            <w:tcW w:w="400" w:type="pct"/>
            <w:vMerge w:val="restart"/>
            <w:vAlign w:val="center"/>
          </w:tcPr>
          <w:p w14:paraId="580F76EC">
            <w:pPr>
              <w:pStyle w:val="11"/>
              <w:bidi w:val="0"/>
              <w:jc w:val="center"/>
              <w:rPr>
                <w:rFonts w:hint="eastAsia"/>
                <w:b/>
                <w:bCs/>
                <w:lang w:eastAsia="zh-CN"/>
              </w:rPr>
            </w:pPr>
            <w:r>
              <w:rPr>
                <w:rFonts w:hint="eastAsia"/>
                <w:b/>
                <w:bCs/>
              </w:rPr>
              <w:t>小计</w:t>
            </w:r>
          </w:p>
        </w:tc>
        <w:tc>
          <w:tcPr>
            <w:tcW w:w="762" w:type="pct"/>
            <w:gridSpan w:val="2"/>
            <w:vAlign w:val="center"/>
          </w:tcPr>
          <w:p w14:paraId="12C99172">
            <w:pPr>
              <w:pStyle w:val="11"/>
              <w:bidi w:val="0"/>
              <w:jc w:val="center"/>
              <w:rPr>
                <w:rFonts w:hint="eastAsia"/>
                <w:b/>
                <w:bCs/>
                <w:lang w:eastAsia="zh-CN"/>
              </w:rPr>
            </w:pPr>
            <w:r>
              <w:rPr>
                <w:rFonts w:hint="eastAsia"/>
                <w:b/>
                <w:bCs/>
              </w:rPr>
              <w:t>执业（助理）医师</w:t>
            </w:r>
          </w:p>
        </w:tc>
        <w:tc>
          <w:tcPr>
            <w:tcW w:w="352" w:type="pct"/>
            <w:vAlign w:val="center"/>
          </w:tcPr>
          <w:p w14:paraId="023590E8">
            <w:pPr>
              <w:pStyle w:val="11"/>
              <w:bidi w:val="0"/>
              <w:jc w:val="center"/>
              <w:rPr>
                <w:rFonts w:hint="eastAsia"/>
                <w:b/>
                <w:bCs/>
                <w:lang w:eastAsia="zh-CN"/>
              </w:rPr>
            </w:pPr>
            <w:r>
              <w:rPr>
                <w:rFonts w:hint="eastAsia"/>
                <w:b/>
                <w:bCs/>
              </w:rPr>
              <w:t>注册护士</w:t>
            </w:r>
          </w:p>
        </w:tc>
      </w:tr>
      <w:tr w14:paraId="6F3531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Merge w:val="continue"/>
            <w:vAlign w:val="center"/>
          </w:tcPr>
          <w:p w14:paraId="2D0B3CE2">
            <w:pPr>
              <w:pStyle w:val="11"/>
              <w:bidi w:val="0"/>
              <w:jc w:val="both"/>
              <w:rPr>
                <w:rFonts w:hint="eastAsia"/>
                <w:b/>
                <w:bCs/>
                <w:lang w:eastAsia="zh-CN"/>
              </w:rPr>
            </w:pPr>
          </w:p>
        </w:tc>
        <w:tc>
          <w:tcPr>
            <w:tcW w:w="406" w:type="pct"/>
            <w:vMerge w:val="continue"/>
            <w:vAlign w:val="center"/>
          </w:tcPr>
          <w:p w14:paraId="3CA91083">
            <w:pPr>
              <w:pStyle w:val="11"/>
              <w:bidi w:val="0"/>
              <w:jc w:val="center"/>
              <w:rPr>
                <w:rFonts w:hint="eastAsia"/>
                <w:b/>
                <w:bCs/>
                <w:lang w:eastAsia="zh-CN"/>
              </w:rPr>
            </w:pPr>
          </w:p>
        </w:tc>
        <w:tc>
          <w:tcPr>
            <w:tcW w:w="488" w:type="pct"/>
            <w:vMerge w:val="continue"/>
            <w:vAlign w:val="center"/>
          </w:tcPr>
          <w:p w14:paraId="793C668F">
            <w:pPr>
              <w:pStyle w:val="11"/>
              <w:bidi w:val="0"/>
              <w:jc w:val="center"/>
              <w:rPr>
                <w:rFonts w:hint="eastAsia"/>
                <w:b/>
                <w:bCs/>
                <w:lang w:eastAsia="zh-CN"/>
              </w:rPr>
            </w:pPr>
          </w:p>
        </w:tc>
        <w:tc>
          <w:tcPr>
            <w:tcW w:w="441" w:type="pct"/>
            <w:vMerge w:val="continue"/>
            <w:vAlign w:val="center"/>
          </w:tcPr>
          <w:p w14:paraId="28D07C83">
            <w:pPr>
              <w:pStyle w:val="11"/>
              <w:bidi w:val="0"/>
              <w:jc w:val="center"/>
              <w:rPr>
                <w:rFonts w:hint="eastAsia"/>
                <w:b/>
                <w:bCs/>
                <w:lang w:eastAsia="zh-CN"/>
              </w:rPr>
            </w:pPr>
          </w:p>
        </w:tc>
        <w:tc>
          <w:tcPr>
            <w:tcW w:w="407" w:type="pct"/>
            <w:vMerge w:val="continue"/>
            <w:vAlign w:val="center"/>
          </w:tcPr>
          <w:p w14:paraId="283C6C5B">
            <w:pPr>
              <w:pStyle w:val="11"/>
              <w:bidi w:val="0"/>
              <w:jc w:val="center"/>
              <w:rPr>
                <w:rFonts w:hint="eastAsia"/>
                <w:b/>
                <w:bCs/>
                <w:lang w:eastAsia="zh-CN"/>
              </w:rPr>
            </w:pPr>
          </w:p>
        </w:tc>
        <w:tc>
          <w:tcPr>
            <w:tcW w:w="395" w:type="pct"/>
            <w:vMerge w:val="continue"/>
            <w:vAlign w:val="center"/>
          </w:tcPr>
          <w:p w14:paraId="0B6690B5">
            <w:pPr>
              <w:pStyle w:val="11"/>
              <w:bidi w:val="0"/>
              <w:jc w:val="center"/>
              <w:rPr>
                <w:rFonts w:hint="eastAsia"/>
                <w:b/>
                <w:bCs/>
                <w:lang w:eastAsia="zh-CN"/>
              </w:rPr>
            </w:pPr>
          </w:p>
        </w:tc>
        <w:tc>
          <w:tcPr>
            <w:tcW w:w="400" w:type="pct"/>
            <w:vMerge w:val="continue"/>
            <w:vAlign w:val="center"/>
          </w:tcPr>
          <w:p w14:paraId="0FC9A42C">
            <w:pPr>
              <w:pStyle w:val="11"/>
              <w:bidi w:val="0"/>
              <w:jc w:val="center"/>
              <w:rPr>
                <w:rFonts w:hint="eastAsia"/>
                <w:b/>
                <w:bCs/>
                <w:lang w:eastAsia="zh-CN"/>
              </w:rPr>
            </w:pPr>
          </w:p>
        </w:tc>
        <w:tc>
          <w:tcPr>
            <w:tcW w:w="372" w:type="pct"/>
            <w:vAlign w:val="center"/>
          </w:tcPr>
          <w:p w14:paraId="32B7EEB9">
            <w:pPr>
              <w:pStyle w:val="11"/>
              <w:bidi w:val="0"/>
              <w:jc w:val="center"/>
              <w:rPr>
                <w:rFonts w:hint="eastAsia"/>
                <w:b/>
                <w:bCs/>
                <w:lang w:eastAsia="zh-CN"/>
              </w:rPr>
            </w:pPr>
          </w:p>
        </w:tc>
        <w:tc>
          <w:tcPr>
            <w:tcW w:w="389" w:type="pct"/>
            <w:vAlign w:val="center"/>
          </w:tcPr>
          <w:p w14:paraId="04BE0D3B">
            <w:pPr>
              <w:pStyle w:val="11"/>
              <w:bidi w:val="0"/>
              <w:jc w:val="center"/>
              <w:rPr>
                <w:rFonts w:hint="eastAsia"/>
                <w:b/>
                <w:bCs/>
                <w:lang w:eastAsia="zh-CN"/>
              </w:rPr>
            </w:pPr>
            <w:r>
              <w:rPr>
                <w:rFonts w:hint="eastAsia"/>
                <w:b/>
                <w:bCs/>
              </w:rPr>
              <w:t>执业医师</w:t>
            </w:r>
          </w:p>
        </w:tc>
        <w:tc>
          <w:tcPr>
            <w:tcW w:w="352" w:type="pct"/>
            <w:vAlign w:val="center"/>
          </w:tcPr>
          <w:p w14:paraId="2B1E42BB">
            <w:pPr>
              <w:pStyle w:val="11"/>
              <w:bidi w:val="0"/>
              <w:jc w:val="center"/>
              <w:rPr>
                <w:rFonts w:hint="eastAsia"/>
                <w:b/>
                <w:bCs/>
                <w:lang w:eastAsia="zh-CN"/>
              </w:rPr>
            </w:pPr>
          </w:p>
        </w:tc>
      </w:tr>
      <w:tr w14:paraId="225671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390A5FD7">
            <w:pPr>
              <w:pStyle w:val="11"/>
              <w:bidi w:val="0"/>
              <w:jc w:val="both"/>
              <w:rPr>
                <w:rFonts w:hint="eastAsia"/>
                <w:lang w:eastAsia="zh-CN"/>
              </w:rPr>
            </w:pPr>
            <w:r>
              <w:rPr>
                <w:rFonts w:hint="eastAsia"/>
              </w:rPr>
              <w:t>总计</w:t>
            </w:r>
          </w:p>
        </w:tc>
        <w:tc>
          <w:tcPr>
            <w:tcW w:w="406" w:type="pct"/>
            <w:vAlign w:val="center"/>
          </w:tcPr>
          <w:p w14:paraId="7B997439">
            <w:pPr>
              <w:pStyle w:val="11"/>
              <w:bidi w:val="0"/>
              <w:jc w:val="center"/>
              <w:rPr>
                <w:rFonts w:hint="eastAsia"/>
                <w:lang w:eastAsia="zh-CN"/>
              </w:rPr>
            </w:pPr>
            <w:r>
              <w:rPr>
                <w:rFonts w:hint="eastAsia"/>
              </w:rPr>
              <w:t>361</w:t>
            </w:r>
          </w:p>
        </w:tc>
        <w:tc>
          <w:tcPr>
            <w:tcW w:w="488" w:type="pct"/>
            <w:vAlign w:val="center"/>
          </w:tcPr>
          <w:p w14:paraId="5B318E03">
            <w:pPr>
              <w:pStyle w:val="11"/>
              <w:bidi w:val="0"/>
              <w:jc w:val="center"/>
              <w:rPr>
                <w:rFonts w:hint="eastAsia"/>
                <w:lang w:eastAsia="zh-CN"/>
              </w:rPr>
            </w:pPr>
            <w:r>
              <w:rPr>
                <w:rFonts w:hint="eastAsia"/>
              </w:rPr>
              <w:t>1463</w:t>
            </w:r>
          </w:p>
        </w:tc>
        <w:tc>
          <w:tcPr>
            <w:tcW w:w="441" w:type="pct"/>
            <w:vAlign w:val="center"/>
          </w:tcPr>
          <w:p w14:paraId="335519E4">
            <w:pPr>
              <w:pStyle w:val="11"/>
              <w:bidi w:val="0"/>
              <w:jc w:val="center"/>
              <w:rPr>
                <w:rFonts w:hint="eastAsia"/>
                <w:lang w:eastAsia="zh-CN"/>
              </w:rPr>
            </w:pPr>
            <w:r>
              <w:rPr>
                <w:rFonts w:hint="eastAsia"/>
              </w:rPr>
              <w:t>1447</w:t>
            </w:r>
          </w:p>
        </w:tc>
        <w:tc>
          <w:tcPr>
            <w:tcW w:w="407" w:type="pct"/>
            <w:vAlign w:val="center"/>
          </w:tcPr>
          <w:p w14:paraId="2CD8688C">
            <w:pPr>
              <w:pStyle w:val="11"/>
              <w:bidi w:val="0"/>
              <w:jc w:val="center"/>
              <w:rPr>
                <w:rFonts w:hint="eastAsia"/>
                <w:lang w:eastAsia="zh-CN"/>
              </w:rPr>
            </w:pPr>
            <w:r>
              <w:rPr>
                <w:rFonts w:hint="eastAsia"/>
              </w:rPr>
              <w:t>1655</w:t>
            </w:r>
          </w:p>
        </w:tc>
        <w:tc>
          <w:tcPr>
            <w:tcW w:w="395" w:type="pct"/>
            <w:vAlign w:val="center"/>
          </w:tcPr>
          <w:p w14:paraId="53C76496">
            <w:pPr>
              <w:pStyle w:val="11"/>
              <w:bidi w:val="0"/>
              <w:jc w:val="center"/>
              <w:rPr>
                <w:rFonts w:hint="eastAsia"/>
                <w:lang w:eastAsia="zh-CN"/>
              </w:rPr>
            </w:pPr>
            <w:r>
              <w:rPr>
                <w:rFonts w:hint="eastAsia"/>
              </w:rPr>
              <w:t>2749</w:t>
            </w:r>
          </w:p>
        </w:tc>
        <w:tc>
          <w:tcPr>
            <w:tcW w:w="400" w:type="pct"/>
            <w:vAlign w:val="center"/>
          </w:tcPr>
          <w:p w14:paraId="558E3E8F">
            <w:pPr>
              <w:pStyle w:val="11"/>
              <w:bidi w:val="0"/>
              <w:jc w:val="center"/>
              <w:rPr>
                <w:rFonts w:hint="eastAsia"/>
                <w:lang w:eastAsia="zh-CN"/>
              </w:rPr>
            </w:pPr>
            <w:r>
              <w:rPr>
                <w:rFonts w:hint="eastAsia"/>
              </w:rPr>
              <w:t>2225</w:t>
            </w:r>
          </w:p>
        </w:tc>
        <w:tc>
          <w:tcPr>
            <w:tcW w:w="372" w:type="pct"/>
            <w:vAlign w:val="center"/>
          </w:tcPr>
          <w:p w14:paraId="69379A55">
            <w:pPr>
              <w:pStyle w:val="11"/>
              <w:bidi w:val="0"/>
              <w:jc w:val="center"/>
              <w:rPr>
                <w:rFonts w:hint="eastAsia"/>
                <w:lang w:eastAsia="zh-CN"/>
              </w:rPr>
            </w:pPr>
            <w:r>
              <w:rPr>
                <w:rFonts w:hint="eastAsia"/>
              </w:rPr>
              <w:t>846</w:t>
            </w:r>
          </w:p>
        </w:tc>
        <w:tc>
          <w:tcPr>
            <w:tcW w:w="389" w:type="pct"/>
            <w:vAlign w:val="center"/>
          </w:tcPr>
          <w:p w14:paraId="0E6901AF">
            <w:pPr>
              <w:pStyle w:val="11"/>
              <w:bidi w:val="0"/>
              <w:jc w:val="center"/>
              <w:rPr>
                <w:rFonts w:hint="eastAsia"/>
                <w:lang w:eastAsia="zh-CN"/>
              </w:rPr>
            </w:pPr>
            <w:r>
              <w:rPr>
                <w:rFonts w:hint="eastAsia"/>
              </w:rPr>
              <w:t>588</w:t>
            </w:r>
          </w:p>
        </w:tc>
        <w:tc>
          <w:tcPr>
            <w:tcW w:w="352" w:type="pct"/>
            <w:vAlign w:val="center"/>
          </w:tcPr>
          <w:p w14:paraId="3D90E744">
            <w:pPr>
              <w:pStyle w:val="11"/>
              <w:bidi w:val="0"/>
              <w:jc w:val="center"/>
              <w:rPr>
                <w:rFonts w:hint="eastAsia"/>
                <w:lang w:eastAsia="zh-CN"/>
              </w:rPr>
            </w:pPr>
            <w:r>
              <w:rPr>
                <w:rFonts w:hint="eastAsia"/>
              </w:rPr>
              <w:t>998</w:t>
            </w:r>
          </w:p>
        </w:tc>
      </w:tr>
      <w:tr w14:paraId="2FD7E0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550BB22F">
            <w:pPr>
              <w:pStyle w:val="11"/>
              <w:bidi w:val="0"/>
              <w:jc w:val="both"/>
              <w:rPr>
                <w:rFonts w:hint="eastAsia"/>
                <w:lang w:eastAsia="zh-CN"/>
              </w:rPr>
            </w:pPr>
            <w:r>
              <w:rPr>
                <w:rFonts w:hint="eastAsia"/>
              </w:rPr>
              <w:t>一、医院</w:t>
            </w:r>
          </w:p>
        </w:tc>
        <w:tc>
          <w:tcPr>
            <w:tcW w:w="406" w:type="pct"/>
            <w:vAlign w:val="center"/>
          </w:tcPr>
          <w:p w14:paraId="40F60F60">
            <w:pPr>
              <w:pStyle w:val="11"/>
              <w:bidi w:val="0"/>
              <w:jc w:val="center"/>
              <w:rPr>
                <w:rFonts w:hint="eastAsia"/>
                <w:lang w:eastAsia="zh-CN"/>
              </w:rPr>
            </w:pPr>
            <w:r>
              <w:rPr>
                <w:rFonts w:hint="eastAsia"/>
              </w:rPr>
              <w:t>2</w:t>
            </w:r>
          </w:p>
        </w:tc>
        <w:tc>
          <w:tcPr>
            <w:tcW w:w="488" w:type="pct"/>
            <w:vAlign w:val="center"/>
          </w:tcPr>
          <w:p w14:paraId="6C71AD4B">
            <w:pPr>
              <w:pStyle w:val="11"/>
              <w:bidi w:val="0"/>
              <w:jc w:val="center"/>
              <w:rPr>
                <w:rFonts w:hint="eastAsia"/>
                <w:lang w:eastAsia="zh-CN"/>
              </w:rPr>
            </w:pPr>
            <w:r>
              <w:rPr>
                <w:rFonts w:hint="eastAsia"/>
              </w:rPr>
              <w:t>750</w:t>
            </w:r>
          </w:p>
        </w:tc>
        <w:tc>
          <w:tcPr>
            <w:tcW w:w="441" w:type="pct"/>
            <w:vAlign w:val="center"/>
          </w:tcPr>
          <w:p w14:paraId="0B346097">
            <w:pPr>
              <w:pStyle w:val="11"/>
              <w:bidi w:val="0"/>
              <w:jc w:val="center"/>
              <w:rPr>
                <w:rFonts w:hint="eastAsia"/>
                <w:lang w:eastAsia="zh-CN"/>
              </w:rPr>
            </w:pPr>
            <w:r>
              <w:rPr>
                <w:rFonts w:hint="eastAsia"/>
              </w:rPr>
              <w:t>810</w:t>
            </w:r>
          </w:p>
        </w:tc>
        <w:tc>
          <w:tcPr>
            <w:tcW w:w="407" w:type="pct"/>
            <w:vAlign w:val="center"/>
          </w:tcPr>
          <w:p w14:paraId="5D519222">
            <w:pPr>
              <w:pStyle w:val="11"/>
              <w:bidi w:val="0"/>
              <w:jc w:val="center"/>
              <w:rPr>
                <w:rFonts w:hint="eastAsia"/>
                <w:lang w:eastAsia="zh-CN"/>
              </w:rPr>
            </w:pPr>
            <w:r>
              <w:rPr>
                <w:rFonts w:hint="eastAsia"/>
              </w:rPr>
              <w:t>710</w:t>
            </w:r>
          </w:p>
        </w:tc>
        <w:tc>
          <w:tcPr>
            <w:tcW w:w="395" w:type="pct"/>
            <w:vAlign w:val="center"/>
          </w:tcPr>
          <w:p w14:paraId="79170530">
            <w:pPr>
              <w:pStyle w:val="11"/>
              <w:bidi w:val="0"/>
              <w:jc w:val="center"/>
              <w:rPr>
                <w:rFonts w:hint="eastAsia"/>
                <w:lang w:eastAsia="zh-CN"/>
              </w:rPr>
            </w:pPr>
            <w:r>
              <w:rPr>
                <w:rFonts w:hint="eastAsia"/>
              </w:rPr>
              <w:t>1136</w:t>
            </w:r>
          </w:p>
        </w:tc>
        <w:tc>
          <w:tcPr>
            <w:tcW w:w="400" w:type="pct"/>
            <w:vAlign w:val="center"/>
          </w:tcPr>
          <w:p w14:paraId="33F1E3A2">
            <w:pPr>
              <w:pStyle w:val="11"/>
              <w:bidi w:val="0"/>
              <w:jc w:val="center"/>
              <w:rPr>
                <w:rFonts w:hint="eastAsia"/>
                <w:lang w:eastAsia="zh-CN"/>
              </w:rPr>
            </w:pPr>
            <w:r>
              <w:rPr>
                <w:rFonts w:hint="eastAsia"/>
              </w:rPr>
              <w:t>1009</w:t>
            </w:r>
          </w:p>
        </w:tc>
        <w:tc>
          <w:tcPr>
            <w:tcW w:w="372" w:type="pct"/>
            <w:vAlign w:val="center"/>
          </w:tcPr>
          <w:p w14:paraId="3D6E7A41">
            <w:pPr>
              <w:pStyle w:val="11"/>
              <w:bidi w:val="0"/>
              <w:jc w:val="center"/>
              <w:rPr>
                <w:rFonts w:hint="eastAsia"/>
                <w:lang w:eastAsia="zh-CN"/>
              </w:rPr>
            </w:pPr>
            <w:r>
              <w:rPr>
                <w:rFonts w:hint="eastAsia"/>
              </w:rPr>
              <w:t>328</w:t>
            </w:r>
          </w:p>
        </w:tc>
        <w:tc>
          <w:tcPr>
            <w:tcW w:w="389" w:type="pct"/>
            <w:vAlign w:val="center"/>
          </w:tcPr>
          <w:p w14:paraId="54D4AA0A">
            <w:pPr>
              <w:pStyle w:val="11"/>
              <w:bidi w:val="0"/>
              <w:jc w:val="center"/>
              <w:rPr>
                <w:rFonts w:hint="eastAsia"/>
                <w:lang w:eastAsia="zh-CN"/>
              </w:rPr>
            </w:pPr>
            <w:r>
              <w:rPr>
                <w:rFonts w:hint="eastAsia"/>
              </w:rPr>
              <w:t>304</w:t>
            </w:r>
          </w:p>
        </w:tc>
        <w:tc>
          <w:tcPr>
            <w:tcW w:w="352" w:type="pct"/>
            <w:vAlign w:val="center"/>
          </w:tcPr>
          <w:p w14:paraId="31B69581">
            <w:pPr>
              <w:pStyle w:val="11"/>
              <w:bidi w:val="0"/>
              <w:jc w:val="center"/>
              <w:rPr>
                <w:rFonts w:hint="eastAsia"/>
                <w:lang w:eastAsia="zh-CN"/>
              </w:rPr>
            </w:pPr>
            <w:r>
              <w:rPr>
                <w:rFonts w:hint="eastAsia"/>
              </w:rPr>
              <w:t>543</w:t>
            </w:r>
          </w:p>
        </w:tc>
      </w:tr>
      <w:tr w14:paraId="286CEA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0326F773">
            <w:pPr>
              <w:pStyle w:val="11"/>
              <w:bidi w:val="0"/>
              <w:ind w:leftChars="100"/>
              <w:jc w:val="both"/>
              <w:rPr>
                <w:rFonts w:hint="eastAsia"/>
                <w:lang w:eastAsia="zh-CN"/>
              </w:rPr>
            </w:pPr>
            <w:r>
              <w:rPr>
                <w:rFonts w:hint="eastAsia"/>
              </w:rPr>
              <w:t>综合医院</w:t>
            </w:r>
          </w:p>
        </w:tc>
        <w:tc>
          <w:tcPr>
            <w:tcW w:w="406" w:type="pct"/>
            <w:vAlign w:val="center"/>
          </w:tcPr>
          <w:p w14:paraId="4B0C04ED">
            <w:pPr>
              <w:pStyle w:val="11"/>
              <w:bidi w:val="0"/>
              <w:jc w:val="center"/>
              <w:rPr>
                <w:rFonts w:hint="eastAsia"/>
                <w:lang w:eastAsia="zh-CN"/>
              </w:rPr>
            </w:pPr>
            <w:r>
              <w:rPr>
                <w:rFonts w:hint="eastAsia"/>
              </w:rPr>
              <w:t>1</w:t>
            </w:r>
          </w:p>
        </w:tc>
        <w:tc>
          <w:tcPr>
            <w:tcW w:w="488" w:type="pct"/>
            <w:vAlign w:val="center"/>
          </w:tcPr>
          <w:p w14:paraId="10340979">
            <w:pPr>
              <w:pStyle w:val="11"/>
              <w:bidi w:val="0"/>
              <w:jc w:val="center"/>
              <w:rPr>
                <w:rFonts w:hint="eastAsia"/>
                <w:lang w:eastAsia="zh-CN"/>
              </w:rPr>
            </w:pPr>
            <w:r>
              <w:rPr>
                <w:rFonts w:hint="eastAsia"/>
              </w:rPr>
              <w:t>500</w:t>
            </w:r>
          </w:p>
        </w:tc>
        <w:tc>
          <w:tcPr>
            <w:tcW w:w="441" w:type="pct"/>
            <w:vAlign w:val="center"/>
          </w:tcPr>
          <w:p w14:paraId="3A3F4F2D">
            <w:pPr>
              <w:pStyle w:val="11"/>
              <w:bidi w:val="0"/>
              <w:jc w:val="center"/>
              <w:rPr>
                <w:rFonts w:hint="eastAsia"/>
                <w:lang w:eastAsia="zh-CN"/>
              </w:rPr>
            </w:pPr>
            <w:r>
              <w:rPr>
                <w:rFonts w:hint="eastAsia"/>
              </w:rPr>
              <w:t>541</w:t>
            </w:r>
          </w:p>
        </w:tc>
        <w:tc>
          <w:tcPr>
            <w:tcW w:w="407" w:type="pct"/>
            <w:vAlign w:val="center"/>
          </w:tcPr>
          <w:p w14:paraId="5C85FD67">
            <w:pPr>
              <w:pStyle w:val="11"/>
              <w:bidi w:val="0"/>
              <w:jc w:val="center"/>
              <w:rPr>
                <w:rFonts w:hint="eastAsia"/>
                <w:lang w:eastAsia="zh-CN"/>
              </w:rPr>
            </w:pPr>
            <w:r>
              <w:rPr>
                <w:rFonts w:hint="eastAsia"/>
              </w:rPr>
              <w:t>450</w:t>
            </w:r>
          </w:p>
        </w:tc>
        <w:tc>
          <w:tcPr>
            <w:tcW w:w="395" w:type="pct"/>
            <w:vAlign w:val="center"/>
          </w:tcPr>
          <w:p w14:paraId="20BC106A">
            <w:pPr>
              <w:pStyle w:val="11"/>
              <w:bidi w:val="0"/>
              <w:jc w:val="center"/>
              <w:rPr>
                <w:rFonts w:hint="eastAsia"/>
                <w:lang w:eastAsia="zh-CN"/>
              </w:rPr>
            </w:pPr>
            <w:r>
              <w:rPr>
                <w:rFonts w:hint="eastAsia"/>
              </w:rPr>
              <w:t>707</w:t>
            </w:r>
          </w:p>
        </w:tc>
        <w:tc>
          <w:tcPr>
            <w:tcW w:w="400" w:type="pct"/>
            <w:vAlign w:val="center"/>
          </w:tcPr>
          <w:p w14:paraId="2C708B00">
            <w:pPr>
              <w:pStyle w:val="11"/>
              <w:bidi w:val="0"/>
              <w:jc w:val="center"/>
              <w:rPr>
                <w:rFonts w:hint="eastAsia"/>
                <w:lang w:eastAsia="zh-CN"/>
              </w:rPr>
            </w:pPr>
            <w:r>
              <w:rPr>
                <w:rFonts w:hint="eastAsia"/>
              </w:rPr>
              <w:t>655</w:t>
            </w:r>
          </w:p>
        </w:tc>
        <w:tc>
          <w:tcPr>
            <w:tcW w:w="372" w:type="pct"/>
            <w:vAlign w:val="center"/>
          </w:tcPr>
          <w:p w14:paraId="0560D79B">
            <w:pPr>
              <w:pStyle w:val="11"/>
              <w:bidi w:val="0"/>
              <w:jc w:val="center"/>
              <w:rPr>
                <w:rFonts w:hint="eastAsia"/>
                <w:lang w:eastAsia="zh-CN"/>
              </w:rPr>
            </w:pPr>
            <w:r>
              <w:rPr>
                <w:rFonts w:hint="eastAsia"/>
              </w:rPr>
              <w:t>194</w:t>
            </w:r>
          </w:p>
        </w:tc>
        <w:tc>
          <w:tcPr>
            <w:tcW w:w="389" w:type="pct"/>
            <w:vAlign w:val="center"/>
          </w:tcPr>
          <w:p w14:paraId="3FD32615">
            <w:pPr>
              <w:pStyle w:val="11"/>
              <w:bidi w:val="0"/>
              <w:jc w:val="center"/>
              <w:rPr>
                <w:rFonts w:hint="eastAsia"/>
                <w:lang w:eastAsia="zh-CN"/>
              </w:rPr>
            </w:pPr>
            <w:r>
              <w:rPr>
                <w:rFonts w:hint="eastAsia"/>
              </w:rPr>
              <w:t>183</w:t>
            </w:r>
          </w:p>
        </w:tc>
        <w:tc>
          <w:tcPr>
            <w:tcW w:w="352" w:type="pct"/>
            <w:vAlign w:val="center"/>
          </w:tcPr>
          <w:p w14:paraId="4C55CB50">
            <w:pPr>
              <w:pStyle w:val="11"/>
              <w:bidi w:val="0"/>
              <w:jc w:val="center"/>
              <w:rPr>
                <w:rFonts w:hint="eastAsia"/>
                <w:lang w:eastAsia="zh-CN"/>
              </w:rPr>
            </w:pPr>
            <w:r>
              <w:rPr>
                <w:rFonts w:hint="eastAsia"/>
              </w:rPr>
              <w:t>392</w:t>
            </w:r>
          </w:p>
        </w:tc>
      </w:tr>
      <w:tr w14:paraId="0D7CDE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1A6654CD">
            <w:pPr>
              <w:pStyle w:val="11"/>
              <w:bidi w:val="0"/>
              <w:ind w:leftChars="100"/>
              <w:jc w:val="both"/>
              <w:rPr>
                <w:rFonts w:hint="eastAsia"/>
                <w:lang w:eastAsia="zh-CN"/>
              </w:rPr>
            </w:pPr>
            <w:r>
              <w:rPr>
                <w:rFonts w:hint="eastAsia"/>
              </w:rPr>
              <w:t>中医医院</w:t>
            </w:r>
          </w:p>
        </w:tc>
        <w:tc>
          <w:tcPr>
            <w:tcW w:w="406" w:type="pct"/>
            <w:vAlign w:val="center"/>
          </w:tcPr>
          <w:p w14:paraId="7FE4256D">
            <w:pPr>
              <w:pStyle w:val="11"/>
              <w:bidi w:val="0"/>
              <w:jc w:val="center"/>
              <w:rPr>
                <w:rFonts w:hint="eastAsia"/>
                <w:lang w:eastAsia="zh-CN"/>
              </w:rPr>
            </w:pPr>
            <w:r>
              <w:rPr>
                <w:rFonts w:hint="eastAsia"/>
              </w:rPr>
              <w:t>1</w:t>
            </w:r>
          </w:p>
        </w:tc>
        <w:tc>
          <w:tcPr>
            <w:tcW w:w="488" w:type="pct"/>
            <w:vAlign w:val="center"/>
          </w:tcPr>
          <w:p w14:paraId="3BFF5441">
            <w:pPr>
              <w:pStyle w:val="11"/>
              <w:bidi w:val="0"/>
              <w:jc w:val="center"/>
              <w:rPr>
                <w:rFonts w:hint="eastAsia"/>
                <w:lang w:eastAsia="zh-CN"/>
              </w:rPr>
            </w:pPr>
            <w:r>
              <w:rPr>
                <w:rFonts w:hint="eastAsia"/>
              </w:rPr>
              <w:t>250</w:t>
            </w:r>
          </w:p>
        </w:tc>
        <w:tc>
          <w:tcPr>
            <w:tcW w:w="441" w:type="pct"/>
            <w:vAlign w:val="center"/>
          </w:tcPr>
          <w:p w14:paraId="28356FA5">
            <w:pPr>
              <w:pStyle w:val="11"/>
              <w:bidi w:val="0"/>
              <w:jc w:val="center"/>
              <w:rPr>
                <w:rFonts w:hint="eastAsia"/>
                <w:lang w:eastAsia="zh-CN"/>
              </w:rPr>
            </w:pPr>
            <w:r>
              <w:rPr>
                <w:rFonts w:hint="eastAsia"/>
              </w:rPr>
              <w:t>269</w:t>
            </w:r>
          </w:p>
        </w:tc>
        <w:tc>
          <w:tcPr>
            <w:tcW w:w="407" w:type="pct"/>
            <w:vAlign w:val="center"/>
          </w:tcPr>
          <w:p w14:paraId="269576AB">
            <w:pPr>
              <w:pStyle w:val="11"/>
              <w:bidi w:val="0"/>
              <w:jc w:val="center"/>
              <w:rPr>
                <w:rFonts w:hint="eastAsia"/>
                <w:lang w:eastAsia="zh-CN"/>
              </w:rPr>
            </w:pPr>
            <w:r>
              <w:rPr>
                <w:rFonts w:hint="eastAsia"/>
              </w:rPr>
              <w:t>260</w:t>
            </w:r>
          </w:p>
        </w:tc>
        <w:tc>
          <w:tcPr>
            <w:tcW w:w="395" w:type="pct"/>
            <w:vAlign w:val="center"/>
          </w:tcPr>
          <w:p w14:paraId="029AF152">
            <w:pPr>
              <w:pStyle w:val="11"/>
              <w:bidi w:val="0"/>
              <w:jc w:val="center"/>
              <w:rPr>
                <w:rFonts w:hint="eastAsia"/>
                <w:lang w:eastAsia="zh-CN"/>
              </w:rPr>
            </w:pPr>
            <w:r>
              <w:rPr>
                <w:rFonts w:hint="eastAsia"/>
              </w:rPr>
              <w:t>429</w:t>
            </w:r>
          </w:p>
        </w:tc>
        <w:tc>
          <w:tcPr>
            <w:tcW w:w="400" w:type="pct"/>
            <w:vAlign w:val="center"/>
          </w:tcPr>
          <w:p w14:paraId="4A751CDE">
            <w:pPr>
              <w:pStyle w:val="11"/>
              <w:bidi w:val="0"/>
              <w:jc w:val="center"/>
              <w:rPr>
                <w:rFonts w:hint="eastAsia"/>
                <w:lang w:eastAsia="zh-CN"/>
              </w:rPr>
            </w:pPr>
            <w:r>
              <w:rPr>
                <w:rFonts w:hint="eastAsia"/>
              </w:rPr>
              <w:t>354</w:t>
            </w:r>
          </w:p>
        </w:tc>
        <w:tc>
          <w:tcPr>
            <w:tcW w:w="372" w:type="pct"/>
            <w:vAlign w:val="center"/>
          </w:tcPr>
          <w:p w14:paraId="0C542282">
            <w:pPr>
              <w:pStyle w:val="11"/>
              <w:bidi w:val="0"/>
              <w:jc w:val="center"/>
              <w:rPr>
                <w:rFonts w:hint="eastAsia"/>
                <w:lang w:eastAsia="zh-CN"/>
              </w:rPr>
            </w:pPr>
            <w:r>
              <w:rPr>
                <w:rFonts w:hint="eastAsia"/>
              </w:rPr>
              <w:t>134</w:t>
            </w:r>
          </w:p>
        </w:tc>
        <w:tc>
          <w:tcPr>
            <w:tcW w:w="389" w:type="pct"/>
            <w:vAlign w:val="center"/>
          </w:tcPr>
          <w:p w14:paraId="67DC2821">
            <w:pPr>
              <w:pStyle w:val="11"/>
              <w:bidi w:val="0"/>
              <w:jc w:val="center"/>
              <w:rPr>
                <w:rFonts w:hint="eastAsia"/>
                <w:lang w:eastAsia="zh-CN"/>
              </w:rPr>
            </w:pPr>
            <w:r>
              <w:rPr>
                <w:rFonts w:hint="eastAsia"/>
              </w:rPr>
              <w:t>121</w:t>
            </w:r>
          </w:p>
        </w:tc>
        <w:tc>
          <w:tcPr>
            <w:tcW w:w="352" w:type="pct"/>
            <w:vAlign w:val="center"/>
          </w:tcPr>
          <w:p w14:paraId="3855F215">
            <w:pPr>
              <w:pStyle w:val="11"/>
              <w:bidi w:val="0"/>
              <w:jc w:val="center"/>
              <w:rPr>
                <w:rFonts w:hint="eastAsia"/>
                <w:lang w:eastAsia="zh-CN"/>
              </w:rPr>
            </w:pPr>
            <w:r>
              <w:rPr>
                <w:rFonts w:hint="eastAsia"/>
              </w:rPr>
              <w:t>151</w:t>
            </w:r>
          </w:p>
        </w:tc>
      </w:tr>
      <w:tr w14:paraId="461010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4174FC6C">
            <w:pPr>
              <w:pStyle w:val="11"/>
              <w:bidi w:val="0"/>
              <w:jc w:val="both"/>
              <w:rPr>
                <w:rFonts w:hint="eastAsia"/>
                <w:lang w:eastAsia="zh-CN"/>
              </w:rPr>
            </w:pPr>
            <w:r>
              <w:rPr>
                <w:rFonts w:hint="eastAsia"/>
              </w:rPr>
              <w:t>二、基层医疗卫生机构</w:t>
            </w:r>
          </w:p>
        </w:tc>
        <w:tc>
          <w:tcPr>
            <w:tcW w:w="406" w:type="pct"/>
            <w:vAlign w:val="center"/>
          </w:tcPr>
          <w:p w14:paraId="59A14CF3">
            <w:pPr>
              <w:pStyle w:val="11"/>
              <w:bidi w:val="0"/>
              <w:jc w:val="center"/>
              <w:rPr>
                <w:rFonts w:hint="eastAsia"/>
                <w:lang w:eastAsia="zh-CN"/>
              </w:rPr>
            </w:pPr>
            <w:r>
              <w:rPr>
                <w:rFonts w:hint="eastAsia"/>
              </w:rPr>
              <w:t>354</w:t>
            </w:r>
          </w:p>
        </w:tc>
        <w:tc>
          <w:tcPr>
            <w:tcW w:w="488" w:type="pct"/>
            <w:vAlign w:val="center"/>
          </w:tcPr>
          <w:p w14:paraId="625815D5">
            <w:pPr>
              <w:pStyle w:val="11"/>
              <w:bidi w:val="0"/>
              <w:jc w:val="center"/>
              <w:rPr>
                <w:rFonts w:hint="eastAsia"/>
                <w:lang w:eastAsia="zh-CN"/>
              </w:rPr>
            </w:pPr>
            <w:r>
              <w:rPr>
                <w:rFonts w:hint="eastAsia"/>
              </w:rPr>
              <w:t>583</w:t>
            </w:r>
          </w:p>
        </w:tc>
        <w:tc>
          <w:tcPr>
            <w:tcW w:w="441" w:type="pct"/>
            <w:vAlign w:val="center"/>
          </w:tcPr>
          <w:p w14:paraId="0755A992">
            <w:pPr>
              <w:pStyle w:val="11"/>
              <w:bidi w:val="0"/>
              <w:jc w:val="center"/>
              <w:rPr>
                <w:rFonts w:hint="eastAsia"/>
                <w:lang w:eastAsia="zh-CN"/>
              </w:rPr>
            </w:pPr>
            <w:r>
              <w:rPr>
                <w:rFonts w:hint="eastAsia"/>
              </w:rPr>
              <w:t>507</w:t>
            </w:r>
          </w:p>
        </w:tc>
        <w:tc>
          <w:tcPr>
            <w:tcW w:w="407" w:type="pct"/>
            <w:vAlign w:val="center"/>
          </w:tcPr>
          <w:p w14:paraId="2CCB8961">
            <w:pPr>
              <w:pStyle w:val="11"/>
              <w:bidi w:val="0"/>
              <w:jc w:val="center"/>
              <w:rPr>
                <w:rFonts w:hint="eastAsia"/>
                <w:lang w:eastAsia="zh-CN"/>
              </w:rPr>
            </w:pPr>
            <w:r>
              <w:rPr>
                <w:rFonts w:hint="eastAsia"/>
              </w:rPr>
              <w:t>761</w:t>
            </w:r>
          </w:p>
        </w:tc>
        <w:tc>
          <w:tcPr>
            <w:tcW w:w="395" w:type="pct"/>
            <w:vAlign w:val="center"/>
          </w:tcPr>
          <w:p w14:paraId="337492BA">
            <w:pPr>
              <w:pStyle w:val="11"/>
              <w:bidi w:val="0"/>
              <w:jc w:val="center"/>
              <w:rPr>
                <w:rFonts w:hint="eastAsia"/>
                <w:lang w:eastAsia="zh-CN"/>
              </w:rPr>
            </w:pPr>
            <w:r>
              <w:rPr>
                <w:rFonts w:hint="eastAsia"/>
              </w:rPr>
              <w:t>1305</w:t>
            </w:r>
          </w:p>
        </w:tc>
        <w:tc>
          <w:tcPr>
            <w:tcW w:w="400" w:type="pct"/>
            <w:vAlign w:val="center"/>
          </w:tcPr>
          <w:p w14:paraId="76AA2E15">
            <w:pPr>
              <w:pStyle w:val="11"/>
              <w:bidi w:val="0"/>
              <w:jc w:val="center"/>
              <w:rPr>
                <w:rFonts w:hint="eastAsia"/>
                <w:lang w:eastAsia="zh-CN"/>
              </w:rPr>
            </w:pPr>
            <w:r>
              <w:rPr>
                <w:rFonts w:hint="eastAsia"/>
              </w:rPr>
              <w:t>970</w:t>
            </w:r>
          </w:p>
        </w:tc>
        <w:tc>
          <w:tcPr>
            <w:tcW w:w="372" w:type="pct"/>
            <w:vAlign w:val="center"/>
          </w:tcPr>
          <w:p w14:paraId="1033AF65">
            <w:pPr>
              <w:pStyle w:val="11"/>
              <w:bidi w:val="0"/>
              <w:jc w:val="center"/>
              <w:rPr>
                <w:rFonts w:hint="eastAsia"/>
                <w:lang w:eastAsia="zh-CN"/>
              </w:rPr>
            </w:pPr>
            <w:r>
              <w:rPr>
                <w:rFonts w:hint="eastAsia"/>
              </w:rPr>
              <w:t>434</w:t>
            </w:r>
          </w:p>
        </w:tc>
        <w:tc>
          <w:tcPr>
            <w:tcW w:w="389" w:type="pct"/>
            <w:vAlign w:val="center"/>
          </w:tcPr>
          <w:p w14:paraId="761A24AD">
            <w:pPr>
              <w:pStyle w:val="11"/>
              <w:bidi w:val="0"/>
              <w:jc w:val="center"/>
              <w:rPr>
                <w:rFonts w:hint="eastAsia"/>
                <w:lang w:eastAsia="zh-CN"/>
              </w:rPr>
            </w:pPr>
            <w:r>
              <w:rPr>
                <w:rFonts w:hint="eastAsia"/>
              </w:rPr>
              <w:t>218</w:t>
            </w:r>
          </w:p>
        </w:tc>
        <w:tc>
          <w:tcPr>
            <w:tcW w:w="352" w:type="pct"/>
            <w:vAlign w:val="center"/>
          </w:tcPr>
          <w:p w14:paraId="3F5475D9">
            <w:pPr>
              <w:pStyle w:val="11"/>
              <w:bidi w:val="0"/>
              <w:jc w:val="center"/>
              <w:rPr>
                <w:rFonts w:hint="eastAsia"/>
                <w:lang w:eastAsia="zh-CN"/>
              </w:rPr>
            </w:pPr>
            <w:r>
              <w:rPr>
                <w:rFonts w:hint="eastAsia"/>
              </w:rPr>
              <w:t>363</w:t>
            </w:r>
          </w:p>
        </w:tc>
      </w:tr>
      <w:tr w14:paraId="4C75CE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0F6D5976">
            <w:pPr>
              <w:pStyle w:val="11"/>
              <w:bidi w:val="0"/>
              <w:ind w:leftChars="100"/>
              <w:jc w:val="both"/>
              <w:rPr>
                <w:rFonts w:hint="eastAsia"/>
                <w:lang w:eastAsia="zh-CN"/>
              </w:rPr>
            </w:pPr>
            <w:r>
              <w:rPr>
                <w:rFonts w:hint="eastAsia"/>
              </w:rPr>
              <w:t>社区卫生服务中心（站）</w:t>
            </w:r>
          </w:p>
        </w:tc>
        <w:tc>
          <w:tcPr>
            <w:tcW w:w="406" w:type="pct"/>
            <w:vAlign w:val="center"/>
          </w:tcPr>
          <w:p w14:paraId="6B1C99D3">
            <w:pPr>
              <w:pStyle w:val="11"/>
              <w:bidi w:val="0"/>
              <w:jc w:val="center"/>
              <w:rPr>
                <w:rFonts w:hint="eastAsia"/>
                <w:lang w:eastAsia="zh-CN"/>
              </w:rPr>
            </w:pPr>
            <w:r>
              <w:rPr>
                <w:rFonts w:hint="eastAsia"/>
              </w:rPr>
              <w:t>1</w:t>
            </w:r>
          </w:p>
        </w:tc>
        <w:tc>
          <w:tcPr>
            <w:tcW w:w="488" w:type="pct"/>
            <w:vAlign w:val="center"/>
          </w:tcPr>
          <w:p w14:paraId="1F351CD3">
            <w:pPr>
              <w:pStyle w:val="11"/>
              <w:bidi w:val="0"/>
              <w:jc w:val="center"/>
              <w:rPr>
                <w:rFonts w:hint="eastAsia"/>
                <w:lang w:eastAsia="zh-CN"/>
              </w:rPr>
            </w:pPr>
            <w:r>
              <w:rPr>
                <w:rFonts w:hint="eastAsia"/>
              </w:rPr>
              <w:t>50</w:t>
            </w:r>
          </w:p>
        </w:tc>
        <w:tc>
          <w:tcPr>
            <w:tcW w:w="441" w:type="pct"/>
            <w:vAlign w:val="center"/>
          </w:tcPr>
          <w:p w14:paraId="71F3A705">
            <w:pPr>
              <w:pStyle w:val="11"/>
              <w:bidi w:val="0"/>
              <w:jc w:val="center"/>
              <w:rPr>
                <w:rFonts w:hint="eastAsia"/>
                <w:lang w:eastAsia="zh-CN"/>
              </w:rPr>
            </w:pPr>
            <w:r>
              <w:rPr>
                <w:rFonts w:hint="eastAsia"/>
              </w:rPr>
              <w:t>35</w:t>
            </w:r>
          </w:p>
        </w:tc>
        <w:tc>
          <w:tcPr>
            <w:tcW w:w="407" w:type="pct"/>
            <w:vAlign w:val="center"/>
          </w:tcPr>
          <w:p w14:paraId="13E05888">
            <w:pPr>
              <w:pStyle w:val="11"/>
              <w:bidi w:val="0"/>
              <w:jc w:val="center"/>
              <w:rPr>
                <w:rFonts w:hint="eastAsia"/>
                <w:lang w:eastAsia="zh-CN"/>
              </w:rPr>
            </w:pPr>
            <w:r>
              <w:rPr>
                <w:rFonts w:hint="eastAsia"/>
              </w:rPr>
              <w:t>85</w:t>
            </w:r>
          </w:p>
        </w:tc>
        <w:tc>
          <w:tcPr>
            <w:tcW w:w="395" w:type="pct"/>
            <w:vAlign w:val="center"/>
          </w:tcPr>
          <w:p w14:paraId="06F078BC">
            <w:pPr>
              <w:pStyle w:val="11"/>
              <w:bidi w:val="0"/>
              <w:jc w:val="center"/>
              <w:rPr>
                <w:rFonts w:hint="eastAsia"/>
                <w:lang w:eastAsia="zh-CN"/>
              </w:rPr>
            </w:pPr>
            <w:r>
              <w:rPr>
                <w:rFonts w:hint="eastAsia"/>
              </w:rPr>
              <w:t>88</w:t>
            </w:r>
          </w:p>
        </w:tc>
        <w:tc>
          <w:tcPr>
            <w:tcW w:w="400" w:type="pct"/>
            <w:vAlign w:val="center"/>
          </w:tcPr>
          <w:p w14:paraId="1406916F">
            <w:pPr>
              <w:pStyle w:val="11"/>
              <w:bidi w:val="0"/>
              <w:jc w:val="center"/>
              <w:rPr>
                <w:rFonts w:hint="eastAsia"/>
                <w:lang w:eastAsia="zh-CN"/>
              </w:rPr>
            </w:pPr>
            <w:r>
              <w:rPr>
                <w:rFonts w:hint="eastAsia"/>
              </w:rPr>
              <w:t>68</w:t>
            </w:r>
          </w:p>
        </w:tc>
        <w:tc>
          <w:tcPr>
            <w:tcW w:w="372" w:type="pct"/>
            <w:vAlign w:val="center"/>
          </w:tcPr>
          <w:p w14:paraId="7BD9C301">
            <w:pPr>
              <w:pStyle w:val="11"/>
              <w:bidi w:val="0"/>
              <w:jc w:val="center"/>
              <w:rPr>
                <w:rFonts w:hint="eastAsia"/>
                <w:lang w:eastAsia="zh-CN"/>
              </w:rPr>
            </w:pPr>
            <w:r>
              <w:rPr>
                <w:rFonts w:hint="eastAsia"/>
              </w:rPr>
              <w:t>23</w:t>
            </w:r>
          </w:p>
        </w:tc>
        <w:tc>
          <w:tcPr>
            <w:tcW w:w="389" w:type="pct"/>
            <w:vAlign w:val="center"/>
          </w:tcPr>
          <w:p w14:paraId="0467093E">
            <w:pPr>
              <w:pStyle w:val="11"/>
              <w:bidi w:val="0"/>
              <w:jc w:val="center"/>
              <w:rPr>
                <w:rFonts w:hint="eastAsia"/>
                <w:lang w:eastAsia="zh-CN"/>
              </w:rPr>
            </w:pPr>
            <w:r>
              <w:rPr>
                <w:rFonts w:hint="eastAsia"/>
              </w:rPr>
              <w:t>15</w:t>
            </w:r>
          </w:p>
        </w:tc>
        <w:tc>
          <w:tcPr>
            <w:tcW w:w="352" w:type="pct"/>
            <w:vAlign w:val="center"/>
          </w:tcPr>
          <w:p w14:paraId="50CE09DF">
            <w:pPr>
              <w:pStyle w:val="11"/>
              <w:bidi w:val="0"/>
              <w:jc w:val="center"/>
              <w:rPr>
                <w:rFonts w:hint="eastAsia"/>
                <w:lang w:eastAsia="zh-CN"/>
              </w:rPr>
            </w:pPr>
            <w:r>
              <w:rPr>
                <w:rFonts w:hint="eastAsia"/>
              </w:rPr>
              <w:t>35</w:t>
            </w:r>
          </w:p>
        </w:tc>
      </w:tr>
      <w:tr w14:paraId="3B373C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3D156FA7">
            <w:pPr>
              <w:pStyle w:val="11"/>
              <w:bidi w:val="0"/>
              <w:ind w:leftChars="100"/>
              <w:jc w:val="both"/>
              <w:rPr>
                <w:rFonts w:hint="eastAsia"/>
                <w:lang w:eastAsia="zh-CN"/>
              </w:rPr>
            </w:pPr>
            <w:r>
              <w:rPr>
                <w:rFonts w:hint="eastAsia"/>
              </w:rPr>
              <w:t>卫生院</w:t>
            </w:r>
          </w:p>
        </w:tc>
        <w:tc>
          <w:tcPr>
            <w:tcW w:w="406" w:type="pct"/>
            <w:vAlign w:val="center"/>
          </w:tcPr>
          <w:p w14:paraId="6E026DD4">
            <w:pPr>
              <w:pStyle w:val="11"/>
              <w:bidi w:val="0"/>
              <w:jc w:val="center"/>
              <w:rPr>
                <w:rFonts w:hint="eastAsia"/>
                <w:lang w:eastAsia="zh-CN"/>
              </w:rPr>
            </w:pPr>
            <w:r>
              <w:rPr>
                <w:rFonts w:hint="eastAsia"/>
              </w:rPr>
              <w:t>20</w:t>
            </w:r>
          </w:p>
        </w:tc>
        <w:tc>
          <w:tcPr>
            <w:tcW w:w="488" w:type="pct"/>
            <w:vAlign w:val="center"/>
          </w:tcPr>
          <w:p w14:paraId="76544248">
            <w:pPr>
              <w:pStyle w:val="11"/>
              <w:bidi w:val="0"/>
              <w:jc w:val="center"/>
              <w:rPr>
                <w:rFonts w:hint="eastAsia"/>
                <w:lang w:eastAsia="zh-CN"/>
              </w:rPr>
            </w:pPr>
            <w:r>
              <w:rPr>
                <w:rFonts w:hint="eastAsia"/>
              </w:rPr>
              <w:t>533</w:t>
            </w:r>
          </w:p>
        </w:tc>
        <w:tc>
          <w:tcPr>
            <w:tcW w:w="441" w:type="pct"/>
            <w:vAlign w:val="center"/>
          </w:tcPr>
          <w:p w14:paraId="1FC398FD">
            <w:pPr>
              <w:pStyle w:val="11"/>
              <w:bidi w:val="0"/>
              <w:jc w:val="center"/>
              <w:rPr>
                <w:rFonts w:hint="eastAsia"/>
                <w:lang w:eastAsia="zh-CN"/>
              </w:rPr>
            </w:pPr>
            <w:r>
              <w:rPr>
                <w:rFonts w:hint="eastAsia"/>
              </w:rPr>
              <w:t>472</w:t>
            </w:r>
          </w:p>
        </w:tc>
        <w:tc>
          <w:tcPr>
            <w:tcW w:w="407" w:type="pct"/>
            <w:vAlign w:val="center"/>
          </w:tcPr>
          <w:p w14:paraId="2C63C0D2">
            <w:pPr>
              <w:pStyle w:val="11"/>
              <w:bidi w:val="0"/>
              <w:jc w:val="center"/>
              <w:rPr>
                <w:rFonts w:hint="eastAsia"/>
                <w:lang w:eastAsia="zh-CN"/>
              </w:rPr>
            </w:pPr>
            <w:r>
              <w:rPr>
                <w:rFonts w:hint="eastAsia"/>
              </w:rPr>
              <w:t>676</w:t>
            </w:r>
          </w:p>
        </w:tc>
        <w:tc>
          <w:tcPr>
            <w:tcW w:w="395" w:type="pct"/>
            <w:vAlign w:val="center"/>
          </w:tcPr>
          <w:p w14:paraId="428BA578">
            <w:pPr>
              <w:pStyle w:val="11"/>
              <w:bidi w:val="0"/>
              <w:jc w:val="center"/>
              <w:rPr>
                <w:rFonts w:hint="eastAsia"/>
                <w:lang w:eastAsia="zh-CN"/>
              </w:rPr>
            </w:pPr>
            <w:r>
              <w:rPr>
                <w:rFonts w:hint="eastAsia"/>
              </w:rPr>
              <w:t>731</w:t>
            </w:r>
          </w:p>
        </w:tc>
        <w:tc>
          <w:tcPr>
            <w:tcW w:w="400" w:type="pct"/>
            <w:vAlign w:val="center"/>
          </w:tcPr>
          <w:p w14:paraId="53B7941B">
            <w:pPr>
              <w:pStyle w:val="11"/>
              <w:bidi w:val="0"/>
              <w:jc w:val="center"/>
              <w:rPr>
                <w:rFonts w:hint="eastAsia"/>
                <w:lang w:eastAsia="zh-CN"/>
              </w:rPr>
            </w:pPr>
            <w:r>
              <w:rPr>
                <w:rFonts w:hint="eastAsia"/>
              </w:rPr>
              <w:t>653</w:t>
            </w:r>
          </w:p>
        </w:tc>
        <w:tc>
          <w:tcPr>
            <w:tcW w:w="372" w:type="pct"/>
            <w:vAlign w:val="center"/>
          </w:tcPr>
          <w:p w14:paraId="0AC3C6FE">
            <w:pPr>
              <w:pStyle w:val="11"/>
              <w:bidi w:val="0"/>
              <w:jc w:val="center"/>
              <w:rPr>
                <w:rFonts w:hint="eastAsia"/>
                <w:lang w:eastAsia="zh-CN"/>
              </w:rPr>
            </w:pPr>
            <w:r>
              <w:rPr>
                <w:rFonts w:hint="eastAsia"/>
              </w:rPr>
              <w:t>233</w:t>
            </w:r>
          </w:p>
        </w:tc>
        <w:tc>
          <w:tcPr>
            <w:tcW w:w="389" w:type="pct"/>
            <w:vAlign w:val="center"/>
          </w:tcPr>
          <w:p w14:paraId="544670E1">
            <w:pPr>
              <w:pStyle w:val="11"/>
              <w:bidi w:val="0"/>
              <w:jc w:val="center"/>
              <w:rPr>
                <w:rFonts w:hint="eastAsia"/>
                <w:lang w:eastAsia="zh-CN"/>
              </w:rPr>
            </w:pPr>
            <w:r>
              <w:rPr>
                <w:rFonts w:hint="eastAsia"/>
              </w:rPr>
              <w:t>121</w:t>
            </w:r>
          </w:p>
        </w:tc>
        <w:tc>
          <w:tcPr>
            <w:tcW w:w="352" w:type="pct"/>
            <w:vAlign w:val="center"/>
          </w:tcPr>
          <w:p w14:paraId="72B2E175">
            <w:pPr>
              <w:pStyle w:val="11"/>
              <w:bidi w:val="0"/>
              <w:jc w:val="center"/>
              <w:rPr>
                <w:rFonts w:hint="eastAsia"/>
                <w:lang w:eastAsia="zh-CN"/>
              </w:rPr>
            </w:pPr>
            <w:r>
              <w:rPr>
                <w:rFonts w:hint="eastAsia"/>
              </w:rPr>
              <w:t>269</w:t>
            </w:r>
          </w:p>
        </w:tc>
      </w:tr>
      <w:tr w14:paraId="79C4D2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4A3E8924">
            <w:pPr>
              <w:pStyle w:val="11"/>
              <w:bidi w:val="0"/>
              <w:ind w:leftChars="100"/>
              <w:jc w:val="both"/>
              <w:rPr>
                <w:rFonts w:hint="eastAsia"/>
                <w:lang w:eastAsia="zh-CN"/>
              </w:rPr>
            </w:pPr>
            <w:r>
              <w:rPr>
                <w:rFonts w:hint="eastAsia"/>
              </w:rPr>
              <w:t>村卫生室</w:t>
            </w:r>
          </w:p>
        </w:tc>
        <w:tc>
          <w:tcPr>
            <w:tcW w:w="406" w:type="pct"/>
            <w:vAlign w:val="center"/>
          </w:tcPr>
          <w:p w14:paraId="4D6F5162">
            <w:pPr>
              <w:pStyle w:val="11"/>
              <w:bidi w:val="0"/>
              <w:jc w:val="center"/>
              <w:rPr>
                <w:rFonts w:hint="eastAsia"/>
                <w:lang w:eastAsia="zh-CN"/>
              </w:rPr>
            </w:pPr>
            <w:r>
              <w:rPr>
                <w:rFonts w:hint="eastAsia"/>
              </w:rPr>
              <w:t>280</w:t>
            </w:r>
          </w:p>
        </w:tc>
        <w:tc>
          <w:tcPr>
            <w:tcW w:w="488" w:type="pct"/>
            <w:vAlign w:val="center"/>
          </w:tcPr>
          <w:p w14:paraId="0C12961C">
            <w:pPr>
              <w:pStyle w:val="11"/>
              <w:bidi w:val="0"/>
              <w:jc w:val="center"/>
              <w:rPr>
                <w:rFonts w:hint="eastAsia"/>
                <w:lang w:eastAsia="zh-CN"/>
              </w:rPr>
            </w:pPr>
            <w:r>
              <w:rPr>
                <w:rFonts w:hint="eastAsia"/>
              </w:rPr>
              <w:t>0</w:t>
            </w:r>
          </w:p>
        </w:tc>
        <w:tc>
          <w:tcPr>
            <w:tcW w:w="441" w:type="pct"/>
            <w:vAlign w:val="center"/>
          </w:tcPr>
          <w:p w14:paraId="6AC16AA3">
            <w:pPr>
              <w:pStyle w:val="11"/>
              <w:bidi w:val="0"/>
              <w:jc w:val="center"/>
              <w:rPr>
                <w:rFonts w:hint="eastAsia"/>
                <w:lang w:eastAsia="zh-CN"/>
              </w:rPr>
            </w:pPr>
            <w:r>
              <w:rPr>
                <w:rFonts w:hint="eastAsia"/>
              </w:rPr>
              <w:t>0</w:t>
            </w:r>
          </w:p>
        </w:tc>
        <w:tc>
          <w:tcPr>
            <w:tcW w:w="407" w:type="pct"/>
            <w:vAlign w:val="center"/>
          </w:tcPr>
          <w:p w14:paraId="0DE7903D">
            <w:pPr>
              <w:pStyle w:val="11"/>
              <w:bidi w:val="0"/>
              <w:jc w:val="center"/>
              <w:rPr>
                <w:rFonts w:hint="eastAsia"/>
                <w:lang w:eastAsia="zh-CN"/>
              </w:rPr>
            </w:pPr>
            <w:r>
              <w:rPr>
                <w:rFonts w:hint="eastAsia"/>
              </w:rPr>
              <w:t>0</w:t>
            </w:r>
          </w:p>
        </w:tc>
        <w:tc>
          <w:tcPr>
            <w:tcW w:w="395" w:type="pct"/>
            <w:vAlign w:val="center"/>
          </w:tcPr>
          <w:p w14:paraId="25B011A6">
            <w:pPr>
              <w:pStyle w:val="11"/>
              <w:bidi w:val="0"/>
              <w:jc w:val="center"/>
              <w:rPr>
                <w:rFonts w:hint="eastAsia"/>
                <w:lang w:eastAsia="zh-CN"/>
              </w:rPr>
            </w:pPr>
            <w:r>
              <w:rPr>
                <w:rFonts w:hint="eastAsia"/>
              </w:rPr>
              <w:t>292</w:t>
            </w:r>
          </w:p>
        </w:tc>
        <w:tc>
          <w:tcPr>
            <w:tcW w:w="400" w:type="pct"/>
            <w:vAlign w:val="center"/>
          </w:tcPr>
          <w:p w14:paraId="34ACB739">
            <w:pPr>
              <w:pStyle w:val="11"/>
              <w:bidi w:val="0"/>
              <w:jc w:val="center"/>
              <w:rPr>
                <w:rFonts w:hint="eastAsia"/>
                <w:lang w:eastAsia="zh-CN"/>
              </w:rPr>
            </w:pPr>
            <w:r>
              <w:rPr>
                <w:rFonts w:hint="eastAsia"/>
              </w:rPr>
              <w:t>57</w:t>
            </w:r>
          </w:p>
        </w:tc>
        <w:tc>
          <w:tcPr>
            <w:tcW w:w="372" w:type="pct"/>
            <w:vAlign w:val="center"/>
          </w:tcPr>
          <w:p w14:paraId="39C386AC">
            <w:pPr>
              <w:pStyle w:val="11"/>
              <w:bidi w:val="0"/>
              <w:jc w:val="center"/>
              <w:rPr>
                <w:rFonts w:hint="eastAsia"/>
                <w:lang w:eastAsia="zh-CN"/>
              </w:rPr>
            </w:pPr>
            <w:r>
              <w:rPr>
                <w:rFonts w:hint="eastAsia"/>
              </w:rPr>
              <w:t>55</w:t>
            </w:r>
          </w:p>
        </w:tc>
        <w:tc>
          <w:tcPr>
            <w:tcW w:w="389" w:type="pct"/>
            <w:vAlign w:val="center"/>
          </w:tcPr>
          <w:p w14:paraId="6732B0A8">
            <w:pPr>
              <w:pStyle w:val="11"/>
              <w:bidi w:val="0"/>
              <w:jc w:val="center"/>
              <w:rPr>
                <w:rFonts w:hint="eastAsia"/>
                <w:lang w:eastAsia="zh-CN"/>
              </w:rPr>
            </w:pPr>
            <w:r>
              <w:rPr>
                <w:rFonts w:hint="eastAsia"/>
              </w:rPr>
              <w:t>10</w:t>
            </w:r>
          </w:p>
        </w:tc>
        <w:tc>
          <w:tcPr>
            <w:tcW w:w="352" w:type="pct"/>
            <w:vAlign w:val="center"/>
          </w:tcPr>
          <w:p w14:paraId="4AF2FE88">
            <w:pPr>
              <w:pStyle w:val="11"/>
              <w:bidi w:val="0"/>
              <w:jc w:val="center"/>
              <w:rPr>
                <w:rFonts w:hint="eastAsia"/>
                <w:lang w:eastAsia="zh-CN"/>
              </w:rPr>
            </w:pPr>
            <w:r>
              <w:rPr>
                <w:rFonts w:hint="eastAsia"/>
              </w:rPr>
              <w:t>2</w:t>
            </w:r>
          </w:p>
        </w:tc>
      </w:tr>
      <w:tr w14:paraId="2C00CC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56BFAF66">
            <w:pPr>
              <w:pStyle w:val="11"/>
              <w:bidi w:val="0"/>
              <w:ind w:leftChars="100"/>
              <w:jc w:val="both"/>
              <w:rPr>
                <w:rFonts w:hint="eastAsia"/>
                <w:lang w:eastAsia="zh-CN"/>
              </w:rPr>
            </w:pPr>
            <w:r>
              <w:rPr>
                <w:rFonts w:hint="eastAsia"/>
              </w:rPr>
              <w:t>门诊部</w:t>
            </w:r>
          </w:p>
        </w:tc>
        <w:tc>
          <w:tcPr>
            <w:tcW w:w="406" w:type="pct"/>
            <w:vAlign w:val="center"/>
          </w:tcPr>
          <w:p w14:paraId="5EBC07CE">
            <w:pPr>
              <w:pStyle w:val="11"/>
              <w:bidi w:val="0"/>
              <w:jc w:val="center"/>
              <w:rPr>
                <w:rFonts w:hint="eastAsia"/>
                <w:lang w:eastAsia="zh-CN"/>
              </w:rPr>
            </w:pPr>
            <w:r>
              <w:rPr>
                <w:rFonts w:hint="eastAsia"/>
              </w:rPr>
              <w:t>2</w:t>
            </w:r>
          </w:p>
        </w:tc>
        <w:tc>
          <w:tcPr>
            <w:tcW w:w="488" w:type="pct"/>
            <w:vAlign w:val="center"/>
          </w:tcPr>
          <w:p w14:paraId="4D19C692">
            <w:pPr>
              <w:pStyle w:val="11"/>
              <w:bidi w:val="0"/>
              <w:jc w:val="center"/>
              <w:rPr>
                <w:rFonts w:hint="eastAsia"/>
                <w:lang w:eastAsia="zh-CN"/>
              </w:rPr>
            </w:pPr>
            <w:r>
              <w:rPr>
                <w:rFonts w:hint="eastAsia"/>
              </w:rPr>
              <w:t>0</w:t>
            </w:r>
          </w:p>
        </w:tc>
        <w:tc>
          <w:tcPr>
            <w:tcW w:w="441" w:type="pct"/>
            <w:vAlign w:val="center"/>
          </w:tcPr>
          <w:p w14:paraId="70C7BD74">
            <w:pPr>
              <w:pStyle w:val="11"/>
              <w:bidi w:val="0"/>
              <w:jc w:val="center"/>
              <w:rPr>
                <w:rFonts w:hint="eastAsia"/>
                <w:lang w:eastAsia="zh-CN"/>
              </w:rPr>
            </w:pPr>
            <w:r>
              <w:rPr>
                <w:rFonts w:hint="eastAsia"/>
              </w:rPr>
              <w:t>0</w:t>
            </w:r>
          </w:p>
        </w:tc>
        <w:tc>
          <w:tcPr>
            <w:tcW w:w="407" w:type="pct"/>
            <w:vAlign w:val="center"/>
          </w:tcPr>
          <w:p w14:paraId="05E189F3">
            <w:pPr>
              <w:pStyle w:val="11"/>
              <w:bidi w:val="0"/>
              <w:jc w:val="center"/>
              <w:rPr>
                <w:rFonts w:hint="eastAsia"/>
                <w:lang w:eastAsia="zh-CN"/>
              </w:rPr>
            </w:pPr>
            <w:r>
              <w:rPr>
                <w:rFonts w:hint="eastAsia"/>
              </w:rPr>
              <w:t>0</w:t>
            </w:r>
          </w:p>
        </w:tc>
        <w:tc>
          <w:tcPr>
            <w:tcW w:w="395" w:type="pct"/>
            <w:vAlign w:val="center"/>
          </w:tcPr>
          <w:p w14:paraId="06473417">
            <w:pPr>
              <w:pStyle w:val="11"/>
              <w:bidi w:val="0"/>
              <w:jc w:val="center"/>
              <w:rPr>
                <w:rFonts w:hint="eastAsia"/>
                <w:lang w:eastAsia="zh-CN"/>
              </w:rPr>
            </w:pPr>
            <w:r>
              <w:rPr>
                <w:rFonts w:hint="eastAsia"/>
              </w:rPr>
              <w:t>16</w:t>
            </w:r>
          </w:p>
        </w:tc>
        <w:tc>
          <w:tcPr>
            <w:tcW w:w="400" w:type="pct"/>
            <w:vAlign w:val="center"/>
          </w:tcPr>
          <w:p w14:paraId="2FA1DD09">
            <w:pPr>
              <w:pStyle w:val="11"/>
              <w:bidi w:val="0"/>
              <w:jc w:val="center"/>
              <w:rPr>
                <w:rFonts w:hint="eastAsia"/>
                <w:lang w:eastAsia="zh-CN"/>
              </w:rPr>
            </w:pPr>
            <w:r>
              <w:rPr>
                <w:rFonts w:hint="eastAsia"/>
              </w:rPr>
              <w:t>15</w:t>
            </w:r>
          </w:p>
        </w:tc>
        <w:tc>
          <w:tcPr>
            <w:tcW w:w="372" w:type="pct"/>
            <w:vAlign w:val="center"/>
          </w:tcPr>
          <w:p w14:paraId="38EC8AAB">
            <w:pPr>
              <w:pStyle w:val="11"/>
              <w:bidi w:val="0"/>
              <w:jc w:val="center"/>
              <w:rPr>
                <w:rFonts w:hint="eastAsia"/>
                <w:lang w:eastAsia="zh-CN"/>
              </w:rPr>
            </w:pPr>
            <w:r>
              <w:rPr>
                <w:rFonts w:hint="eastAsia"/>
              </w:rPr>
              <w:t>9</w:t>
            </w:r>
          </w:p>
        </w:tc>
        <w:tc>
          <w:tcPr>
            <w:tcW w:w="389" w:type="pct"/>
            <w:vAlign w:val="center"/>
          </w:tcPr>
          <w:p w14:paraId="68369FCF">
            <w:pPr>
              <w:pStyle w:val="11"/>
              <w:bidi w:val="0"/>
              <w:jc w:val="center"/>
              <w:rPr>
                <w:rFonts w:hint="eastAsia"/>
                <w:lang w:eastAsia="zh-CN"/>
              </w:rPr>
            </w:pPr>
            <w:r>
              <w:rPr>
                <w:rFonts w:hint="eastAsia"/>
              </w:rPr>
              <w:t>4</w:t>
            </w:r>
          </w:p>
        </w:tc>
        <w:tc>
          <w:tcPr>
            <w:tcW w:w="352" w:type="pct"/>
            <w:vAlign w:val="center"/>
          </w:tcPr>
          <w:p w14:paraId="36F754AA">
            <w:pPr>
              <w:pStyle w:val="11"/>
              <w:bidi w:val="0"/>
              <w:jc w:val="center"/>
              <w:rPr>
                <w:rFonts w:hint="eastAsia"/>
                <w:lang w:eastAsia="zh-CN"/>
              </w:rPr>
            </w:pPr>
            <w:r>
              <w:rPr>
                <w:rFonts w:hint="eastAsia"/>
              </w:rPr>
              <w:t>3</w:t>
            </w:r>
          </w:p>
        </w:tc>
      </w:tr>
      <w:tr w14:paraId="4335D1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22FAD8A0">
            <w:pPr>
              <w:pStyle w:val="11"/>
              <w:bidi w:val="0"/>
              <w:ind w:leftChars="100"/>
              <w:jc w:val="both"/>
              <w:rPr>
                <w:rFonts w:hint="eastAsia"/>
                <w:lang w:eastAsia="zh-CN"/>
              </w:rPr>
            </w:pPr>
            <w:r>
              <w:rPr>
                <w:rFonts w:hint="eastAsia"/>
              </w:rPr>
              <w:t>诊所、卫生所、医务室</w:t>
            </w:r>
          </w:p>
        </w:tc>
        <w:tc>
          <w:tcPr>
            <w:tcW w:w="406" w:type="pct"/>
            <w:vAlign w:val="center"/>
          </w:tcPr>
          <w:p w14:paraId="7775F935">
            <w:pPr>
              <w:pStyle w:val="11"/>
              <w:bidi w:val="0"/>
              <w:jc w:val="center"/>
              <w:rPr>
                <w:rFonts w:hint="eastAsia"/>
                <w:lang w:eastAsia="zh-CN"/>
              </w:rPr>
            </w:pPr>
            <w:r>
              <w:rPr>
                <w:rFonts w:hint="eastAsia"/>
              </w:rPr>
              <w:t>51</w:t>
            </w:r>
          </w:p>
        </w:tc>
        <w:tc>
          <w:tcPr>
            <w:tcW w:w="488" w:type="pct"/>
            <w:vAlign w:val="center"/>
          </w:tcPr>
          <w:p w14:paraId="1892F54B">
            <w:pPr>
              <w:pStyle w:val="11"/>
              <w:bidi w:val="0"/>
              <w:jc w:val="center"/>
              <w:rPr>
                <w:rFonts w:hint="eastAsia"/>
                <w:lang w:eastAsia="zh-CN"/>
              </w:rPr>
            </w:pPr>
            <w:r>
              <w:rPr>
                <w:rFonts w:hint="eastAsia"/>
              </w:rPr>
              <w:t>0</w:t>
            </w:r>
          </w:p>
        </w:tc>
        <w:tc>
          <w:tcPr>
            <w:tcW w:w="441" w:type="pct"/>
            <w:vAlign w:val="center"/>
          </w:tcPr>
          <w:p w14:paraId="4CD9F208">
            <w:pPr>
              <w:pStyle w:val="11"/>
              <w:bidi w:val="0"/>
              <w:jc w:val="center"/>
              <w:rPr>
                <w:rFonts w:hint="eastAsia"/>
                <w:lang w:eastAsia="zh-CN"/>
              </w:rPr>
            </w:pPr>
            <w:r>
              <w:rPr>
                <w:rFonts w:hint="eastAsia"/>
              </w:rPr>
              <w:t>0</w:t>
            </w:r>
          </w:p>
        </w:tc>
        <w:tc>
          <w:tcPr>
            <w:tcW w:w="407" w:type="pct"/>
            <w:vAlign w:val="center"/>
          </w:tcPr>
          <w:p w14:paraId="06602176">
            <w:pPr>
              <w:pStyle w:val="11"/>
              <w:bidi w:val="0"/>
              <w:jc w:val="center"/>
              <w:rPr>
                <w:rFonts w:hint="eastAsia"/>
                <w:lang w:eastAsia="zh-CN"/>
              </w:rPr>
            </w:pPr>
            <w:r>
              <w:rPr>
                <w:rFonts w:hint="eastAsia"/>
              </w:rPr>
              <w:t>0</w:t>
            </w:r>
          </w:p>
        </w:tc>
        <w:tc>
          <w:tcPr>
            <w:tcW w:w="395" w:type="pct"/>
            <w:vAlign w:val="center"/>
          </w:tcPr>
          <w:p w14:paraId="69F41A07">
            <w:pPr>
              <w:pStyle w:val="11"/>
              <w:bidi w:val="0"/>
              <w:jc w:val="center"/>
              <w:rPr>
                <w:rFonts w:hint="eastAsia"/>
                <w:lang w:eastAsia="zh-CN"/>
              </w:rPr>
            </w:pPr>
            <w:r>
              <w:rPr>
                <w:rFonts w:hint="eastAsia"/>
              </w:rPr>
              <w:t>178</w:t>
            </w:r>
          </w:p>
        </w:tc>
        <w:tc>
          <w:tcPr>
            <w:tcW w:w="400" w:type="pct"/>
            <w:vAlign w:val="center"/>
          </w:tcPr>
          <w:p w14:paraId="2BE51F8A">
            <w:pPr>
              <w:pStyle w:val="11"/>
              <w:bidi w:val="0"/>
              <w:jc w:val="center"/>
              <w:rPr>
                <w:rFonts w:hint="eastAsia"/>
                <w:lang w:eastAsia="zh-CN"/>
              </w:rPr>
            </w:pPr>
            <w:r>
              <w:rPr>
                <w:rFonts w:hint="eastAsia"/>
              </w:rPr>
              <w:t>177</w:t>
            </w:r>
          </w:p>
        </w:tc>
        <w:tc>
          <w:tcPr>
            <w:tcW w:w="372" w:type="pct"/>
            <w:vAlign w:val="center"/>
          </w:tcPr>
          <w:p w14:paraId="35125B37">
            <w:pPr>
              <w:pStyle w:val="11"/>
              <w:bidi w:val="0"/>
              <w:jc w:val="center"/>
              <w:rPr>
                <w:rFonts w:hint="eastAsia"/>
                <w:lang w:eastAsia="zh-CN"/>
              </w:rPr>
            </w:pPr>
            <w:r>
              <w:rPr>
                <w:rFonts w:hint="eastAsia"/>
              </w:rPr>
              <w:t>114</w:t>
            </w:r>
          </w:p>
        </w:tc>
        <w:tc>
          <w:tcPr>
            <w:tcW w:w="389" w:type="pct"/>
            <w:vAlign w:val="center"/>
          </w:tcPr>
          <w:p w14:paraId="27D9D19E">
            <w:pPr>
              <w:pStyle w:val="11"/>
              <w:bidi w:val="0"/>
              <w:jc w:val="center"/>
              <w:rPr>
                <w:rFonts w:hint="eastAsia"/>
                <w:lang w:eastAsia="zh-CN"/>
              </w:rPr>
            </w:pPr>
            <w:r>
              <w:rPr>
                <w:rFonts w:hint="eastAsia"/>
              </w:rPr>
              <w:t>68</w:t>
            </w:r>
          </w:p>
        </w:tc>
        <w:tc>
          <w:tcPr>
            <w:tcW w:w="352" w:type="pct"/>
            <w:vAlign w:val="center"/>
          </w:tcPr>
          <w:p w14:paraId="5A084E5E">
            <w:pPr>
              <w:pStyle w:val="11"/>
              <w:bidi w:val="0"/>
              <w:jc w:val="center"/>
              <w:rPr>
                <w:rFonts w:hint="eastAsia"/>
                <w:lang w:eastAsia="zh-CN"/>
              </w:rPr>
            </w:pPr>
            <w:r>
              <w:rPr>
                <w:rFonts w:hint="eastAsia"/>
              </w:rPr>
              <w:t>54</w:t>
            </w:r>
          </w:p>
        </w:tc>
      </w:tr>
      <w:tr w14:paraId="3DE007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388008A2">
            <w:pPr>
              <w:pStyle w:val="11"/>
              <w:bidi w:val="0"/>
              <w:jc w:val="both"/>
              <w:rPr>
                <w:rFonts w:hint="eastAsia"/>
                <w:lang w:eastAsia="zh-CN"/>
              </w:rPr>
            </w:pPr>
            <w:r>
              <w:rPr>
                <w:rFonts w:hint="eastAsia"/>
              </w:rPr>
              <w:t>三、专业公共卫生机构</w:t>
            </w:r>
          </w:p>
        </w:tc>
        <w:tc>
          <w:tcPr>
            <w:tcW w:w="406" w:type="pct"/>
            <w:vAlign w:val="center"/>
          </w:tcPr>
          <w:p w14:paraId="665ED3D5">
            <w:pPr>
              <w:pStyle w:val="11"/>
              <w:bidi w:val="0"/>
              <w:jc w:val="center"/>
              <w:rPr>
                <w:rFonts w:hint="eastAsia"/>
                <w:lang w:eastAsia="zh-CN"/>
              </w:rPr>
            </w:pPr>
            <w:r>
              <w:rPr>
                <w:rFonts w:hint="eastAsia"/>
              </w:rPr>
              <w:t>4</w:t>
            </w:r>
          </w:p>
        </w:tc>
        <w:tc>
          <w:tcPr>
            <w:tcW w:w="488" w:type="pct"/>
            <w:vAlign w:val="center"/>
          </w:tcPr>
          <w:p w14:paraId="090FADAB">
            <w:pPr>
              <w:pStyle w:val="11"/>
              <w:bidi w:val="0"/>
              <w:jc w:val="center"/>
              <w:rPr>
                <w:rFonts w:hint="eastAsia"/>
                <w:lang w:eastAsia="zh-CN"/>
              </w:rPr>
            </w:pPr>
            <w:r>
              <w:rPr>
                <w:rFonts w:hint="eastAsia"/>
              </w:rPr>
              <w:t>130</w:t>
            </w:r>
          </w:p>
        </w:tc>
        <w:tc>
          <w:tcPr>
            <w:tcW w:w="441" w:type="pct"/>
            <w:vAlign w:val="center"/>
          </w:tcPr>
          <w:p w14:paraId="7F171726">
            <w:pPr>
              <w:pStyle w:val="11"/>
              <w:bidi w:val="0"/>
              <w:jc w:val="center"/>
              <w:rPr>
                <w:rFonts w:hint="eastAsia"/>
                <w:lang w:eastAsia="zh-CN"/>
              </w:rPr>
            </w:pPr>
            <w:r>
              <w:rPr>
                <w:rFonts w:hint="eastAsia"/>
              </w:rPr>
              <w:t>130</w:t>
            </w:r>
          </w:p>
        </w:tc>
        <w:tc>
          <w:tcPr>
            <w:tcW w:w="407" w:type="pct"/>
            <w:vAlign w:val="center"/>
          </w:tcPr>
          <w:p w14:paraId="71AB00D8">
            <w:pPr>
              <w:pStyle w:val="11"/>
              <w:bidi w:val="0"/>
              <w:jc w:val="center"/>
              <w:rPr>
                <w:rFonts w:hint="eastAsia"/>
                <w:lang w:eastAsia="zh-CN"/>
              </w:rPr>
            </w:pPr>
            <w:r>
              <w:rPr>
                <w:rFonts w:hint="eastAsia"/>
              </w:rPr>
              <w:t>184</w:t>
            </w:r>
          </w:p>
        </w:tc>
        <w:tc>
          <w:tcPr>
            <w:tcW w:w="395" w:type="pct"/>
            <w:vAlign w:val="center"/>
          </w:tcPr>
          <w:p w14:paraId="6CBC1FB0">
            <w:pPr>
              <w:pStyle w:val="11"/>
              <w:bidi w:val="0"/>
              <w:jc w:val="center"/>
              <w:rPr>
                <w:rFonts w:hint="eastAsia"/>
                <w:lang w:eastAsia="zh-CN"/>
              </w:rPr>
            </w:pPr>
            <w:r>
              <w:rPr>
                <w:rFonts w:hint="eastAsia"/>
              </w:rPr>
              <w:t>290</w:t>
            </w:r>
          </w:p>
        </w:tc>
        <w:tc>
          <w:tcPr>
            <w:tcW w:w="400" w:type="pct"/>
            <w:vAlign w:val="center"/>
          </w:tcPr>
          <w:p w14:paraId="363F8FCB">
            <w:pPr>
              <w:pStyle w:val="11"/>
              <w:bidi w:val="0"/>
              <w:jc w:val="center"/>
              <w:rPr>
                <w:rFonts w:hint="eastAsia"/>
                <w:lang w:eastAsia="zh-CN"/>
              </w:rPr>
            </w:pPr>
            <w:r>
              <w:rPr>
                <w:rFonts w:hint="eastAsia"/>
              </w:rPr>
              <w:t>228</w:t>
            </w:r>
          </w:p>
        </w:tc>
        <w:tc>
          <w:tcPr>
            <w:tcW w:w="372" w:type="pct"/>
            <w:vAlign w:val="center"/>
          </w:tcPr>
          <w:p w14:paraId="6D290519">
            <w:pPr>
              <w:pStyle w:val="11"/>
              <w:bidi w:val="0"/>
              <w:jc w:val="center"/>
              <w:rPr>
                <w:rFonts w:hint="eastAsia"/>
                <w:lang w:eastAsia="zh-CN"/>
              </w:rPr>
            </w:pPr>
            <w:r>
              <w:rPr>
                <w:rFonts w:hint="eastAsia"/>
              </w:rPr>
              <w:t>79</w:t>
            </w:r>
          </w:p>
        </w:tc>
        <w:tc>
          <w:tcPr>
            <w:tcW w:w="389" w:type="pct"/>
            <w:vAlign w:val="center"/>
          </w:tcPr>
          <w:p w14:paraId="359AA75D">
            <w:pPr>
              <w:pStyle w:val="11"/>
              <w:bidi w:val="0"/>
              <w:jc w:val="center"/>
              <w:rPr>
                <w:rFonts w:hint="eastAsia"/>
                <w:lang w:eastAsia="zh-CN"/>
              </w:rPr>
            </w:pPr>
            <w:r>
              <w:rPr>
                <w:rFonts w:hint="eastAsia"/>
              </w:rPr>
              <w:t>61</w:t>
            </w:r>
          </w:p>
        </w:tc>
        <w:tc>
          <w:tcPr>
            <w:tcW w:w="352" w:type="pct"/>
            <w:vAlign w:val="center"/>
          </w:tcPr>
          <w:p w14:paraId="07255C2C">
            <w:pPr>
              <w:pStyle w:val="11"/>
              <w:bidi w:val="0"/>
              <w:jc w:val="center"/>
              <w:rPr>
                <w:rFonts w:hint="eastAsia"/>
                <w:lang w:eastAsia="zh-CN"/>
              </w:rPr>
            </w:pPr>
            <w:r>
              <w:rPr>
                <w:rFonts w:hint="eastAsia"/>
              </w:rPr>
              <w:t>80</w:t>
            </w:r>
          </w:p>
        </w:tc>
      </w:tr>
      <w:tr w14:paraId="2B19D9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4C4A598C">
            <w:pPr>
              <w:pStyle w:val="11"/>
              <w:bidi w:val="0"/>
              <w:ind w:leftChars="100"/>
              <w:jc w:val="both"/>
              <w:rPr>
                <w:rFonts w:hint="eastAsia"/>
                <w:lang w:eastAsia="zh-CN"/>
              </w:rPr>
            </w:pPr>
            <w:r>
              <w:rPr>
                <w:rFonts w:hint="eastAsia"/>
              </w:rPr>
              <w:t>疾病预防控制机构</w:t>
            </w:r>
          </w:p>
        </w:tc>
        <w:tc>
          <w:tcPr>
            <w:tcW w:w="406" w:type="pct"/>
            <w:vAlign w:val="center"/>
          </w:tcPr>
          <w:p w14:paraId="42DF73C4">
            <w:pPr>
              <w:pStyle w:val="11"/>
              <w:bidi w:val="0"/>
              <w:jc w:val="center"/>
              <w:rPr>
                <w:rFonts w:hint="eastAsia"/>
                <w:lang w:eastAsia="zh-CN"/>
              </w:rPr>
            </w:pPr>
            <w:r>
              <w:rPr>
                <w:rFonts w:hint="eastAsia"/>
              </w:rPr>
              <w:t>1</w:t>
            </w:r>
          </w:p>
        </w:tc>
        <w:tc>
          <w:tcPr>
            <w:tcW w:w="488" w:type="pct"/>
            <w:vAlign w:val="center"/>
          </w:tcPr>
          <w:p w14:paraId="62D8679D">
            <w:pPr>
              <w:pStyle w:val="11"/>
              <w:bidi w:val="0"/>
              <w:jc w:val="center"/>
              <w:rPr>
                <w:rFonts w:hint="eastAsia"/>
                <w:lang w:eastAsia="zh-CN"/>
              </w:rPr>
            </w:pPr>
            <w:r>
              <w:rPr>
                <w:rFonts w:hint="eastAsia"/>
              </w:rPr>
              <w:t>0</w:t>
            </w:r>
          </w:p>
        </w:tc>
        <w:tc>
          <w:tcPr>
            <w:tcW w:w="441" w:type="pct"/>
            <w:vAlign w:val="center"/>
          </w:tcPr>
          <w:p w14:paraId="0E18AA97">
            <w:pPr>
              <w:pStyle w:val="11"/>
              <w:bidi w:val="0"/>
              <w:jc w:val="center"/>
              <w:rPr>
                <w:rFonts w:hint="eastAsia"/>
                <w:lang w:eastAsia="zh-CN"/>
              </w:rPr>
            </w:pPr>
            <w:r>
              <w:rPr>
                <w:rFonts w:hint="eastAsia"/>
              </w:rPr>
              <w:t>0</w:t>
            </w:r>
          </w:p>
        </w:tc>
        <w:tc>
          <w:tcPr>
            <w:tcW w:w="407" w:type="pct"/>
            <w:vAlign w:val="center"/>
          </w:tcPr>
          <w:p w14:paraId="0FDA2153">
            <w:pPr>
              <w:pStyle w:val="11"/>
              <w:bidi w:val="0"/>
              <w:jc w:val="center"/>
              <w:rPr>
                <w:rFonts w:hint="eastAsia"/>
                <w:lang w:eastAsia="zh-CN"/>
              </w:rPr>
            </w:pPr>
            <w:r>
              <w:rPr>
                <w:rFonts w:hint="eastAsia"/>
              </w:rPr>
              <w:t>51</w:t>
            </w:r>
          </w:p>
        </w:tc>
        <w:tc>
          <w:tcPr>
            <w:tcW w:w="395" w:type="pct"/>
            <w:vAlign w:val="center"/>
          </w:tcPr>
          <w:p w14:paraId="1D859157">
            <w:pPr>
              <w:pStyle w:val="11"/>
              <w:bidi w:val="0"/>
              <w:jc w:val="center"/>
              <w:rPr>
                <w:rFonts w:hint="eastAsia"/>
                <w:lang w:eastAsia="zh-CN"/>
              </w:rPr>
            </w:pPr>
            <w:r>
              <w:rPr>
                <w:rFonts w:hint="eastAsia"/>
              </w:rPr>
              <w:t>76</w:t>
            </w:r>
          </w:p>
        </w:tc>
        <w:tc>
          <w:tcPr>
            <w:tcW w:w="400" w:type="pct"/>
            <w:vAlign w:val="center"/>
          </w:tcPr>
          <w:p w14:paraId="7E46969E">
            <w:pPr>
              <w:pStyle w:val="11"/>
              <w:bidi w:val="0"/>
              <w:jc w:val="center"/>
              <w:rPr>
                <w:rFonts w:hint="eastAsia"/>
                <w:lang w:eastAsia="zh-CN"/>
              </w:rPr>
            </w:pPr>
            <w:r>
              <w:rPr>
                <w:rFonts w:hint="eastAsia"/>
              </w:rPr>
              <w:t>61</w:t>
            </w:r>
          </w:p>
        </w:tc>
        <w:tc>
          <w:tcPr>
            <w:tcW w:w="372" w:type="pct"/>
            <w:vAlign w:val="center"/>
          </w:tcPr>
          <w:p w14:paraId="65662096">
            <w:pPr>
              <w:pStyle w:val="11"/>
              <w:bidi w:val="0"/>
              <w:jc w:val="center"/>
              <w:rPr>
                <w:rFonts w:hint="eastAsia"/>
                <w:lang w:eastAsia="zh-CN"/>
              </w:rPr>
            </w:pPr>
            <w:r>
              <w:rPr>
                <w:rFonts w:hint="eastAsia"/>
              </w:rPr>
              <w:t>35</w:t>
            </w:r>
          </w:p>
        </w:tc>
        <w:tc>
          <w:tcPr>
            <w:tcW w:w="389" w:type="pct"/>
            <w:vAlign w:val="center"/>
          </w:tcPr>
          <w:p w14:paraId="4B6BDB1D">
            <w:pPr>
              <w:pStyle w:val="11"/>
              <w:bidi w:val="0"/>
              <w:jc w:val="center"/>
              <w:rPr>
                <w:rFonts w:hint="eastAsia"/>
                <w:lang w:eastAsia="zh-CN"/>
              </w:rPr>
            </w:pPr>
            <w:r>
              <w:rPr>
                <w:rFonts w:hint="eastAsia"/>
              </w:rPr>
              <w:t>28</w:t>
            </w:r>
          </w:p>
        </w:tc>
        <w:tc>
          <w:tcPr>
            <w:tcW w:w="352" w:type="pct"/>
            <w:vAlign w:val="center"/>
          </w:tcPr>
          <w:p w14:paraId="25B71D3F">
            <w:pPr>
              <w:pStyle w:val="11"/>
              <w:bidi w:val="0"/>
              <w:jc w:val="center"/>
              <w:rPr>
                <w:rFonts w:hint="eastAsia"/>
                <w:lang w:eastAsia="zh-CN"/>
              </w:rPr>
            </w:pPr>
            <w:r>
              <w:rPr>
                <w:rFonts w:hint="eastAsia"/>
              </w:rPr>
              <w:t>15</w:t>
            </w:r>
          </w:p>
        </w:tc>
      </w:tr>
      <w:tr w14:paraId="045C3B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42D1BF07">
            <w:pPr>
              <w:pStyle w:val="11"/>
              <w:bidi w:val="0"/>
              <w:ind w:leftChars="100"/>
              <w:jc w:val="both"/>
              <w:rPr>
                <w:rFonts w:hint="eastAsia"/>
                <w:lang w:eastAsia="zh-CN"/>
              </w:rPr>
            </w:pPr>
            <w:r>
              <w:rPr>
                <w:rFonts w:hint="eastAsia"/>
              </w:rPr>
              <w:t>专科疾病防治院（所、站）</w:t>
            </w:r>
          </w:p>
        </w:tc>
        <w:tc>
          <w:tcPr>
            <w:tcW w:w="406" w:type="pct"/>
            <w:vAlign w:val="center"/>
          </w:tcPr>
          <w:p w14:paraId="7F3F01C9">
            <w:pPr>
              <w:pStyle w:val="11"/>
              <w:bidi w:val="0"/>
              <w:jc w:val="center"/>
              <w:rPr>
                <w:rFonts w:hint="eastAsia"/>
                <w:lang w:eastAsia="zh-CN"/>
              </w:rPr>
            </w:pPr>
            <w:r>
              <w:rPr>
                <w:rFonts w:hint="eastAsia"/>
              </w:rPr>
              <w:t>1</w:t>
            </w:r>
          </w:p>
        </w:tc>
        <w:tc>
          <w:tcPr>
            <w:tcW w:w="488" w:type="pct"/>
            <w:vAlign w:val="center"/>
          </w:tcPr>
          <w:p w14:paraId="412A9ABA">
            <w:pPr>
              <w:pStyle w:val="11"/>
              <w:bidi w:val="0"/>
              <w:jc w:val="center"/>
              <w:rPr>
                <w:rFonts w:hint="eastAsia"/>
                <w:lang w:eastAsia="zh-CN"/>
              </w:rPr>
            </w:pPr>
            <w:r>
              <w:rPr>
                <w:rFonts w:hint="eastAsia"/>
              </w:rPr>
              <w:t>30</w:t>
            </w:r>
          </w:p>
        </w:tc>
        <w:tc>
          <w:tcPr>
            <w:tcW w:w="441" w:type="pct"/>
            <w:vAlign w:val="center"/>
          </w:tcPr>
          <w:p w14:paraId="637D132A">
            <w:pPr>
              <w:pStyle w:val="11"/>
              <w:bidi w:val="0"/>
              <w:jc w:val="center"/>
              <w:rPr>
                <w:rFonts w:hint="eastAsia"/>
                <w:lang w:eastAsia="zh-CN"/>
              </w:rPr>
            </w:pPr>
            <w:r>
              <w:rPr>
                <w:rFonts w:hint="eastAsia"/>
              </w:rPr>
              <w:t>30</w:t>
            </w:r>
          </w:p>
        </w:tc>
        <w:tc>
          <w:tcPr>
            <w:tcW w:w="407" w:type="pct"/>
            <w:vAlign w:val="center"/>
          </w:tcPr>
          <w:p w14:paraId="4C55B4CC">
            <w:pPr>
              <w:pStyle w:val="11"/>
              <w:bidi w:val="0"/>
              <w:jc w:val="center"/>
              <w:rPr>
                <w:rFonts w:hint="eastAsia"/>
                <w:lang w:eastAsia="zh-CN"/>
              </w:rPr>
            </w:pPr>
            <w:r>
              <w:rPr>
                <w:rFonts w:hint="eastAsia"/>
              </w:rPr>
              <w:t>29</w:t>
            </w:r>
          </w:p>
        </w:tc>
        <w:tc>
          <w:tcPr>
            <w:tcW w:w="395" w:type="pct"/>
            <w:vAlign w:val="center"/>
          </w:tcPr>
          <w:p w14:paraId="13F07FF1">
            <w:pPr>
              <w:pStyle w:val="11"/>
              <w:bidi w:val="0"/>
              <w:jc w:val="center"/>
              <w:rPr>
                <w:rFonts w:hint="eastAsia"/>
                <w:lang w:eastAsia="zh-CN"/>
              </w:rPr>
            </w:pPr>
            <w:r>
              <w:rPr>
                <w:rFonts w:hint="eastAsia"/>
              </w:rPr>
              <w:t>47</w:t>
            </w:r>
          </w:p>
        </w:tc>
        <w:tc>
          <w:tcPr>
            <w:tcW w:w="400" w:type="pct"/>
            <w:vAlign w:val="center"/>
          </w:tcPr>
          <w:p w14:paraId="123BD7DF">
            <w:pPr>
              <w:pStyle w:val="11"/>
              <w:bidi w:val="0"/>
              <w:jc w:val="center"/>
              <w:rPr>
                <w:rFonts w:hint="eastAsia"/>
                <w:lang w:eastAsia="zh-CN"/>
              </w:rPr>
            </w:pPr>
            <w:r>
              <w:rPr>
                <w:rFonts w:hint="eastAsia"/>
              </w:rPr>
              <w:t>37</w:t>
            </w:r>
          </w:p>
        </w:tc>
        <w:tc>
          <w:tcPr>
            <w:tcW w:w="372" w:type="pct"/>
            <w:vAlign w:val="center"/>
          </w:tcPr>
          <w:p w14:paraId="3A012720">
            <w:pPr>
              <w:pStyle w:val="11"/>
              <w:bidi w:val="0"/>
              <w:jc w:val="center"/>
              <w:rPr>
                <w:rFonts w:hint="eastAsia"/>
                <w:lang w:eastAsia="zh-CN"/>
              </w:rPr>
            </w:pPr>
            <w:r>
              <w:rPr>
                <w:rFonts w:hint="eastAsia"/>
              </w:rPr>
              <w:t>18</w:t>
            </w:r>
          </w:p>
        </w:tc>
        <w:tc>
          <w:tcPr>
            <w:tcW w:w="389" w:type="pct"/>
            <w:vAlign w:val="center"/>
          </w:tcPr>
          <w:p w14:paraId="7858C026">
            <w:pPr>
              <w:pStyle w:val="11"/>
              <w:bidi w:val="0"/>
              <w:jc w:val="center"/>
              <w:rPr>
                <w:rFonts w:hint="eastAsia"/>
                <w:lang w:eastAsia="zh-CN"/>
              </w:rPr>
            </w:pPr>
            <w:r>
              <w:rPr>
                <w:rFonts w:hint="eastAsia"/>
              </w:rPr>
              <w:t>15</w:t>
            </w:r>
          </w:p>
        </w:tc>
        <w:tc>
          <w:tcPr>
            <w:tcW w:w="352" w:type="pct"/>
            <w:vAlign w:val="center"/>
          </w:tcPr>
          <w:p w14:paraId="55C4D653">
            <w:pPr>
              <w:pStyle w:val="11"/>
              <w:bidi w:val="0"/>
              <w:jc w:val="center"/>
              <w:rPr>
                <w:rFonts w:hint="eastAsia"/>
                <w:lang w:eastAsia="zh-CN"/>
              </w:rPr>
            </w:pPr>
            <w:r>
              <w:rPr>
                <w:rFonts w:hint="eastAsia"/>
              </w:rPr>
              <w:t>13</w:t>
            </w:r>
          </w:p>
        </w:tc>
      </w:tr>
      <w:tr w14:paraId="60DA07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39201DF3">
            <w:pPr>
              <w:pStyle w:val="11"/>
              <w:bidi w:val="0"/>
              <w:ind w:leftChars="100"/>
              <w:jc w:val="both"/>
              <w:rPr>
                <w:rFonts w:hint="eastAsia"/>
                <w:lang w:eastAsia="zh-CN"/>
              </w:rPr>
            </w:pPr>
            <w:r>
              <w:rPr>
                <w:rFonts w:hint="eastAsia"/>
              </w:rPr>
              <w:t>妇幼保健院（所、站）</w:t>
            </w:r>
          </w:p>
        </w:tc>
        <w:tc>
          <w:tcPr>
            <w:tcW w:w="406" w:type="pct"/>
            <w:vAlign w:val="center"/>
          </w:tcPr>
          <w:p w14:paraId="197518F6">
            <w:pPr>
              <w:pStyle w:val="11"/>
              <w:bidi w:val="0"/>
              <w:jc w:val="center"/>
              <w:rPr>
                <w:rFonts w:hint="eastAsia"/>
                <w:lang w:eastAsia="zh-CN"/>
              </w:rPr>
            </w:pPr>
            <w:r>
              <w:rPr>
                <w:rFonts w:hint="eastAsia"/>
              </w:rPr>
              <w:t>1</w:t>
            </w:r>
          </w:p>
        </w:tc>
        <w:tc>
          <w:tcPr>
            <w:tcW w:w="488" w:type="pct"/>
            <w:vAlign w:val="center"/>
          </w:tcPr>
          <w:p w14:paraId="461D1295">
            <w:pPr>
              <w:pStyle w:val="11"/>
              <w:bidi w:val="0"/>
              <w:jc w:val="center"/>
              <w:rPr>
                <w:rFonts w:hint="eastAsia"/>
                <w:lang w:eastAsia="zh-CN"/>
              </w:rPr>
            </w:pPr>
            <w:r>
              <w:rPr>
                <w:rFonts w:hint="eastAsia"/>
              </w:rPr>
              <w:t>100</w:t>
            </w:r>
          </w:p>
        </w:tc>
        <w:tc>
          <w:tcPr>
            <w:tcW w:w="441" w:type="pct"/>
            <w:vAlign w:val="center"/>
          </w:tcPr>
          <w:p w14:paraId="228EBE59">
            <w:pPr>
              <w:pStyle w:val="11"/>
              <w:bidi w:val="0"/>
              <w:jc w:val="center"/>
              <w:rPr>
                <w:rFonts w:hint="eastAsia"/>
                <w:lang w:eastAsia="zh-CN"/>
              </w:rPr>
            </w:pPr>
            <w:r>
              <w:rPr>
                <w:rFonts w:hint="eastAsia"/>
              </w:rPr>
              <w:t>100</w:t>
            </w:r>
          </w:p>
        </w:tc>
        <w:tc>
          <w:tcPr>
            <w:tcW w:w="407" w:type="pct"/>
            <w:vAlign w:val="center"/>
          </w:tcPr>
          <w:p w14:paraId="63BCA42F">
            <w:pPr>
              <w:pStyle w:val="11"/>
              <w:bidi w:val="0"/>
              <w:jc w:val="center"/>
              <w:rPr>
                <w:rFonts w:hint="eastAsia"/>
                <w:lang w:eastAsia="zh-CN"/>
              </w:rPr>
            </w:pPr>
            <w:r>
              <w:rPr>
                <w:rFonts w:hint="eastAsia"/>
              </w:rPr>
              <w:t>79</w:t>
            </w:r>
          </w:p>
        </w:tc>
        <w:tc>
          <w:tcPr>
            <w:tcW w:w="395" w:type="pct"/>
            <w:vAlign w:val="center"/>
          </w:tcPr>
          <w:p w14:paraId="16DC9FC8">
            <w:pPr>
              <w:pStyle w:val="11"/>
              <w:bidi w:val="0"/>
              <w:jc w:val="center"/>
              <w:rPr>
                <w:rFonts w:hint="eastAsia"/>
                <w:lang w:eastAsia="zh-CN"/>
              </w:rPr>
            </w:pPr>
            <w:r>
              <w:rPr>
                <w:rFonts w:hint="eastAsia"/>
              </w:rPr>
              <w:t>149</w:t>
            </w:r>
          </w:p>
        </w:tc>
        <w:tc>
          <w:tcPr>
            <w:tcW w:w="400" w:type="pct"/>
            <w:vAlign w:val="center"/>
          </w:tcPr>
          <w:p w14:paraId="19EE80EB">
            <w:pPr>
              <w:pStyle w:val="11"/>
              <w:bidi w:val="0"/>
              <w:jc w:val="center"/>
              <w:rPr>
                <w:rFonts w:hint="eastAsia"/>
                <w:lang w:eastAsia="zh-CN"/>
              </w:rPr>
            </w:pPr>
            <w:r>
              <w:rPr>
                <w:rFonts w:hint="eastAsia"/>
              </w:rPr>
              <w:t>116</w:t>
            </w:r>
          </w:p>
        </w:tc>
        <w:tc>
          <w:tcPr>
            <w:tcW w:w="372" w:type="pct"/>
            <w:vAlign w:val="center"/>
          </w:tcPr>
          <w:p w14:paraId="0D4A3395">
            <w:pPr>
              <w:pStyle w:val="11"/>
              <w:bidi w:val="0"/>
              <w:jc w:val="center"/>
              <w:rPr>
                <w:rFonts w:hint="eastAsia"/>
                <w:lang w:eastAsia="zh-CN"/>
              </w:rPr>
            </w:pPr>
            <w:r>
              <w:rPr>
                <w:rFonts w:hint="eastAsia"/>
              </w:rPr>
              <w:t>26</w:t>
            </w:r>
          </w:p>
        </w:tc>
        <w:tc>
          <w:tcPr>
            <w:tcW w:w="389" w:type="pct"/>
            <w:vAlign w:val="center"/>
          </w:tcPr>
          <w:p w14:paraId="1FFEA155">
            <w:pPr>
              <w:pStyle w:val="11"/>
              <w:bidi w:val="0"/>
              <w:jc w:val="center"/>
              <w:rPr>
                <w:rFonts w:hint="eastAsia"/>
                <w:lang w:eastAsia="zh-CN"/>
              </w:rPr>
            </w:pPr>
            <w:r>
              <w:rPr>
                <w:rFonts w:hint="eastAsia"/>
              </w:rPr>
              <w:t>18</w:t>
            </w:r>
          </w:p>
        </w:tc>
        <w:tc>
          <w:tcPr>
            <w:tcW w:w="352" w:type="pct"/>
            <w:vAlign w:val="center"/>
          </w:tcPr>
          <w:p w14:paraId="3DF4C7E4">
            <w:pPr>
              <w:pStyle w:val="11"/>
              <w:bidi w:val="0"/>
              <w:jc w:val="center"/>
              <w:rPr>
                <w:rFonts w:hint="eastAsia"/>
                <w:lang w:eastAsia="zh-CN"/>
              </w:rPr>
            </w:pPr>
            <w:r>
              <w:rPr>
                <w:rFonts w:hint="eastAsia"/>
              </w:rPr>
              <w:t>52</w:t>
            </w:r>
          </w:p>
        </w:tc>
      </w:tr>
      <w:tr w14:paraId="175D68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6957A2B9">
            <w:pPr>
              <w:pStyle w:val="11"/>
              <w:bidi w:val="0"/>
              <w:ind w:leftChars="100"/>
              <w:jc w:val="both"/>
              <w:rPr>
                <w:rFonts w:hint="eastAsia"/>
                <w:lang w:eastAsia="zh-CN"/>
              </w:rPr>
            </w:pPr>
            <w:r>
              <w:rPr>
                <w:rFonts w:hint="eastAsia"/>
              </w:rPr>
              <w:t>卫生监督所（中心）</w:t>
            </w:r>
          </w:p>
        </w:tc>
        <w:tc>
          <w:tcPr>
            <w:tcW w:w="406" w:type="pct"/>
            <w:vAlign w:val="center"/>
          </w:tcPr>
          <w:p w14:paraId="0C59378F">
            <w:pPr>
              <w:pStyle w:val="11"/>
              <w:bidi w:val="0"/>
              <w:jc w:val="center"/>
              <w:rPr>
                <w:rFonts w:hint="eastAsia"/>
                <w:lang w:eastAsia="zh-CN"/>
              </w:rPr>
            </w:pPr>
            <w:r>
              <w:rPr>
                <w:rFonts w:hint="eastAsia"/>
              </w:rPr>
              <w:t>1</w:t>
            </w:r>
          </w:p>
        </w:tc>
        <w:tc>
          <w:tcPr>
            <w:tcW w:w="488" w:type="pct"/>
            <w:vAlign w:val="center"/>
          </w:tcPr>
          <w:p w14:paraId="19A11BA6">
            <w:pPr>
              <w:pStyle w:val="11"/>
              <w:bidi w:val="0"/>
              <w:jc w:val="center"/>
              <w:rPr>
                <w:rFonts w:hint="eastAsia"/>
                <w:lang w:eastAsia="zh-CN"/>
              </w:rPr>
            </w:pPr>
            <w:r>
              <w:rPr>
                <w:rFonts w:hint="eastAsia"/>
              </w:rPr>
              <w:t>0</w:t>
            </w:r>
          </w:p>
        </w:tc>
        <w:tc>
          <w:tcPr>
            <w:tcW w:w="441" w:type="pct"/>
            <w:vAlign w:val="center"/>
          </w:tcPr>
          <w:p w14:paraId="5E7DBFC8">
            <w:pPr>
              <w:pStyle w:val="11"/>
              <w:bidi w:val="0"/>
              <w:jc w:val="center"/>
              <w:rPr>
                <w:rFonts w:hint="eastAsia"/>
                <w:lang w:eastAsia="zh-CN"/>
              </w:rPr>
            </w:pPr>
            <w:r>
              <w:rPr>
                <w:rFonts w:hint="eastAsia"/>
              </w:rPr>
              <w:t>0</w:t>
            </w:r>
          </w:p>
        </w:tc>
        <w:tc>
          <w:tcPr>
            <w:tcW w:w="407" w:type="pct"/>
            <w:vAlign w:val="center"/>
          </w:tcPr>
          <w:p w14:paraId="37CD5717">
            <w:pPr>
              <w:pStyle w:val="11"/>
              <w:bidi w:val="0"/>
              <w:jc w:val="center"/>
              <w:rPr>
                <w:rFonts w:hint="eastAsia"/>
                <w:lang w:eastAsia="zh-CN"/>
              </w:rPr>
            </w:pPr>
            <w:r>
              <w:rPr>
                <w:rFonts w:hint="eastAsia"/>
              </w:rPr>
              <w:t>25</w:t>
            </w:r>
          </w:p>
        </w:tc>
        <w:tc>
          <w:tcPr>
            <w:tcW w:w="395" w:type="pct"/>
            <w:vAlign w:val="center"/>
          </w:tcPr>
          <w:p w14:paraId="08480E76">
            <w:pPr>
              <w:pStyle w:val="11"/>
              <w:bidi w:val="0"/>
              <w:jc w:val="center"/>
              <w:rPr>
                <w:rFonts w:hint="eastAsia"/>
                <w:lang w:eastAsia="zh-CN"/>
              </w:rPr>
            </w:pPr>
            <w:r>
              <w:rPr>
                <w:rFonts w:hint="eastAsia"/>
              </w:rPr>
              <w:t>18</w:t>
            </w:r>
          </w:p>
        </w:tc>
        <w:tc>
          <w:tcPr>
            <w:tcW w:w="400" w:type="pct"/>
            <w:vAlign w:val="center"/>
          </w:tcPr>
          <w:p w14:paraId="34426AA8">
            <w:pPr>
              <w:pStyle w:val="11"/>
              <w:bidi w:val="0"/>
              <w:jc w:val="center"/>
              <w:rPr>
                <w:rFonts w:hint="eastAsia"/>
                <w:lang w:eastAsia="zh-CN"/>
              </w:rPr>
            </w:pPr>
            <w:r>
              <w:rPr>
                <w:rFonts w:hint="eastAsia"/>
              </w:rPr>
              <w:t>14</w:t>
            </w:r>
          </w:p>
        </w:tc>
        <w:tc>
          <w:tcPr>
            <w:tcW w:w="372" w:type="pct"/>
            <w:vAlign w:val="center"/>
          </w:tcPr>
          <w:p w14:paraId="6ECE09E4">
            <w:pPr>
              <w:pStyle w:val="11"/>
              <w:bidi w:val="0"/>
              <w:jc w:val="center"/>
              <w:rPr>
                <w:rFonts w:hint="eastAsia"/>
                <w:lang w:eastAsia="zh-CN"/>
              </w:rPr>
            </w:pPr>
            <w:r>
              <w:rPr>
                <w:rFonts w:hint="eastAsia"/>
              </w:rPr>
              <w:t>0</w:t>
            </w:r>
          </w:p>
        </w:tc>
        <w:tc>
          <w:tcPr>
            <w:tcW w:w="389" w:type="pct"/>
            <w:vAlign w:val="center"/>
          </w:tcPr>
          <w:p w14:paraId="3A0E4F8A">
            <w:pPr>
              <w:pStyle w:val="11"/>
              <w:bidi w:val="0"/>
              <w:jc w:val="center"/>
              <w:rPr>
                <w:rFonts w:hint="eastAsia"/>
                <w:lang w:eastAsia="zh-CN"/>
              </w:rPr>
            </w:pPr>
            <w:r>
              <w:rPr>
                <w:rFonts w:hint="eastAsia"/>
              </w:rPr>
              <w:t>0</w:t>
            </w:r>
          </w:p>
        </w:tc>
        <w:tc>
          <w:tcPr>
            <w:tcW w:w="352" w:type="pct"/>
            <w:vAlign w:val="center"/>
          </w:tcPr>
          <w:p w14:paraId="605B29BA">
            <w:pPr>
              <w:pStyle w:val="11"/>
              <w:bidi w:val="0"/>
              <w:jc w:val="center"/>
              <w:rPr>
                <w:rFonts w:hint="eastAsia"/>
                <w:lang w:eastAsia="zh-CN"/>
              </w:rPr>
            </w:pPr>
            <w:r>
              <w:rPr>
                <w:rFonts w:hint="eastAsia"/>
              </w:rPr>
              <w:t>0</w:t>
            </w:r>
          </w:p>
        </w:tc>
      </w:tr>
      <w:tr w14:paraId="74F548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0DA1EF4A">
            <w:pPr>
              <w:pStyle w:val="11"/>
              <w:bidi w:val="0"/>
              <w:jc w:val="both"/>
              <w:rPr>
                <w:rFonts w:hint="eastAsia"/>
                <w:lang w:eastAsia="zh-CN"/>
              </w:rPr>
            </w:pPr>
            <w:r>
              <w:rPr>
                <w:rFonts w:hint="eastAsia"/>
              </w:rPr>
              <w:t>四、其他卫生机构</w:t>
            </w:r>
          </w:p>
        </w:tc>
        <w:tc>
          <w:tcPr>
            <w:tcW w:w="406" w:type="pct"/>
            <w:vAlign w:val="center"/>
          </w:tcPr>
          <w:p w14:paraId="42C1B5D0">
            <w:pPr>
              <w:pStyle w:val="11"/>
              <w:bidi w:val="0"/>
              <w:jc w:val="center"/>
              <w:rPr>
                <w:rFonts w:hint="eastAsia"/>
                <w:lang w:eastAsia="zh-CN"/>
              </w:rPr>
            </w:pPr>
            <w:r>
              <w:rPr>
                <w:rFonts w:hint="eastAsia"/>
              </w:rPr>
              <w:t>1</w:t>
            </w:r>
          </w:p>
        </w:tc>
        <w:tc>
          <w:tcPr>
            <w:tcW w:w="488" w:type="pct"/>
            <w:vAlign w:val="center"/>
          </w:tcPr>
          <w:p w14:paraId="26C225E2">
            <w:pPr>
              <w:pStyle w:val="11"/>
              <w:bidi w:val="0"/>
              <w:jc w:val="center"/>
              <w:rPr>
                <w:rFonts w:hint="eastAsia"/>
                <w:lang w:eastAsia="zh-CN"/>
              </w:rPr>
            </w:pPr>
            <w:r>
              <w:rPr>
                <w:rFonts w:hint="eastAsia"/>
              </w:rPr>
              <w:t>0</w:t>
            </w:r>
          </w:p>
        </w:tc>
        <w:tc>
          <w:tcPr>
            <w:tcW w:w="441" w:type="pct"/>
            <w:vAlign w:val="center"/>
          </w:tcPr>
          <w:p w14:paraId="27403457">
            <w:pPr>
              <w:pStyle w:val="11"/>
              <w:bidi w:val="0"/>
              <w:jc w:val="center"/>
              <w:rPr>
                <w:rFonts w:hint="eastAsia"/>
                <w:lang w:eastAsia="zh-CN"/>
              </w:rPr>
            </w:pPr>
            <w:r>
              <w:rPr>
                <w:rFonts w:hint="eastAsia"/>
              </w:rPr>
              <w:t>0</w:t>
            </w:r>
          </w:p>
        </w:tc>
        <w:tc>
          <w:tcPr>
            <w:tcW w:w="407" w:type="pct"/>
            <w:vAlign w:val="center"/>
          </w:tcPr>
          <w:p w14:paraId="29EA0747">
            <w:pPr>
              <w:pStyle w:val="11"/>
              <w:bidi w:val="0"/>
              <w:jc w:val="center"/>
              <w:rPr>
                <w:rFonts w:hint="eastAsia"/>
                <w:lang w:eastAsia="zh-CN"/>
              </w:rPr>
            </w:pPr>
            <w:r>
              <w:rPr>
                <w:rFonts w:hint="eastAsia"/>
              </w:rPr>
              <w:t>0</w:t>
            </w:r>
          </w:p>
        </w:tc>
        <w:tc>
          <w:tcPr>
            <w:tcW w:w="395" w:type="pct"/>
            <w:vAlign w:val="center"/>
          </w:tcPr>
          <w:p w14:paraId="0FD19802">
            <w:pPr>
              <w:pStyle w:val="11"/>
              <w:bidi w:val="0"/>
              <w:jc w:val="center"/>
              <w:rPr>
                <w:rFonts w:hint="eastAsia"/>
                <w:lang w:eastAsia="zh-CN"/>
              </w:rPr>
            </w:pPr>
            <w:r>
              <w:rPr>
                <w:rFonts w:hint="eastAsia"/>
              </w:rPr>
              <w:t>18</w:t>
            </w:r>
          </w:p>
        </w:tc>
        <w:tc>
          <w:tcPr>
            <w:tcW w:w="400" w:type="pct"/>
            <w:vAlign w:val="center"/>
          </w:tcPr>
          <w:p w14:paraId="54D8BEE3">
            <w:pPr>
              <w:pStyle w:val="11"/>
              <w:bidi w:val="0"/>
              <w:jc w:val="center"/>
              <w:rPr>
                <w:rFonts w:hint="eastAsia"/>
                <w:lang w:eastAsia="zh-CN"/>
              </w:rPr>
            </w:pPr>
            <w:r>
              <w:rPr>
                <w:rFonts w:hint="eastAsia"/>
              </w:rPr>
              <w:t>18</w:t>
            </w:r>
          </w:p>
        </w:tc>
        <w:tc>
          <w:tcPr>
            <w:tcW w:w="372" w:type="pct"/>
            <w:vAlign w:val="center"/>
          </w:tcPr>
          <w:p w14:paraId="7F15F7AD">
            <w:pPr>
              <w:pStyle w:val="11"/>
              <w:bidi w:val="0"/>
              <w:jc w:val="center"/>
              <w:rPr>
                <w:rFonts w:hint="eastAsia"/>
                <w:lang w:eastAsia="zh-CN"/>
              </w:rPr>
            </w:pPr>
            <w:r>
              <w:rPr>
                <w:rFonts w:hint="eastAsia"/>
              </w:rPr>
              <w:t>5</w:t>
            </w:r>
          </w:p>
        </w:tc>
        <w:tc>
          <w:tcPr>
            <w:tcW w:w="389" w:type="pct"/>
            <w:vAlign w:val="center"/>
          </w:tcPr>
          <w:p w14:paraId="13CE1DB7">
            <w:pPr>
              <w:pStyle w:val="11"/>
              <w:bidi w:val="0"/>
              <w:jc w:val="center"/>
              <w:rPr>
                <w:rFonts w:hint="eastAsia"/>
                <w:lang w:eastAsia="zh-CN"/>
              </w:rPr>
            </w:pPr>
            <w:r>
              <w:rPr>
                <w:rFonts w:hint="eastAsia"/>
              </w:rPr>
              <w:t>5</w:t>
            </w:r>
          </w:p>
        </w:tc>
        <w:tc>
          <w:tcPr>
            <w:tcW w:w="352" w:type="pct"/>
            <w:vAlign w:val="center"/>
          </w:tcPr>
          <w:p w14:paraId="39C7D262">
            <w:pPr>
              <w:pStyle w:val="11"/>
              <w:bidi w:val="0"/>
              <w:jc w:val="center"/>
              <w:rPr>
                <w:rFonts w:hint="eastAsia"/>
                <w:lang w:eastAsia="zh-CN"/>
              </w:rPr>
            </w:pPr>
            <w:r>
              <w:rPr>
                <w:rFonts w:hint="eastAsia"/>
              </w:rPr>
              <w:t>12</w:t>
            </w:r>
          </w:p>
        </w:tc>
      </w:tr>
      <w:tr w14:paraId="7281F8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4" w:type="pct"/>
            <w:vAlign w:val="center"/>
          </w:tcPr>
          <w:p w14:paraId="569AC45D">
            <w:pPr>
              <w:pStyle w:val="11"/>
              <w:bidi w:val="0"/>
              <w:ind w:leftChars="200"/>
              <w:jc w:val="both"/>
              <w:rPr>
                <w:rFonts w:hint="eastAsia"/>
                <w:lang w:eastAsia="zh-CN"/>
              </w:rPr>
            </w:pPr>
            <w:r>
              <w:rPr>
                <w:rFonts w:hint="eastAsia"/>
              </w:rPr>
              <w:t>其他</w:t>
            </w:r>
          </w:p>
        </w:tc>
        <w:tc>
          <w:tcPr>
            <w:tcW w:w="406" w:type="pct"/>
            <w:vAlign w:val="center"/>
          </w:tcPr>
          <w:p w14:paraId="6F705285">
            <w:pPr>
              <w:pStyle w:val="11"/>
              <w:bidi w:val="0"/>
              <w:jc w:val="center"/>
              <w:rPr>
                <w:rFonts w:hint="eastAsia"/>
                <w:lang w:eastAsia="zh-CN"/>
              </w:rPr>
            </w:pPr>
            <w:r>
              <w:rPr>
                <w:rFonts w:hint="eastAsia"/>
              </w:rPr>
              <w:t>1</w:t>
            </w:r>
          </w:p>
        </w:tc>
        <w:tc>
          <w:tcPr>
            <w:tcW w:w="488" w:type="pct"/>
            <w:vAlign w:val="center"/>
          </w:tcPr>
          <w:p w14:paraId="610E3485">
            <w:pPr>
              <w:pStyle w:val="11"/>
              <w:bidi w:val="0"/>
              <w:jc w:val="center"/>
              <w:rPr>
                <w:rFonts w:hint="eastAsia"/>
                <w:lang w:eastAsia="zh-CN"/>
              </w:rPr>
            </w:pPr>
            <w:r>
              <w:rPr>
                <w:rFonts w:hint="eastAsia"/>
              </w:rPr>
              <w:t>0</w:t>
            </w:r>
          </w:p>
        </w:tc>
        <w:tc>
          <w:tcPr>
            <w:tcW w:w="441" w:type="pct"/>
            <w:vAlign w:val="center"/>
          </w:tcPr>
          <w:p w14:paraId="7169E3A6">
            <w:pPr>
              <w:pStyle w:val="11"/>
              <w:bidi w:val="0"/>
              <w:jc w:val="center"/>
              <w:rPr>
                <w:rFonts w:hint="eastAsia"/>
                <w:lang w:eastAsia="zh-CN"/>
              </w:rPr>
            </w:pPr>
            <w:r>
              <w:rPr>
                <w:rFonts w:hint="eastAsia"/>
              </w:rPr>
              <w:t>0</w:t>
            </w:r>
          </w:p>
        </w:tc>
        <w:tc>
          <w:tcPr>
            <w:tcW w:w="407" w:type="pct"/>
            <w:vAlign w:val="center"/>
          </w:tcPr>
          <w:p w14:paraId="6E8AA794">
            <w:pPr>
              <w:pStyle w:val="11"/>
              <w:bidi w:val="0"/>
              <w:jc w:val="center"/>
              <w:rPr>
                <w:rFonts w:hint="eastAsia"/>
                <w:lang w:eastAsia="zh-CN"/>
              </w:rPr>
            </w:pPr>
            <w:r>
              <w:rPr>
                <w:rFonts w:hint="eastAsia"/>
              </w:rPr>
              <w:t>0</w:t>
            </w:r>
          </w:p>
        </w:tc>
        <w:tc>
          <w:tcPr>
            <w:tcW w:w="395" w:type="pct"/>
            <w:vAlign w:val="center"/>
          </w:tcPr>
          <w:p w14:paraId="35373404">
            <w:pPr>
              <w:pStyle w:val="11"/>
              <w:bidi w:val="0"/>
              <w:jc w:val="center"/>
              <w:rPr>
                <w:rFonts w:hint="eastAsia"/>
                <w:lang w:eastAsia="zh-CN"/>
              </w:rPr>
            </w:pPr>
            <w:r>
              <w:rPr>
                <w:rFonts w:hint="eastAsia"/>
              </w:rPr>
              <w:t>18</w:t>
            </w:r>
          </w:p>
        </w:tc>
        <w:tc>
          <w:tcPr>
            <w:tcW w:w="400" w:type="pct"/>
            <w:vAlign w:val="center"/>
          </w:tcPr>
          <w:p w14:paraId="1D51FC10">
            <w:pPr>
              <w:pStyle w:val="11"/>
              <w:bidi w:val="0"/>
              <w:jc w:val="center"/>
              <w:rPr>
                <w:rFonts w:hint="eastAsia"/>
                <w:lang w:eastAsia="zh-CN"/>
              </w:rPr>
            </w:pPr>
            <w:r>
              <w:rPr>
                <w:rFonts w:hint="eastAsia"/>
              </w:rPr>
              <w:t>18</w:t>
            </w:r>
          </w:p>
        </w:tc>
        <w:tc>
          <w:tcPr>
            <w:tcW w:w="372" w:type="pct"/>
            <w:vAlign w:val="center"/>
          </w:tcPr>
          <w:p w14:paraId="66F59407">
            <w:pPr>
              <w:pStyle w:val="11"/>
              <w:bidi w:val="0"/>
              <w:jc w:val="center"/>
              <w:rPr>
                <w:rFonts w:hint="eastAsia"/>
                <w:lang w:eastAsia="zh-CN"/>
              </w:rPr>
            </w:pPr>
            <w:r>
              <w:rPr>
                <w:rFonts w:hint="eastAsia"/>
              </w:rPr>
              <w:t>5</w:t>
            </w:r>
          </w:p>
        </w:tc>
        <w:tc>
          <w:tcPr>
            <w:tcW w:w="389" w:type="pct"/>
            <w:vAlign w:val="center"/>
          </w:tcPr>
          <w:p w14:paraId="758166B7">
            <w:pPr>
              <w:pStyle w:val="11"/>
              <w:bidi w:val="0"/>
              <w:jc w:val="center"/>
              <w:rPr>
                <w:rFonts w:hint="eastAsia"/>
                <w:lang w:eastAsia="zh-CN"/>
              </w:rPr>
            </w:pPr>
            <w:r>
              <w:rPr>
                <w:rFonts w:hint="eastAsia"/>
              </w:rPr>
              <w:t>5</w:t>
            </w:r>
          </w:p>
        </w:tc>
        <w:tc>
          <w:tcPr>
            <w:tcW w:w="352" w:type="pct"/>
            <w:vAlign w:val="center"/>
          </w:tcPr>
          <w:p w14:paraId="7CD0748D">
            <w:pPr>
              <w:pStyle w:val="11"/>
              <w:bidi w:val="0"/>
              <w:jc w:val="center"/>
              <w:rPr>
                <w:rFonts w:hint="eastAsia"/>
                <w:lang w:eastAsia="zh-CN"/>
              </w:rPr>
            </w:pPr>
            <w:r>
              <w:rPr>
                <w:rFonts w:hint="eastAsia"/>
              </w:rPr>
              <w:t>12</w:t>
            </w:r>
          </w:p>
        </w:tc>
      </w:tr>
    </w:tbl>
    <w:p w14:paraId="47739147">
      <w:pPr>
        <w:bidi w:val="0"/>
        <w:rPr>
          <w:rFonts w:hint="eastAsia"/>
          <w:lang w:eastAsia="zh-CN"/>
        </w:rPr>
      </w:pPr>
    </w:p>
    <w:tbl>
      <w:tblPr>
        <w:tblStyle w:val="8"/>
        <w:tblW w:w="497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99"/>
        <w:gridCol w:w="1161"/>
        <w:gridCol w:w="811"/>
        <w:gridCol w:w="917"/>
        <w:gridCol w:w="877"/>
        <w:gridCol w:w="800"/>
        <w:gridCol w:w="919"/>
        <w:gridCol w:w="821"/>
        <w:gridCol w:w="913"/>
      </w:tblGrid>
      <w:tr w14:paraId="49E3B8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Merge w:val="restart"/>
            <w:vAlign w:val="center"/>
          </w:tcPr>
          <w:p w14:paraId="155C03C0">
            <w:pPr>
              <w:pStyle w:val="11"/>
              <w:bidi w:val="0"/>
              <w:jc w:val="center"/>
              <w:rPr>
                <w:rFonts w:hint="eastAsia"/>
                <w:b/>
                <w:bCs/>
                <w:lang w:eastAsia="zh-CN"/>
              </w:rPr>
            </w:pPr>
            <w:r>
              <w:rPr>
                <w:rFonts w:hint="eastAsia"/>
                <w:b/>
                <w:bCs/>
              </w:rPr>
              <w:t>机构分类</w:t>
            </w:r>
          </w:p>
        </w:tc>
        <w:tc>
          <w:tcPr>
            <w:tcW w:w="3638" w:type="pct"/>
            <w:gridSpan w:val="8"/>
            <w:vAlign w:val="center"/>
          </w:tcPr>
          <w:p w14:paraId="4DCFAE39">
            <w:pPr>
              <w:pStyle w:val="11"/>
              <w:bidi w:val="0"/>
              <w:jc w:val="center"/>
              <w:rPr>
                <w:rFonts w:hint="eastAsia"/>
                <w:b/>
                <w:bCs/>
                <w:lang w:eastAsia="zh-CN"/>
              </w:rPr>
            </w:pPr>
            <w:r>
              <w:rPr>
                <w:rFonts w:hint="eastAsia"/>
                <w:b/>
                <w:bCs/>
              </w:rPr>
              <w:t>在岗职工</w:t>
            </w:r>
          </w:p>
        </w:tc>
      </w:tr>
      <w:tr w14:paraId="5F2250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Merge w:val="continue"/>
            <w:vAlign w:val="center"/>
          </w:tcPr>
          <w:p w14:paraId="2BACE84E">
            <w:pPr>
              <w:pStyle w:val="11"/>
              <w:bidi w:val="0"/>
              <w:jc w:val="center"/>
              <w:rPr>
                <w:rFonts w:hint="eastAsia"/>
                <w:b/>
                <w:bCs/>
                <w:lang w:eastAsia="zh-CN"/>
              </w:rPr>
            </w:pPr>
          </w:p>
        </w:tc>
        <w:tc>
          <w:tcPr>
            <w:tcW w:w="2301" w:type="pct"/>
            <w:gridSpan w:val="5"/>
            <w:vAlign w:val="center"/>
          </w:tcPr>
          <w:p w14:paraId="14C40B13">
            <w:pPr>
              <w:pStyle w:val="11"/>
              <w:bidi w:val="0"/>
              <w:jc w:val="center"/>
              <w:rPr>
                <w:rFonts w:hint="eastAsia"/>
                <w:b/>
                <w:bCs/>
                <w:lang w:eastAsia="zh-CN"/>
              </w:rPr>
            </w:pPr>
            <w:r>
              <w:rPr>
                <w:rFonts w:hint="eastAsia"/>
                <w:b/>
                <w:bCs/>
              </w:rPr>
              <w:t>卫生技术人员</w:t>
            </w:r>
          </w:p>
        </w:tc>
        <w:tc>
          <w:tcPr>
            <w:tcW w:w="463" w:type="pct"/>
            <w:vMerge w:val="restart"/>
            <w:vAlign w:val="center"/>
          </w:tcPr>
          <w:p w14:paraId="415C3CC0">
            <w:pPr>
              <w:pStyle w:val="11"/>
              <w:bidi w:val="0"/>
              <w:jc w:val="center"/>
              <w:rPr>
                <w:rFonts w:hint="eastAsia"/>
                <w:b/>
                <w:bCs/>
                <w:lang w:eastAsia="zh-CN"/>
              </w:rPr>
            </w:pPr>
            <w:r>
              <w:rPr>
                <w:rFonts w:hint="eastAsia"/>
                <w:b/>
                <w:bCs/>
              </w:rPr>
              <w:t>其他技术人员</w:t>
            </w:r>
          </w:p>
        </w:tc>
        <w:tc>
          <w:tcPr>
            <w:tcW w:w="414" w:type="pct"/>
            <w:vMerge w:val="restart"/>
            <w:vAlign w:val="center"/>
          </w:tcPr>
          <w:p w14:paraId="52EB1CDB">
            <w:pPr>
              <w:pStyle w:val="11"/>
              <w:bidi w:val="0"/>
              <w:jc w:val="center"/>
              <w:rPr>
                <w:rFonts w:hint="eastAsia"/>
                <w:b/>
                <w:bCs/>
                <w:lang w:eastAsia="zh-CN"/>
              </w:rPr>
            </w:pPr>
            <w:r>
              <w:rPr>
                <w:rFonts w:hint="eastAsia"/>
                <w:b/>
                <w:bCs/>
              </w:rPr>
              <w:t>管理人员</w:t>
            </w:r>
          </w:p>
        </w:tc>
        <w:tc>
          <w:tcPr>
            <w:tcW w:w="459" w:type="pct"/>
            <w:vMerge w:val="restart"/>
            <w:vAlign w:val="center"/>
          </w:tcPr>
          <w:p w14:paraId="45768191">
            <w:pPr>
              <w:pStyle w:val="11"/>
              <w:bidi w:val="0"/>
              <w:jc w:val="center"/>
              <w:rPr>
                <w:rFonts w:hint="eastAsia"/>
                <w:b/>
                <w:bCs/>
                <w:lang w:eastAsia="zh-CN"/>
              </w:rPr>
            </w:pPr>
            <w:r>
              <w:rPr>
                <w:rFonts w:hint="eastAsia"/>
                <w:b/>
                <w:bCs/>
              </w:rPr>
              <w:t>工勤技能人员</w:t>
            </w:r>
          </w:p>
        </w:tc>
      </w:tr>
      <w:tr w14:paraId="2E1F60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Merge w:val="continue"/>
            <w:vAlign w:val="center"/>
          </w:tcPr>
          <w:p w14:paraId="610098B3">
            <w:pPr>
              <w:pStyle w:val="11"/>
              <w:bidi w:val="0"/>
              <w:jc w:val="center"/>
              <w:rPr>
                <w:rFonts w:hint="eastAsia"/>
                <w:lang w:eastAsia="zh-CN"/>
              </w:rPr>
            </w:pPr>
          </w:p>
        </w:tc>
        <w:tc>
          <w:tcPr>
            <w:tcW w:w="585" w:type="pct"/>
            <w:vAlign w:val="center"/>
          </w:tcPr>
          <w:p w14:paraId="75D476FE">
            <w:pPr>
              <w:pStyle w:val="11"/>
              <w:bidi w:val="0"/>
              <w:jc w:val="center"/>
              <w:rPr>
                <w:rFonts w:hint="eastAsia"/>
                <w:b/>
                <w:bCs/>
                <w:lang w:eastAsia="zh-CN"/>
              </w:rPr>
            </w:pPr>
            <w:r>
              <w:rPr>
                <w:rFonts w:hint="eastAsia"/>
                <w:b/>
                <w:bCs/>
              </w:rPr>
              <w:t>药师（士）</w:t>
            </w:r>
          </w:p>
        </w:tc>
        <w:tc>
          <w:tcPr>
            <w:tcW w:w="871" w:type="pct"/>
            <w:gridSpan w:val="2"/>
            <w:vAlign w:val="center"/>
          </w:tcPr>
          <w:p w14:paraId="33B4FD52">
            <w:pPr>
              <w:pStyle w:val="11"/>
              <w:bidi w:val="0"/>
              <w:jc w:val="center"/>
              <w:rPr>
                <w:rFonts w:hint="eastAsia"/>
                <w:b/>
                <w:bCs/>
                <w:lang w:eastAsia="zh-CN"/>
              </w:rPr>
            </w:pPr>
            <w:r>
              <w:rPr>
                <w:rFonts w:hint="eastAsia"/>
                <w:b/>
                <w:bCs/>
              </w:rPr>
              <w:t>技师（士）</w:t>
            </w:r>
          </w:p>
        </w:tc>
        <w:tc>
          <w:tcPr>
            <w:tcW w:w="442" w:type="pct"/>
            <w:vAlign w:val="center"/>
          </w:tcPr>
          <w:p w14:paraId="3A2F6053">
            <w:pPr>
              <w:pStyle w:val="11"/>
              <w:bidi w:val="0"/>
              <w:jc w:val="center"/>
              <w:rPr>
                <w:rFonts w:hint="default"/>
                <w:b/>
                <w:bCs/>
                <w:lang w:val="en-US" w:eastAsia="zh-CN"/>
              </w:rPr>
            </w:pPr>
            <w:r>
              <w:rPr>
                <w:rFonts w:hint="eastAsia"/>
                <w:b/>
                <w:bCs/>
                <w:lang w:val="en-US" w:eastAsia="zh-CN"/>
              </w:rPr>
              <w:t>其他</w:t>
            </w:r>
          </w:p>
        </w:tc>
        <w:tc>
          <w:tcPr>
            <w:tcW w:w="402" w:type="pct"/>
            <w:vAlign w:val="center"/>
          </w:tcPr>
          <w:p w14:paraId="6574AE3B">
            <w:pPr>
              <w:pStyle w:val="11"/>
              <w:bidi w:val="0"/>
              <w:jc w:val="center"/>
              <w:rPr>
                <w:rFonts w:hint="eastAsia"/>
                <w:b/>
                <w:bCs/>
                <w:lang w:eastAsia="zh-CN"/>
              </w:rPr>
            </w:pPr>
          </w:p>
        </w:tc>
        <w:tc>
          <w:tcPr>
            <w:tcW w:w="463" w:type="pct"/>
            <w:vMerge w:val="continue"/>
            <w:vAlign w:val="center"/>
          </w:tcPr>
          <w:p w14:paraId="6ECF34A7">
            <w:pPr>
              <w:pStyle w:val="11"/>
              <w:bidi w:val="0"/>
              <w:jc w:val="center"/>
              <w:rPr>
                <w:rFonts w:hint="eastAsia"/>
                <w:lang w:eastAsia="zh-CN"/>
              </w:rPr>
            </w:pPr>
          </w:p>
        </w:tc>
        <w:tc>
          <w:tcPr>
            <w:tcW w:w="414" w:type="pct"/>
            <w:vMerge w:val="continue"/>
            <w:vAlign w:val="center"/>
          </w:tcPr>
          <w:p w14:paraId="3A73F5F5">
            <w:pPr>
              <w:pStyle w:val="11"/>
              <w:bidi w:val="0"/>
              <w:jc w:val="center"/>
              <w:rPr>
                <w:rFonts w:hint="eastAsia"/>
                <w:lang w:eastAsia="zh-CN"/>
              </w:rPr>
            </w:pPr>
          </w:p>
        </w:tc>
        <w:tc>
          <w:tcPr>
            <w:tcW w:w="459" w:type="pct"/>
            <w:vMerge w:val="continue"/>
            <w:vAlign w:val="center"/>
          </w:tcPr>
          <w:p w14:paraId="45CEFA58">
            <w:pPr>
              <w:pStyle w:val="11"/>
              <w:bidi w:val="0"/>
              <w:jc w:val="center"/>
              <w:rPr>
                <w:rFonts w:hint="eastAsia"/>
                <w:lang w:eastAsia="zh-CN"/>
              </w:rPr>
            </w:pPr>
          </w:p>
        </w:tc>
      </w:tr>
      <w:tr w14:paraId="7DFFDA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Merge w:val="continue"/>
            <w:vAlign w:val="center"/>
          </w:tcPr>
          <w:p w14:paraId="0D8BF6C8">
            <w:pPr>
              <w:pStyle w:val="11"/>
              <w:bidi w:val="0"/>
              <w:jc w:val="center"/>
              <w:rPr>
                <w:rFonts w:hint="eastAsia"/>
                <w:lang w:eastAsia="zh-CN"/>
              </w:rPr>
            </w:pPr>
          </w:p>
        </w:tc>
        <w:tc>
          <w:tcPr>
            <w:tcW w:w="585" w:type="pct"/>
            <w:vAlign w:val="center"/>
          </w:tcPr>
          <w:p w14:paraId="031D4C2C">
            <w:pPr>
              <w:pStyle w:val="11"/>
              <w:bidi w:val="0"/>
              <w:jc w:val="center"/>
              <w:rPr>
                <w:rFonts w:hint="eastAsia"/>
                <w:b/>
                <w:bCs/>
                <w:lang w:eastAsia="zh-CN"/>
              </w:rPr>
            </w:pPr>
          </w:p>
        </w:tc>
        <w:tc>
          <w:tcPr>
            <w:tcW w:w="409" w:type="pct"/>
            <w:vAlign w:val="center"/>
          </w:tcPr>
          <w:p w14:paraId="68501FB7">
            <w:pPr>
              <w:pStyle w:val="11"/>
              <w:bidi w:val="0"/>
              <w:jc w:val="center"/>
              <w:rPr>
                <w:rFonts w:hint="eastAsia"/>
                <w:b/>
                <w:bCs/>
                <w:lang w:eastAsia="zh-CN"/>
              </w:rPr>
            </w:pPr>
          </w:p>
        </w:tc>
        <w:tc>
          <w:tcPr>
            <w:tcW w:w="462" w:type="pct"/>
            <w:vAlign w:val="center"/>
          </w:tcPr>
          <w:p w14:paraId="3F82E1D9">
            <w:pPr>
              <w:pStyle w:val="11"/>
              <w:bidi w:val="0"/>
              <w:jc w:val="center"/>
              <w:rPr>
                <w:rFonts w:hint="eastAsia"/>
                <w:b/>
                <w:bCs/>
                <w:lang w:val="en-US" w:eastAsia="zh-CN"/>
              </w:rPr>
            </w:pPr>
            <w:r>
              <w:rPr>
                <w:rFonts w:hint="eastAsia"/>
                <w:b/>
                <w:bCs/>
              </w:rPr>
              <w:t>检验</w:t>
            </w:r>
            <w:r>
              <w:rPr>
                <w:rFonts w:hint="eastAsia"/>
                <w:b/>
                <w:bCs/>
                <w:lang w:val="en-US" w:eastAsia="zh-CN"/>
              </w:rPr>
              <w:t>师</w:t>
            </w:r>
          </w:p>
        </w:tc>
        <w:tc>
          <w:tcPr>
            <w:tcW w:w="442" w:type="pct"/>
            <w:vAlign w:val="center"/>
          </w:tcPr>
          <w:p w14:paraId="60B1BD0C">
            <w:pPr>
              <w:pStyle w:val="11"/>
              <w:bidi w:val="0"/>
              <w:jc w:val="center"/>
              <w:rPr>
                <w:rFonts w:hint="eastAsia"/>
                <w:b/>
                <w:bCs/>
                <w:lang w:eastAsia="zh-CN"/>
              </w:rPr>
            </w:pPr>
          </w:p>
        </w:tc>
        <w:tc>
          <w:tcPr>
            <w:tcW w:w="402" w:type="pct"/>
            <w:vAlign w:val="center"/>
          </w:tcPr>
          <w:p w14:paraId="296342B6">
            <w:pPr>
              <w:pStyle w:val="11"/>
              <w:bidi w:val="0"/>
              <w:jc w:val="center"/>
              <w:rPr>
                <w:rFonts w:hint="default"/>
                <w:b/>
                <w:bCs/>
                <w:lang w:val="en-US" w:eastAsia="zh-CN"/>
              </w:rPr>
            </w:pPr>
            <w:r>
              <w:rPr>
                <w:rFonts w:hint="eastAsia"/>
                <w:b/>
                <w:bCs/>
                <w:lang w:val="en-US" w:eastAsia="zh-CN"/>
              </w:rPr>
              <w:t>见习医师</w:t>
            </w:r>
          </w:p>
        </w:tc>
        <w:tc>
          <w:tcPr>
            <w:tcW w:w="463" w:type="pct"/>
            <w:vMerge w:val="continue"/>
            <w:vAlign w:val="center"/>
          </w:tcPr>
          <w:p w14:paraId="7319B1F4">
            <w:pPr>
              <w:pStyle w:val="11"/>
              <w:bidi w:val="0"/>
              <w:jc w:val="center"/>
              <w:rPr>
                <w:rFonts w:hint="eastAsia"/>
                <w:lang w:eastAsia="zh-CN"/>
              </w:rPr>
            </w:pPr>
          </w:p>
        </w:tc>
        <w:tc>
          <w:tcPr>
            <w:tcW w:w="414" w:type="pct"/>
            <w:vMerge w:val="continue"/>
            <w:vAlign w:val="center"/>
          </w:tcPr>
          <w:p w14:paraId="2009BF16">
            <w:pPr>
              <w:pStyle w:val="11"/>
              <w:bidi w:val="0"/>
              <w:jc w:val="center"/>
              <w:rPr>
                <w:rFonts w:hint="eastAsia"/>
                <w:lang w:eastAsia="zh-CN"/>
              </w:rPr>
            </w:pPr>
          </w:p>
        </w:tc>
        <w:tc>
          <w:tcPr>
            <w:tcW w:w="459" w:type="pct"/>
            <w:vMerge w:val="continue"/>
            <w:vAlign w:val="center"/>
          </w:tcPr>
          <w:p w14:paraId="5368B746">
            <w:pPr>
              <w:pStyle w:val="11"/>
              <w:bidi w:val="0"/>
              <w:jc w:val="center"/>
              <w:rPr>
                <w:rFonts w:hint="eastAsia"/>
                <w:lang w:eastAsia="zh-CN"/>
              </w:rPr>
            </w:pPr>
          </w:p>
        </w:tc>
      </w:tr>
      <w:tr w14:paraId="33E752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3E7C3C55">
            <w:pPr>
              <w:pStyle w:val="11"/>
              <w:bidi w:val="0"/>
              <w:jc w:val="both"/>
              <w:rPr>
                <w:rFonts w:hint="eastAsia"/>
                <w:lang w:eastAsia="zh-CN"/>
              </w:rPr>
            </w:pPr>
            <w:r>
              <w:rPr>
                <w:rFonts w:hint="eastAsia"/>
              </w:rPr>
              <w:t>总计</w:t>
            </w:r>
          </w:p>
        </w:tc>
        <w:tc>
          <w:tcPr>
            <w:tcW w:w="585" w:type="pct"/>
            <w:vAlign w:val="center"/>
          </w:tcPr>
          <w:p w14:paraId="30A44C5C">
            <w:pPr>
              <w:pStyle w:val="11"/>
              <w:bidi w:val="0"/>
              <w:ind w:firstLine="0" w:firstLineChars="0"/>
              <w:jc w:val="center"/>
              <w:rPr>
                <w:rFonts w:hint="eastAsia" w:ascii="宋体" w:hAnsi="宋体" w:eastAsia="宋体" w:cstheme="minorBidi"/>
                <w:b/>
                <w:bCs/>
                <w:kern w:val="2"/>
                <w:sz w:val="21"/>
                <w:szCs w:val="22"/>
                <w:lang w:val="en-US" w:eastAsia="zh-CN" w:bidi="ar-SA"/>
              </w:rPr>
            </w:pPr>
          </w:p>
        </w:tc>
        <w:tc>
          <w:tcPr>
            <w:tcW w:w="409" w:type="pct"/>
            <w:vAlign w:val="center"/>
          </w:tcPr>
          <w:p w14:paraId="7EA9F461">
            <w:pPr>
              <w:pStyle w:val="11"/>
              <w:bidi w:val="0"/>
              <w:jc w:val="center"/>
              <w:rPr>
                <w:rFonts w:hint="eastAsia"/>
                <w:lang w:eastAsia="zh-CN"/>
              </w:rPr>
            </w:pPr>
            <w:r>
              <w:rPr>
                <w:rFonts w:hint="eastAsia"/>
              </w:rPr>
              <w:t>108</w:t>
            </w:r>
          </w:p>
        </w:tc>
        <w:tc>
          <w:tcPr>
            <w:tcW w:w="462" w:type="pct"/>
            <w:vAlign w:val="center"/>
          </w:tcPr>
          <w:p w14:paraId="7872BAD8">
            <w:pPr>
              <w:pStyle w:val="11"/>
              <w:bidi w:val="0"/>
              <w:jc w:val="center"/>
              <w:rPr>
                <w:rFonts w:hint="eastAsia"/>
                <w:lang w:eastAsia="zh-CN"/>
              </w:rPr>
            </w:pPr>
            <w:r>
              <w:rPr>
                <w:rFonts w:hint="eastAsia"/>
              </w:rPr>
              <w:t>84</w:t>
            </w:r>
          </w:p>
        </w:tc>
        <w:tc>
          <w:tcPr>
            <w:tcW w:w="442" w:type="pct"/>
            <w:vAlign w:val="center"/>
          </w:tcPr>
          <w:p w14:paraId="3AE1CA3D">
            <w:pPr>
              <w:pStyle w:val="11"/>
              <w:bidi w:val="0"/>
              <w:jc w:val="center"/>
              <w:rPr>
                <w:rFonts w:hint="eastAsia"/>
                <w:lang w:eastAsia="zh-CN"/>
              </w:rPr>
            </w:pPr>
            <w:r>
              <w:rPr>
                <w:rFonts w:hint="eastAsia"/>
              </w:rPr>
              <w:t>189</w:t>
            </w:r>
          </w:p>
        </w:tc>
        <w:tc>
          <w:tcPr>
            <w:tcW w:w="402" w:type="pct"/>
            <w:vAlign w:val="center"/>
          </w:tcPr>
          <w:p w14:paraId="606CFB5A">
            <w:pPr>
              <w:pStyle w:val="11"/>
              <w:bidi w:val="0"/>
              <w:jc w:val="center"/>
              <w:rPr>
                <w:rFonts w:hint="eastAsia"/>
                <w:lang w:eastAsia="zh-CN"/>
              </w:rPr>
            </w:pPr>
            <w:r>
              <w:rPr>
                <w:rFonts w:hint="eastAsia"/>
              </w:rPr>
              <w:t>97</w:t>
            </w:r>
          </w:p>
        </w:tc>
        <w:tc>
          <w:tcPr>
            <w:tcW w:w="463" w:type="pct"/>
            <w:vAlign w:val="center"/>
          </w:tcPr>
          <w:p w14:paraId="6C3A12AD">
            <w:pPr>
              <w:pStyle w:val="11"/>
              <w:bidi w:val="0"/>
              <w:jc w:val="center"/>
              <w:rPr>
                <w:rFonts w:hint="eastAsia"/>
                <w:lang w:eastAsia="zh-CN"/>
              </w:rPr>
            </w:pPr>
            <w:r>
              <w:rPr>
                <w:rFonts w:hint="eastAsia"/>
              </w:rPr>
              <w:t>275</w:t>
            </w:r>
          </w:p>
        </w:tc>
        <w:tc>
          <w:tcPr>
            <w:tcW w:w="414" w:type="pct"/>
            <w:vAlign w:val="center"/>
          </w:tcPr>
          <w:p w14:paraId="4F38057A">
            <w:pPr>
              <w:pStyle w:val="11"/>
              <w:bidi w:val="0"/>
              <w:jc w:val="center"/>
              <w:rPr>
                <w:rFonts w:hint="eastAsia"/>
                <w:lang w:eastAsia="zh-CN"/>
              </w:rPr>
            </w:pPr>
            <w:r>
              <w:rPr>
                <w:rFonts w:hint="eastAsia"/>
              </w:rPr>
              <w:t>71</w:t>
            </w:r>
          </w:p>
        </w:tc>
        <w:tc>
          <w:tcPr>
            <w:tcW w:w="459" w:type="pct"/>
            <w:vAlign w:val="center"/>
          </w:tcPr>
          <w:p w14:paraId="38E80325">
            <w:pPr>
              <w:pStyle w:val="11"/>
              <w:bidi w:val="0"/>
              <w:jc w:val="center"/>
              <w:rPr>
                <w:rFonts w:hint="eastAsia"/>
                <w:lang w:eastAsia="zh-CN"/>
              </w:rPr>
            </w:pPr>
            <w:r>
              <w:rPr>
                <w:rFonts w:hint="eastAsia"/>
              </w:rPr>
              <w:t>178</w:t>
            </w:r>
          </w:p>
        </w:tc>
      </w:tr>
      <w:tr w14:paraId="0B6FAA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65F95CBA">
            <w:pPr>
              <w:pStyle w:val="11"/>
              <w:bidi w:val="0"/>
              <w:jc w:val="both"/>
              <w:rPr>
                <w:rFonts w:hint="eastAsia"/>
                <w:lang w:eastAsia="zh-CN"/>
              </w:rPr>
            </w:pPr>
            <w:r>
              <w:rPr>
                <w:rFonts w:hint="eastAsia"/>
              </w:rPr>
              <w:t>一、医院</w:t>
            </w:r>
          </w:p>
        </w:tc>
        <w:tc>
          <w:tcPr>
            <w:tcW w:w="585" w:type="pct"/>
            <w:vAlign w:val="center"/>
          </w:tcPr>
          <w:p w14:paraId="3B2493DB">
            <w:pPr>
              <w:pStyle w:val="11"/>
              <w:bidi w:val="0"/>
              <w:jc w:val="center"/>
              <w:rPr>
                <w:rFonts w:hint="eastAsia"/>
                <w:lang w:eastAsia="zh-CN"/>
              </w:rPr>
            </w:pPr>
            <w:r>
              <w:rPr>
                <w:rFonts w:hint="eastAsia"/>
              </w:rPr>
              <w:t>26</w:t>
            </w:r>
          </w:p>
        </w:tc>
        <w:tc>
          <w:tcPr>
            <w:tcW w:w="409" w:type="pct"/>
            <w:vAlign w:val="center"/>
          </w:tcPr>
          <w:p w14:paraId="7617DA77">
            <w:pPr>
              <w:pStyle w:val="11"/>
              <w:bidi w:val="0"/>
              <w:jc w:val="center"/>
              <w:rPr>
                <w:rFonts w:hint="eastAsia"/>
                <w:lang w:eastAsia="zh-CN"/>
              </w:rPr>
            </w:pPr>
            <w:r>
              <w:rPr>
                <w:rFonts w:hint="eastAsia"/>
              </w:rPr>
              <w:t>31</w:t>
            </w:r>
          </w:p>
        </w:tc>
        <w:tc>
          <w:tcPr>
            <w:tcW w:w="462" w:type="pct"/>
            <w:vAlign w:val="center"/>
          </w:tcPr>
          <w:p w14:paraId="28A91331">
            <w:pPr>
              <w:pStyle w:val="11"/>
              <w:bidi w:val="0"/>
              <w:jc w:val="center"/>
              <w:rPr>
                <w:rFonts w:hint="eastAsia"/>
                <w:lang w:eastAsia="zh-CN"/>
              </w:rPr>
            </w:pPr>
            <w:r>
              <w:rPr>
                <w:rFonts w:hint="eastAsia"/>
              </w:rPr>
              <w:t>26</w:t>
            </w:r>
          </w:p>
        </w:tc>
        <w:tc>
          <w:tcPr>
            <w:tcW w:w="442" w:type="pct"/>
            <w:vAlign w:val="center"/>
          </w:tcPr>
          <w:p w14:paraId="5812ADC6">
            <w:pPr>
              <w:pStyle w:val="11"/>
              <w:bidi w:val="0"/>
              <w:jc w:val="center"/>
              <w:rPr>
                <w:rFonts w:hint="eastAsia"/>
                <w:lang w:eastAsia="zh-CN"/>
              </w:rPr>
            </w:pPr>
            <w:r>
              <w:rPr>
                <w:rFonts w:hint="eastAsia"/>
              </w:rPr>
              <w:t>81</w:t>
            </w:r>
          </w:p>
        </w:tc>
        <w:tc>
          <w:tcPr>
            <w:tcW w:w="402" w:type="pct"/>
            <w:vAlign w:val="center"/>
          </w:tcPr>
          <w:p w14:paraId="260B0756">
            <w:pPr>
              <w:pStyle w:val="11"/>
              <w:bidi w:val="0"/>
              <w:jc w:val="center"/>
              <w:rPr>
                <w:rFonts w:hint="eastAsia"/>
                <w:lang w:eastAsia="zh-CN"/>
              </w:rPr>
            </w:pPr>
            <w:r>
              <w:rPr>
                <w:rFonts w:hint="eastAsia"/>
              </w:rPr>
              <w:t>63</w:t>
            </w:r>
          </w:p>
        </w:tc>
        <w:tc>
          <w:tcPr>
            <w:tcW w:w="463" w:type="pct"/>
            <w:vAlign w:val="center"/>
          </w:tcPr>
          <w:p w14:paraId="2B052B7A">
            <w:pPr>
              <w:pStyle w:val="11"/>
              <w:bidi w:val="0"/>
              <w:jc w:val="center"/>
              <w:rPr>
                <w:rFonts w:hint="eastAsia"/>
                <w:lang w:eastAsia="zh-CN"/>
              </w:rPr>
            </w:pPr>
            <w:r>
              <w:rPr>
                <w:rFonts w:hint="eastAsia"/>
              </w:rPr>
              <w:t>13</w:t>
            </w:r>
          </w:p>
        </w:tc>
        <w:tc>
          <w:tcPr>
            <w:tcW w:w="414" w:type="pct"/>
            <w:vAlign w:val="center"/>
          </w:tcPr>
          <w:p w14:paraId="76334079">
            <w:pPr>
              <w:pStyle w:val="11"/>
              <w:bidi w:val="0"/>
              <w:jc w:val="center"/>
              <w:rPr>
                <w:rFonts w:hint="eastAsia"/>
                <w:lang w:eastAsia="zh-CN"/>
              </w:rPr>
            </w:pPr>
            <w:r>
              <w:rPr>
                <w:rFonts w:hint="eastAsia"/>
              </w:rPr>
              <w:t>33</w:t>
            </w:r>
          </w:p>
        </w:tc>
        <w:tc>
          <w:tcPr>
            <w:tcW w:w="459" w:type="pct"/>
            <w:vAlign w:val="center"/>
          </w:tcPr>
          <w:p w14:paraId="2D5D263C">
            <w:pPr>
              <w:pStyle w:val="11"/>
              <w:bidi w:val="0"/>
              <w:jc w:val="center"/>
              <w:rPr>
                <w:rFonts w:hint="eastAsia"/>
                <w:lang w:eastAsia="zh-CN"/>
              </w:rPr>
            </w:pPr>
            <w:r>
              <w:rPr>
                <w:rFonts w:hint="eastAsia"/>
              </w:rPr>
              <w:t>81</w:t>
            </w:r>
          </w:p>
        </w:tc>
      </w:tr>
      <w:tr w14:paraId="3CAE67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7C4F3376">
            <w:pPr>
              <w:pStyle w:val="11"/>
              <w:bidi w:val="0"/>
              <w:ind w:leftChars="100"/>
              <w:jc w:val="both"/>
              <w:rPr>
                <w:rFonts w:hint="eastAsia"/>
                <w:lang w:eastAsia="zh-CN"/>
              </w:rPr>
            </w:pPr>
            <w:r>
              <w:rPr>
                <w:rFonts w:hint="eastAsia"/>
              </w:rPr>
              <w:t>综合医院</w:t>
            </w:r>
          </w:p>
        </w:tc>
        <w:tc>
          <w:tcPr>
            <w:tcW w:w="585" w:type="pct"/>
            <w:vAlign w:val="center"/>
          </w:tcPr>
          <w:p w14:paraId="1AEC8225">
            <w:pPr>
              <w:pStyle w:val="11"/>
              <w:bidi w:val="0"/>
              <w:jc w:val="center"/>
              <w:rPr>
                <w:rFonts w:hint="eastAsia"/>
                <w:lang w:eastAsia="zh-CN"/>
              </w:rPr>
            </w:pPr>
            <w:r>
              <w:rPr>
                <w:rFonts w:hint="eastAsia"/>
              </w:rPr>
              <w:t>16</w:t>
            </w:r>
          </w:p>
        </w:tc>
        <w:tc>
          <w:tcPr>
            <w:tcW w:w="409" w:type="pct"/>
            <w:vAlign w:val="center"/>
          </w:tcPr>
          <w:p w14:paraId="1548224D">
            <w:pPr>
              <w:pStyle w:val="11"/>
              <w:bidi w:val="0"/>
              <w:jc w:val="center"/>
              <w:rPr>
                <w:rFonts w:hint="eastAsia"/>
                <w:lang w:eastAsia="zh-CN"/>
              </w:rPr>
            </w:pPr>
            <w:r>
              <w:rPr>
                <w:rFonts w:hint="eastAsia"/>
              </w:rPr>
              <w:t>21</w:t>
            </w:r>
          </w:p>
        </w:tc>
        <w:tc>
          <w:tcPr>
            <w:tcW w:w="462" w:type="pct"/>
            <w:vAlign w:val="center"/>
          </w:tcPr>
          <w:p w14:paraId="171674A1">
            <w:pPr>
              <w:pStyle w:val="11"/>
              <w:bidi w:val="0"/>
              <w:jc w:val="center"/>
              <w:rPr>
                <w:rFonts w:hint="eastAsia"/>
                <w:lang w:eastAsia="zh-CN"/>
              </w:rPr>
            </w:pPr>
            <w:r>
              <w:rPr>
                <w:rFonts w:hint="eastAsia"/>
              </w:rPr>
              <w:t>17</w:t>
            </w:r>
          </w:p>
        </w:tc>
        <w:tc>
          <w:tcPr>
            <w:tcW w:w="442" w:type="pct"/>
            <w:vAlign w:val="center"/>
          </w:tcPr>
          <w:p w14:paraId="27A40530">
            <w:pPr>
              <w:pStyle w:val="11"/>
              <w:bidi w:val="0"/>
              <w:jc w:val="center"/>
              <w:rPr>
                <w:rFonts w:hint="eastAsia"/>
                <w:lang w:eastAsia="zh-CN"/>
              </w:rPr>
            </w:pPr>
            <w:r>
              <w:rPr>
                <w:rFonts w:hint="eastAsia"/>
              </w:rPr>
              <w:t>32</w:t>
            </w:r>
          </w:p>
        </w:tc>
        <w:tc>
          <w:tcPr>
            <w:tcW w:w="402" w:type="pct"/>
            <w:vAlign w:val="center"/>
          </w:tcPr>
          <w:p w14:paraId="6BE7DC9F">
            <w:pPr>
              <w:pStyle w:val="11"/>
              <w:bidi w:val="0"/>
              <w:jc w:val="center"/>
              <w:rPr>
                <w:rFonts w:hint="eastAsia"/>
                <w:lang w:eastAsia="zh-CN"/>
              </w:rPr>
            </w:pPr>
            <w:r>
              <w:rPr>
                <w:rFonts w:hint="eastAsia"/>
              </w:rPr>
              <w:t>27</w:t>
            </w:r>
          </w:p>
        </w:tc>
        <w:tc>
          <w:tcPr>
            <w:tcW w:w="463" w:type="pct"/>
            <w:vAlign w:val="center"/>
          </w:tcPr>
          <w:p w14:paraId="498B43C4">
            <w:pPr>
              <w:pStyle w:val="11"/>
              <w:bidi w:val="0"/>
              <w:jc w:val="center"/>
              <w:rPr>
                <w:rFonts w:hint="eastAsia"/>
                <w:lang w:eastAsia="zh-CN"/>
              </w:rPr>
            </w:pPr>
            <w:r>
              <w:rPr>
                <w:rFonts w:hint="eastAsia"/>
              </w:rPr>
              <w:t>7</w:t>
            </w:r>
          </w:p>
        </w:tc>
        <w:tc>
          <w:tcPr>
            <w:tcW w:w="414" w:type="pct"/>
            <w:vAlign w:val="center"/>
          </w:tcPr>
          <w:p w14:paraId="02738BF4">
            <w:pPr>
              <w:pStyle w:val="11"/>
              <w:bidi w:val="0"/>
              <w:jc w:val="center"/>
              <w:rPr>
                <w:rFonts w:hint="eastAsia"/>
                <w:lang w:eastAsia="zh-CN"/>
              </w:rPr>
            </w:pPr>
            <w:r>
              <w:rPr>
                <w:rFonts w:hint="eastAsia"/>
              </w:rPr>
              <w:t>27</w:t>
            </w:r>
          </w:p>
        </w:tc>
        <w:tc>
          <w:tcPr>
            <w:tcW w:w="459" w:type="pct"/>
            <w:vAlign w:val="center"/>
          </w:tcPr>
          <w:p w14:paraId="280ECE7C">
            <w:pPr>
              <w:pStyle w:val="11"/>
              <w:bidi w:val="0"/>
              <w:jc w:val="center"/>
              <w:rPr>
                <w:rFonts w:hint="eastAsia"/>
                <w:lang w:eastAsia="zh-CN"/>
              </w:rPr>
            </w:pPr>
            <w:r>
              <w:rPr>
                <w:rFonts w:hint="eastAsia"/>
              </w:rPr>
              <w:t>18</w:t>
            </w:r>
          </w:p>
        </w:tc>
      </w:tr>
      <w:tr w14:paraId="5EDE40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14400283">
            <w:pPr>
              <w:pStyle w:val="11"/>
              <w:bidi w:val="0"/>
              <w:ind w:leftChars="100"/>
              <w:jc w:val="both"/>
              <w:rPr>
                <w:rFonts w:hint="eastAsia"/>
                <w:lang w:eastAsia="zh-CN"/>
              </w:rPr>
            </w:pPr>
            <w:r>
              <w:rPr>
                <w:rFonts w:hint="eastAsia"/>
              </w:rPr>
              <w:t>中医医院</w:t>
            </w:r>
          </w:p>
        </w:tc>
        <w:tc>
          <w:tcPr>
            <w:tcW w:w="585" w:type="pct"/>
            <w:vAlign w:val="center"/>
          </w:tcPr>
          <w:p w14:paraId="3807C416">
            <w:pPr>
              <w:pStyle w:val="11"/>
              <w:bidi w:val="0"/>
              <w:jc w:val="center"/>
              <w:rPr>
                <w:rFonts w:hint="eastAsia"/>
                <w:lang w:eastAsia="zh-CN"/>
              </w:rPr>
            </w:pPr>
            <w:r>
              <w:rPr>
                <w:rFonts w:hint="eastAsia"/>
              </w:rPr>
              <w:t>10</w:t>
            </w:r>
          </w:p>
        </w:tc>
        <w:tc>
          <w:tcPr>
            <w:tcW w:w="409" w:type="pct"/>
            <w:vAlign w:val="center"/>
          </w:tcPr>
          <w:p w14:paraId="0A98CBBA">
            <w:pPr>
              <w:pStyle w:val="11"/>
              <w:bidi w:val="0"/>
              <w:jc w:val="center"/>
              <w:rPr>
                <w:rFonts w:hint="eastAsia"/>
                <w:lang w:eastAsia="zh-CN"/>
              </w:rPr>
            </w:pPr>
            <w:r>
              <w:rPr>
                <w:rFonts w:hint="eastAsia"/>
              </w:rPr>
              <w:t>10</w:t>
            </w:r>
          </w:p>
        </w:tc>
        <w:tc>
          <w:tcPr>
            <w:tcW w:w="462" w:type="pct"/>
            <w:vAlign w:val="center"/>
          </w:tcPr>
          <w:p w14:paraId="106EEAD5">
            <w:pPr>
              <w:pStyle w:val="11"/>
              <w:bidi w:val="0"/>
              <w:jc w:val="center"/>
              <w:rPr>
                <w:rFonts w:hint="eastAsia"/>
                <w:lang w:eastAsia="zh-CN"/>
              </w:rPr>
            </w:pPr>
            <w:r>
              <w:rPr>
                <w:rFonts w:hint="eastAsia"/>
              </w:rPr>
              <w:t>9</w:t>
            </w:r>
          </w:p>
        </w:tc>
        <w:tc>
          <w:tcPr>
            <w:tcW w:w="442" w:type="pct"/>
            <w:vAlign w:val="center"/>
          </w:tcPr>
          <w:p w14:paraId="3E162C64">
            <w:pPr>
              <w:pStyle w:val="11"/>
              <w:bidi w:val="0"/>
              <w:jc w:val="center"/>
              <w:rPr>
                <w:rFonts w:hint="eastAsia"/>
                <w:lang w:eastAsia="zh-CN"/>
              </w:rPr>
            </w:pPr>
            <w:r>
              <w:rPr>
                <w:rFonts w:hint="eastAsia"/>
              </w:rPr>
              <w:t>49</w:t>
            </w:r>
          </w:p>
        </w:tc>
        <w:tc>
          <w:tcPr>
            <w:tcW w:w="402" w:type="pct"/>
            <w:vAlign w:val="center"/>
          </w:tcPr>
          <w:p w14:paraId="7A56F1A9">
            <w:pPr>
              <w:pStyle w:val="11"/>
              <w:bidi w:val="0"/>
              <w:jc w:val="center"/>
              <w:rPr>
                <w:rFonts w:hint="eastAsia"/>
                <w:lang w:eastAsia="zh-CN"/>
              </w:rPr>
            </w:pPr>
            <w:r>
              <w:rPr>
                <w:rFonts w:hint="eastAsia"/>
              </w:rPr>
              <w:t>36</w:t>
            </w:r>
          </w:p>
        </w:tc>
        <w:tc>
          <w:tcPr>
            <w:tcW w:w="463" w:type="pct"/>
            <w:vAlign w:val="center"/>
          </w:tcPr>
          <w:p w14:paraId="4C9C630F">
            <w:pPr>
              <w:pStyle w:val="11"/>
              <w:bidi w:val="0"/>
              <w:jc w:val="center"/>
              <w:rPr>
                <w:rFonts w:hint="eastAsia"/>
                <w:lang w:eastAsia="zh-CN"/>
              </w:rPr>
            </w:pPr>
            <w:r>
              <w:rPr>
                <w:rFonts w:hint="eastAsia"/>
              </w:rPr>
              <w:t>6</w:t>
            </w:r>
          </w:p>
        </w:tc>
        <w:tc>
          <w:tcPr>
            <w:tcW w:w="414" w:type="pct"/>
            <w:vAlign w:val="center"/>
          </w:tcPr>
          <w:p w14:paraId="61C914E2">
            <w:pPr>
              <w:pStyle w:val="11"/>
              <w:bidi w:val="0"/>
              <w:jc w:val="center"/>
              <w:rPr>
                <w:rFonts w:hint="eastAsia"/>
                <w:lang w:eastAsia="zh-CN"/>
              </w:rPr>
            </w:pPr>
            <w:r>
              <w:rPr>
                <w:rFonts w:hint="eastAsia"/>
              </w:rPr>
              <w:t>6</w:t>
            </w:r>
          </w:p>
        </w:tc>
        <w:tc>
          <w:tcPr>
            <w:tcW w:w="459" w:type="pct"/>
            <w:vAlign w:val="center"/>
          </w:tcPr>
          <w:p w14:paraId="5CB08AC5">
            <w:pPr>
              <w:pStyle w:val="11"/>
              <w:bidi w:val="0"/>
              <w:jc w:val="center"/>
              <w:rPr>
                <w:rFonts w:hint="eastAsia"/>
                <w:lang w:eastAsia="zh-CN"/>
              </w:rPr>
            </w:pPr>
            <w:r>
              <w:rPr>
                <w:rFonts w:hint="eastAsia"/>
              </w:rPr>
              <w:t>63</w:t>
            </w:r>
          </w:p>
        </w:tc>
      </w:tr>
      <w:tr w14:paraId="581698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56E8F32B">
            <w:pPr>
              <w:pStyle w:val="11"/>
              <w:bidi w:val="0"/>
              <w:jc w:val="both"/>
              <w:rPr>
                <w:rFonts w:hint="eastAsia"/>
                <w:lang w:eastAsia="zh-CN"/>
              </w:rPr>
            </w:pPr>
            <w:r>
              <w:rPr>
                <w:rFonts w:hint="eastAsia"/>
              </w:rPr>
              <w:t>二、基层医疗卫生机构</w:t>
            </w:r>
          </w:p>
        </w:tc>
        <w:tc>
          <w:tcPr>
            <w:tcW w:w="585" w:type="pct"/>
            <w:vAlign w:val="center"/>
          </w:tcPr>
          <w:p w14:paraId="459C9D86">
            <w:pPr>
              <w:pStyle w:val="11"/>
              <w:bidi w:val="0"/>
              <w:jc w:val="center"/>
              <w:rPr>
                <w:rFonts w:hint="eastAsia"/>
                <w:lang w:eastAsia="zh-CN"/>
              </w:rPr>
            </w:pPr>
            <w:r>
              <w:rPr>
                <w:rFonts w:hint="eastAsia"/>
              </w:rPr>
              <w:t>53</w:t>
            </w:r>
          </w:p>
        </w:tc>
        <w:tc>
          <w:tcPr>
            <w:tcW w:w="409" w:type="pct"/>
            <w:vAlign w:val="center"/>
          </w:tcPr>
          <w:p w14:paraId="18661233">
            <w:pPr>
              <w:pStyle w:val="11"/>
              <w:bidi w:val="0"/>
              <w:jc w:val="center"/>
              <w:rPr>
                <w:rFonts w:hint="eastAsia"/>
                <w:lang w:eastAsia="zh-CN"/>
              </w:rPr>
            </w:pPr>
            <w:r>
              <w:rPr>
                <w:rFonts w:hint="eastAsia"/>
              </w:rPr>
              <w:t>55</w:t>
            </w:r>
          </w:p>
        </w:tc>
        <w:tc>
          <w:tcPr>
            <w:tcW w:w="462" w:type="pct"/>
            <w:vAlign w:val="center"/>
          </w:tcPr>
          <w:p w14:paraId="4A2AFFAE">
            <w:pPr>
              <w:pStyle w:val="11"/>
              <w:bidi w:val="0"/>
              <w:jc w:val="center"/>
              <w:rPr>
                <w:rFonts w:hint="eastAsia"/>
                <w:lang w:eastAsia="zh-CN"/>
              </w:rPr>
            </w:pPr>
            <w:r>
              <w:rPr>
                <w:rFonts w:hint="eastAsia"/>
              </w:rPr>
              <w:t>40</w:t>
            </w:r>
          </w:p>
        </w:tc>
        <w:tc>
          <w:tcPr>
            <w:tcW w:w="442" w:type="pct"/>
            <w:vAlign w:val="center"/>
          </w:tcPr>
          <w:p w14:paraId="09D2E5ED">
            <w:pPr>
              <w:pStyle w:val="11"/>
              <w:bidi w:val="0"/>
              <w:jc w:val="center"/>
              <w:rPr>
                <w:rFonts w:hint="eastAsia"/>
                <w:lang w:eastAsia="zh-CN"/>
              </w:rPr>
            </w:pPr>
            <w:r>
              <w:rPr>
                <w:rFonts w:hint="eastAsia"/>
              </w:rPr>
              <w:t>65</w:t>
            </w:r>
          </w:p>
        </w:tc>
        <w:tc>
          <w:tcPr>
            <w:tcW w:w="402" w:type="pct"/>
            <w:vAlign w:val="center"/>
          </w:tcPr>
          <w:p w14:paraId="70F42263">
            <w:pPr>
              <w:pStyle w:val="11"/>
              <w:bidi w:val="0"/>
              <w:jc w:val="center"/>
              <w:rPr>
                <w:rFonts w:hint="eastAsia"/>
                <w:lang w:eastAsia="zh-CN"/>
              </w:rPr>
            </w:pPr>
            <w:r>
              <w:rPr>
                <w:rFonts w:hint="eastAsia"/>
              </w:rPr>
              <w:t>24</w:t>
            </w:r>
          </w:p>
        </w:tc>
        <w:tc>
          <w:tcPr>
            <w:tcW w:w="463" w:type="pct"/>
            <w:vAlign w:val="center"/>
          </w:tcPr>
          <w:p w14:paraId="1A0B8E44">
            <w:pPr>
              <w:pStyle w:val="11"/>
              <w:bidi w:val="0"/>
              <w:jc w:val="center"/>
              <w:rPr>
                <w:rFonts w:hint="eastAsia"/>
                <w:lang w:eastAsia="zh-CN"/>
              </w:rPr>
            </w:pPr>
            <w:r>
              <w:rPr>
                <w:rFonts w:hint="eastAsia"/>
              </w:rPr>
              <w:t>250</w:t>
            </w:r>
          </w:p>
        </w:tc>
        <w:tc>
          <w:tcPr>
            <w:tcW w:w="414" w:type="pct"/>
            <w:vAlign w:val="center"/>
          </w:tcPr>
          <w:p w14:paraId="4760D962">
            <w:pPr>
              <w:pStyle w:val="11"/>
              <w:bidi w:val="0"/>
              <w:jc w:val="center"/>
              <w:rPr>
                <w:rFonts w:hint="eastAsia"/>
                <w:lang w:eastAsia="zh-CN"/>
              </w:rPr>
            </w:pPr>
            <w:r>
              <w:rPr>
                <w:rFonts w:hint="eastAsia"/>
              </w:rPr>
              <w:t>20</w:t>
            </w:r>
          </w:p>
        </w:tc>
        <w:tc>
          <w:tcPr>
            <w:tcW w:w="459" w:type="pct"/>
            <w:vAlign w:val="center"/>
          </w:tcPr>
          <w:p w14:paraId="4B0BF7E0">
            <w:pPr>
              <w:pStyle w:val="11"/>
              <w:bidi w:val="0"/>
              <w:jc w:val="center"/>
              <w:rPr>
                <w:rFonts w:hint="eastAsia"/>
                <w:lang w:eastAsia="zh-CN"/>
              </w:rPr>
            </w:pPr>
            <w:r>
              <w:rPr>
                <w:rFonts w:hint="eastAsia"/>
              </w:rPr>
              <w:t>65</w:t>
            </w:r>
          </w:p>
        </w:tc>
      </w:tr>
      <w:tr w14:paraId="6A1285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7B0BAE28">
            <w:pPr>
              <w:pStyle w:val="11"/>
              <w:bidi w:val="0"/>
              <w:ind w:leftChars="100"/>
              <w:jc w:val="both"/>
              <w:rPr>
                <w:rFonts w:hint="eastAsia"/>
                <w:lang w:eastAsia="zh-CN"/>
              </w:rPr>
            </w:pPr>
            <w:r>
              <w:rPr>
                <w:rFonts w:hint="eastAsia"/>
              </w:rPr>
              <w:t>社区卫生服务中心（站）</w:t>
            </w:r>
          </w:p>
        </w:tc>
        <w:tc>
          <w:tcPr>
            <w:tcW w:w="585" w:type="pct"/>
            <w:vAlign w:val="center"/>
          </w:tcPr>
          <w:p w14:paraId="628B4674">
            <w:pPr>
              <w:pStyle w:val="11"/>
              <w:bidi w:val="0"/>
              <w:jc w:val="center"/>
              <w:rPr>
                <w:rFonts w:hint="eastAsia"/>
                <w:lang w:eastAsia="zh-CN"/>
              </w:rPr>
            </w:pPr>
            <w:r>
              <w:rPr>
                <w:rFonts w:hint="eastAsia"/>
              </w:rPr>
              <w:t>6</w:t>
            </w:r>
          </w:p>
        </w:tc>
        <w:tc>
          <w:tcPr>
            <w:tcW w:w="409" w:type="pct"/>
            <w:vAlign w:val="center"/>
          </w:tcPr>
          <w:p w14:paraId="52788CB5">
            <w:pPr>
              <w:pStyle w:val="11"/>
              <w:bidi w:val="0"/>
              <w:jc w:val="center"/>
              <w:rPr>
                <w:rFonts w:hint="eastAsia"/>
                <w:lang w:eastAsia="zh-CN"/>
              </w:rPr>
            </w:pPr>
            <w:r>
              <w:rPr>
                <w:rFonts w:hint="eastAsia"/>
              </w:rPr>
              <w:t>3</w:t>
            </w:r>
          </w:p>
        </w:tc>
        <w:tc>
          <w:tcPr>
            <w:tcW w:w="462" w:type="pct"/>
            <w:vAlign w:val="center"/>
          </w:tcPr>
          <w:p w14:paraId="1B7FAE5E">
            <w:pPr>
              <w:pStyle w:val="11"/>
              <w:bidi w:val="0"/>
              <w:jc w:val="center"/>
              <w:rPr>
                <w:rFonts w:hint="eastAsia"/>
                <w:lang w:eastAsia="zh-CN"/>
              </w:rPr>
            </w:pPr>
            <w:r>
              <w:rPr>
                <w:rFonts w:hint="eastAsia"/>
              </w:rPr>
              <w:t>1</w:t>
            </w:r>
          </w:p>
        </w:tc>
        <w:tc>
          <w:tcPr>
            <w:tcW w:w="442" w:type="pct"/>
            <w:vAlign w:val="center"/>
          </w:tcPr>
          <w:p w14:paraId="36330FDD">
            <w:pPr>
              <w:pStyle w:val="11"/>
              <w:bidi w:val="0"/>
              <w:jc w:val="center"/>
              <w:rPr>
                <w:rFonts w:hint="eastAsia"/>
                <w:lang w:eastAsia="zh-CN"/>
              </w:rPr>
            </w:pPr>
            <w:r>
              <w:rPr>
                <w:rFonts w:hint="eastAsia"/>
              </w:rPr>
              <w:t>1</w:t>
            </w:r>
          </w:p>
        </w:tc>
        <w:tc>
          <w:tcPr>
            <w:tcW w:w="402" w:type="pct"/>
            <w:vAlign w:val="center"/>
          </w:tcPr>
          <w:p w14:paraId="0D02D22E">
            <w:pPr>
              <w:pStyle w:val="11"/>
              <w:bidi w:val="0"/>
              <w:jc w:val="center"/>
              <w:rPr>
                <w:rFonts w:hint="eastAsia"/>
                <w:lang w:eastAsia="zh-CN"/>
              </w:rPr>
            </w:pPr>
            <w:r>
              <w:rPr>
                <w:rFonts w:hint="eastAsia"/>
              </w:rPr>
              <w:t>0</w:t>
            </w:r>
          </w:p>
        </w:tc>
        <w:tc>
          <w:tcPr>
            <w:tcW w:w="463" w:type="pct"/>
            <w:vAlign w:val="center"/>
          </w:tcPr>
          <w:p w14:paraId="7B6E7D10">
            <w:pPr>
              <w:pStyle w:val="11"/>
              <w:bidi w:val="0"/>
              <w:jc w:val="center"/>
              <w:rPr>
                <w:rFonts w:hint="eastAsia"/>
                <w:lang w:eastAsia="zh-CN"/>
              </w:rPr>
            </w:pPr>
            <w:r>
              <w:rPr>
                <w:rFonts w:hint="eastAsia"/>
              </w:rPr>
              <w:t>1</w:t>
            </w:r>
          </w:p>
        </w:tc>
        <w:tc>
          <w:tcPr>
            <w:tcW w:w="414" w:type="pct"/>
            <w:vAlign w:val="center"/>
          </w:tcPr>
          <w:p w14:paraId="140E4A11">
            <w:pPr>
              <w:pStyle w:val="11"/>
              <w:bidi w:val="0"/>
              <w:jc w:val="center"/>
              <w:rPr>
                <w:rFonts w:hint="eastAsia"/>
                <w:lang w:eastAsia="zh-CN"/>
              </w:rPr>
            </w:pPr>
            <w:r>
              <w:rPr>
                <w:rFonts w:hint="eastAsia"/>
              </w:rPr>
              <w:t>5</w:t>
            </w:r>
          </w:p>
        </w:tc>
        <w:tc>
          <w:tcPr>
            <w:tcW w:w="459" w:type="pct"/>
            <w:vAlign w:val="center"/>
          </w:tcPr>
          <w:p w14:paraId="38D2F5C0">
            <w:pPr>
              <w:pStyle w:val="11"/>
              <w:bidi w:val="0"/>
              <w:jc w:val="center"/>
              <w:rPr>
                <w:rFonts w:hint="eastAsia"/>
                <w:lang w:eastAsia="zh-CN"/>
              </w:rPr>
            </w:pPr>
            <w:r>
              <w:rPr>
                <w:rFonts w:hint="eastAsia"/>
              </w:rPr>
              <w:t>14</w:t>
            </w:r>
          </w:p>
        </w:tc>
      </w:tr>
      <w:tr w14:paraId="0BFEDC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306CDB9B">
            <w:pPr>
              <w:pStyle w:val="11"/>
              <w:bidi w:val="0"/>
              <w:ind w:leftChars="100"/>
              <w:jc w:val="both"/>
              <w:rPr>
                <w:rFonts w:hint="eastAsia"/>
                <w:lang w:eastAsia="zh-CN"/>
              </w:rPr>
            </w:pPr>
            <w:r>
              <w:rPr>
                <w:rFonts w:hint="eastAsia"/>
              </w:rPr>
              <w:t>卫生院</w:t>
            </w:r>
          </w:p>
        </w:tc>
        <w:tc>
          <w:tcPr>
            <w:tcW w:w="585" w:type="pct"/>
            <w:vAlign w:val="center"/>
          </w:tcPr>
          <w:p w14:paraId="64BF80E2">
            <w:pPr>
              <w:pStyle w:val="11"/>
              <w:bidi w:val="0"/>
              <w:jc w:val="center"/>
              <w:rPr>
                <w:rFonts w:hint="eastAsia"/>
                <w:lang w:eastAsia="zh-CN"/>
              </w:rPr>
            </w:pPr>
            <w:r>
              <w:rPr>
                <w:rFonts w:hint="eastAsia"/>
              </w:rPr>
              <w:t>44</w:t>
            </w:r>
          </w:p>
        </w:tc>
        <w:tc>
          <w:tcPr>
            <w:tcW w:w="409" w:type="pct"/>
            <w:vAlign w:val="center"/>
          </w:tcPr>
          <w:p w14:paraId="63D80222">
            <w:pPr>
              <w:pStyle w:val="11"/>
              <w:bidi w:val="0"/>
              <w:jc w:val="center"/>
              <w:rPr>
                <w:rFonts w:hint="eastAsia"/>
                <w:lang w:eastAsia="zh-CN"/>
              </w:rPr>
            </w:pPr>
            <w:r>
              <w:rPr>
                <w:rFonts w:hint="eastAsia"/>
              </w:rPr>
              <w:t>52</w:t>
            </w:r>
          </w:p>
        </w:tc>
        <w:tc>
          <w:tcPr>
            <w:tcW w:w="462" w:type="pct"/>
            <w:vAlign w:val="center"/>
          </w:tcPr>
          <w:p w14:paraId="2C5EBEAA">
            <w:pPr>
              <w:pStyle w:val="11"/>
              <w:bidi w:val="0"/>
              <w:jc w:val="center"/>
              <w:rPr>
                <w:rFonts w:hint="eastAsia"/>
                <w:lang w:eastAsia="zh-CN"/>
              </w:rPr>
            </w:pPr>
            <w:r>
              <w:rPr>
                <w:rFonts w:hint="eastAsia"/>
              </w:rPr>
              <w:t>39</w:t>
            </w:r>
          </w:p>
        </w:tc>
        <w:tc>
          <w:tcPr>
            <w:tcW w:w="442" w:type="pct"/>
            <w:vAlign w:val="center"/>
          </w:tcPr>
          <w:p w14:paraId="1C52EE17">
            <w:pPr>
              <w:pStyle w:val="11"/>
              <w:bidi w:val="0"/>
              <w:jc w:val="center"/>
              <w:rPr>
                <w:rFonts w:hint="eastAsia"/>
                <w:lang w:eastAsia="zh-CN"/>
              </w:rPr>
            </w:pPr>
            <w:r>
              <w:rPr>
                <w:rFonts w:hint="eastAsia"/>
              </w:rPr>
              <w:t>55</w:t>
            </w:r>
          </w:p>
        </w:tc>
        <w:tc>
          <w:tcPr>
            <w:tcW w:w="402" w:type="pct"/>
            <w:vAlign w:val="center"/>
          </w:tcPr>
          <w:p w14:paraId="1A965186">
            <w:pPr>
              <w:pStyle w:val="11"/>
              <w:bidi w:val="0"/>
              <w:jc w:val="center"/>
              <w:rPr>
                <w:rFonts w:hint="eastAsia"/>
                <w:lang w:eastAsia="zh-CN"/>
              </w:rPr>
            </w:pPr>
            <w:r>
              <w:rPr>
                <w:rFonts w:hint="eastAsia"/>
              </w:rPr>
              <w:t>17</w:t>
            </w:r>
          </w:p>
        </w:tc>
        <w:tc>
          <w:tcPr>
            <w:tcW w:w="463" w:type="pct"/>
            <w:vAlign w:val="center"/>
          </w:tcPr>
          <w:p w14:paraId="6738421B">
            <w:pPr>
              <w:pStyle w:val="11"/>
              <w:bidi w:val="0"/>
              <w:jc w:val="center"/>
              <w:rPr>
                <w:rFonts w:hint="eastAsia"/>
                <w:lang w:eastAsia="zh-CN"/>
              </w:rPr>
            </w:pPr>
            <w:r>
              <w:rPr>
                <w:rFonts w:hint="eastAsia"/>
              </w:rPr>
              <w:t>14</w:t>
            </w:r>
          </w:p>
        </w:tc>
        <w:tc>
          <w:tcPr>
            <w:tcW w:w="414" w:type="pct"/>
            <w:vAlign w:val="center"/>
          </w:tcPr>
          <w:p w14:paraId="3137F0EC">
            <w:pPr>
              <w:pStyle w:val="11"/>
              <w:bidi w:val="0"/>
              <w:jc w:val="center"/>
              <w:rPr>
                <w:rFonts w:hint="eastAsia"/>
                <w:lang w:eastAsia="zh-CN"/>
              </w:rPr>
            </w:pPr>
            <w:r>
              <w:rPr>
                <w:rFonts w:hint="eastAsia"/>
              </w:rPr>
              <w:t>14</w:t>
            </w:r>
          </w:p>
        </w:tc>
        <w:tc>
          <w:tcPr>
            <w:tcW w:w="459" w:type="pct"/>
            <w:vAlign w:val="center"/>
          </w:tcPr>
          <w:p w14:paraId="5DCE9D7E">
            <w:pPr>
              <w:pStyle w:val="11"/>
              <w:bidi w:val="0"/>
              <w:jc w:val="center"/>
              <w:rPr>
                <w:rFonts w:hint="eastAsia"/>
                <w:lang w:eastAsia="zh-CN"/>
              </w:rPr>
            </w:pPr>
            <w:r>
              <w:rPr>
                <w:rFonts w:hint="eastAsia"/>
              </w:rPr>
              <w:t>50</w:t>
            </w:r>
          </w:p>
        </w:tc>
      </w:tr>
      <w:tr w14:paraId="0A15E1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56F02735">
            <w:pPr>
              <w:pStyle w:val="11"/>
              <w:bidi w:val="0"/>
              <w:ind w:leftChars="100"/>
              <w:jc w:val="both"/>
              <w:rPr>
                <w:rFonts w:hint="eastAsia"/>
                <w:lang w:eastAsia="zh-CN"/>
              </w:rPr>
            </w:pPr>
            <w:r>
              <w:rPr>
                <w:rFonts w:hint="eastAsia"/>
              </w:rPr>
              <w:t>村卫生室</w:t>
            </w:r>
          </w:p>
        </w:tc>
        <w:tc>
          <w:tcPr>
            <w:tcW w:w="585" w:type="pct"/>
            <w:vAlign w:val="center"/>
          </w:tcPr>
          <w:p w14:paraId="6EA5D6B2">
            <w:pPr>
              <w:pStyle w:val="11"/>
              <w:bidi w:val="0"/>
              <w:jc w:val="center"/>
              <w:rPr>
                <w:rFonts w:hint="eastAsia"/>
                <w:lang w:eastAsia="zh-CN"/>
              </w:rPr>
            </w:pPr>
            <w:r>
              <w:rPr>
                <w:rFonts w:hint="eastAsia"/>
              </w:rPr>
              <w:t>0</w:t>
            </w:r>
          </w:p>
        </w:tc>
        <w:tc>
          <w:tcPr>
            <w:tcW w:w="409" w:type="pct"/>
            <w:vAlign w:val="center"/>
          </w:tcPr>
          <w:p w14:paraId="47454A1B">
            <w:pPr>
              <w:pStyle w:val="11"/>
              <w:bidi w:val="0"/>
              <w:jc w:val="center"/>
              <w:rPr>
                <w:rFonts w:hint="eastAsia"/>
                <w:lang w:eastAsia="zh-CN"/>
              </w:rPr>
            </w:pPr>
            <w:r>
              <w:rPr>
                <w:rFonts w:hint="eastAsia"/>
              </w:rPr>
              <w:t>0</w:t>
            </w:r>
          </w:p>
        </w:tc>
        <w:tc>
          <w:tcPr>
            <w:tcW w:w="462" w:type="pct"/>
            <w:vAlign w:val="center"/>
          </w:tcPr>
          <w:p w14:paraId="1C65A02E">
            <w:pPr>
              <w:pStyle w:val="11"/>
              <w:bidi w:val="0"/>
              <w:jc w:val="center"/>
              <w:rPr>
                <w:rFonts w:hint="eastAsia"/>
                <w:lang w:eastAsia="zh-CN"/>
              </w:rPr>
            </w:pPr>
            <w:r>
              <w:rPr>
                <w:rFonts w:hint="eastAsia"/>
              </w:rPr>
              <w:t>0</w:t>
            </w:r>
          </w:p>
        </w:tc>
        <w:tc>
          <w:tcPr>
            <w:tcW w:w="442" w:type="pct"/>
            <w:vAlign w:val="center"/>
          </w:tcPr>
          <w:p w14:paraId="0DDDEDC5">
            <w:pPr>
              <w:pStyle w:val="11"/>
              <w:bidi w:val="0"/>
              <w:jc w:val="center"/>
              <w:rPr>
                <w:rFonts w:hint="eastAsia"/>
                <w:lang w:eastAsia="zh-CN"/>
              </w:rPr>
            </w:pPr>
            <w:r>
              <w:rPr>
                <w:rFonts w:hint="eastAsia"/>
              </w:rPr>
              <w:t>0</w:t>
            </w:r>
          </w:p>
        </w:tc>
        <w:tc>
          <w:tcPr>
            <w:tcW w:w="402" w:type="pct"/>
            <w:vAlign w:val="center"/>
          </w:tcPr>
          <w:p w14:paraId="370A4041">
            <w:pPr>
              <w:pStyle w:val="11"/>
              <w:bidi w:val="0"/>
              <w:jc w:val="center"/>
              <w:rPr>
                <w:rFonts w:hint="eastAsia"/>
                <w:lang w:eastAsia="zh-CN"/>
              </w:rPr>
            </w:pPr>
            <w:r>
              <w:rPr>
                <w:rFonts w:hint="eastAsia"/>
              </w:rPr>
              <w:t>0</w:t>
            </w:r>
          </w:p>
        </w:tc>
        <w:tc>
          <w:tcPr>
            <w:tcW w:w="463" w:type="pct"/>
            <w:vAlign w:val="center"/>
          </w:tcPr>
          <w:p w14:paraId="35AFB20E">
            <w:pPr>
              <w:pStyle w:val="11"/>
              <w:bidi w:val="0"/>
              <w:jc w:val="center"/>
              <w:rPr>
                <w:rFonts w:hint="eastAsia"/>
                <w:lang w:eastAsia="zh-CN"/>
              </w:rPr>
            </w:pPr>
            <w:r>
              <w:rPr>
                <w:rFonts w:hint="eastAsia"/>
              </w:rPr>
              <w:t>235</w:t>
            </w:r>
          </w:p>
        </w:tc>
        <w:tc>
          <w:tcPr>
            <w:tcW w:w="414" w:type="pct"/>
            <w:vAlign w:val="center"/>
          </w:tcPr>
          <w:p w14:paraId="1E9C31AF">
            <w:pPr>
              <w:pStyle w:val="11"/>
              <w:bidi w:val="0"/>
              <w:jc w:val="center"/>
              <w:rPr>
                <w:rFonts w:hint="eastAsia"/>
                <w:lang w:eastAsia="zh-CN"/>
              </w:rPr>
            </w:pPr>
            <w:r>
              <w:rPr>
                <w:rFonts w:hint="eastAsia"/>
              </w:rPr>
              <w:t>0</w:t>
            </w:r>
          </w:p>
        </w:tc>
        <w:tc>
          <w:tcPr>
            <w:tcW w:w="459" w:type="pct"/>
            <w:vAlign w:val="center"/>
          </w:tcPr>
          <w:p w14:paraId="0D3DD780">
            <w:pPr>
              <w:pStyle w:val="11"/>
              <w:bidi w:val="0"/>
              <w:jc w:val="center"/>
              <w:rPr>
                <w:rFonts w:hint="eastAsia"/>
                <w:lang w:eastAsia="zh-CN"/>
              </w:rPr>
            </w:pPr>
            <w:r>
              <w:rPr>
                <w:rFonts w:hint="eastAsia"/>
              </w:rPr>
              <w:t>0</w:t>
            </w:r>
          </w:p>
        </w:tc>
      </w:tr>
      <w:tr w14:paraId="36A09E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61CC1D1F">
            <w:pPr>
              <w:pStyle w:val="11"/>
              <w:bidi w:val="0"/>
              <w:ind w:leftChars="100"/>
              <w:jc w:val="both"/>
              <w:rPr>
                <w:rFonts w:hint="eastAsia"/>
                <w:lang w:eastAsia="zh-CN"/>
              </w:rPr>
            </w:pPr>
            <w:r>
              <w:rPr>
                <w:rFonts w:hint="eastAsia"/>
              </w:rPr>
              <w:t>门诊部</w:t>
            </w:r>
          </w:p>
        </w:tc>
        <w:tc>
          <w:tcPr>
            <w:tcW w:w="585" w:type="pct"/>
            <w:vAlign w:val="center"/>
          </w:tcPr>
          <w:p w14:paraId="41340F88">
            <w:pPr>
              <w:pStyle w:val="11"/>
              <w:bidi w:val="0"/>
              <w:jc w:val="center"/>
              <w:rPr>
                <w:rFonts w:hint="eastAsia"/>
                <w:lang w:eastAsia="zh-CN"/>
              </w:rPr>
            </w:pPr>
            <w:r>
              <w:rPr>
                <w:rFonts w:hint="eastAsia"/>
              </w:rPr>
              <w:t>1</w:t>
            </w:r>
          </w:p>
        </w:tc>
        <w:tc>
          <w:tcPr>
            <w:tcW w:w="409" w:type="pct"/>
            <w:vAlign w:val="center"/>
          </w:tcPr>
          <w:p w14:paraId="76399247">
            <w:pPr>
              <w:pStyle w:val="11"/>
              <w:bidi w:val="0"/>
              <w:jc w:val="center"/>
              <w:rPr>
                <w:rFonts w:hint="eastAsia"/>
                <w:lang w:eastAsia="zh-CN"/>
              </w:rPr>
            </w:pPr>
            <w:r>
              <w:rPr>
                <w:rFonts w:hint="eastAsia"/>
              </w:rPr>
              <w:t>0</w:t>
            </w:r>
          </w:p>
        </w:tc>
        <w:tc>
          <w:tcPr>
            <w:tcW w:w="462" w:type="pct"/>
            <w:vAlign w:val="center"/>
          </w:tcPr>
          <w:p w14:paraId="79736B08">
            <w:pPr>
              <w:pStyle w:val="11"/>
              <w:bidi w:val="0"/>
              <w:jc w:val="center"/>
              <w:rPr>
                <w:rFonts w:hint="eastAsia"/>
                <w:lang w:eastAsia="zh-CN"/>
              </w:rPr>
            </w:pPr>
            <w:r>
              <w:rPr>
                <w:rFonts w:hint="eastAsia"/>
              </w:rPr>
              <w:t>0</w:t>
            </w:r>
          </w:p>
        </w:tc>
        <w:tc>
          <w:tcPr>
            <w:tcW w:w="442" w:type="pct"/>
            <w:vAlign w:val="center"/>
          </w:tcPr>
          <w:p w14:paraId="4877247C">
            <w:pPr>
              <w:pStyle w:val="11"/>
              <w:bidi w:val="0"/>
              <w:jc w:val="center"/>
              <w:rPr>
                <w:rFonts w:hint="eastAsia"/>
                <w:lang w:eastAsia="zh-CN"/>
              </w:rPr>
            </w:pPr>
            <w:r>
              <w:rPr>
                <w:rFonts w:hint="eastAsia"/>
              </w:rPr>
              <w:t>2</w:t>
            </w:r>
          </w:p>
        </w:tc>
        <w:tc>
          <w:tcPr>
            <w:tcW w:w="402" w:type="pct"/>
            <w:vAlign w:val="center"/>
          </w:tcPr>
          <w:p w14:paraId="2282CD85">
            <w:pPr>
              <w:pStyle w:val="11"/>
              <w:bidi w:val="0"/>
              <w:jc w:val="center"/>
              <w:rPr>
                <w:rFonts w:hint="eastAsia"/>
                <w:lang w:eastAsia="zh-CN"/>
              </w:rPr>
            </w:pPr>
            <w:r>
              <w:rPr>
                <w:rFonts w:hint="eastAsia"/>
              </w:rPr>
              <w:t>1</w:t>
            </w:r>
          </w:p>
        </w:tc>
        <w:tc>
          <w:tcPr>
            <w:tcW w:w="463" w:type="pct"/>
            <w:vAlign w:val="center"/>
          </w:tcPr>
          <w:p w14:paraId="248CE4EC">
            <w:pPr>
              <w:pStyle w:val="11"/>
              <w:bidi w:val="0"/>
              <w:jc w:val="center"/>
              <w:rPr>
                <w:rFonts w:hint="eastAsia"/>
                <w:lang w:eastAsia="zh-CN"/>
              </w:rPr>
            </w:pPr>
            <w:r>
              <w:rPr>
                <w:rFonts w:hint="eastAsia"/>
              </w:rPr>
              <w:t>0</w:t>
            </w:r>
          </w:p>
        </w:tc>
        <w:tc>
          <w:tcPr>
            <w:tcW w:w="414" w:type="pct"/>
            <w:vAlign w:val="center"/>
          </w:tcPr>
          <w:p w14:paraId="0C2C2BDA">
            <w:pPr>
              <w:pStyle w:val="11"/>
              <w:bidi w:val="0"/>
              <w:jc w:val="center"/>
              <w:rPr>
                <w:rFonts w:hint="eastAsia"/>
                <w:lang w:eastAsia="zh-CN"/>
              </w:rPr>
            </w:pPr>
            <w:r>
              <w:rPr>
                <w:rFonts w:hint="eastAsia"/>
              </w:rPr>
              <w:t>1</w:t>
            </w:r>
          </w:p>
        </w:tc>
        <w:tc>
          <w:tcPr>
            <w:tcW w:w="459" w:type="pct"/>
            <w:vAlign w:val="center"/>
          </w:tcPr>
          <w:p w14:paraId="12DE73E6">
            <w:pPr>
              <w:pStyle w:val="11"/>
              <w:bidi w:val="0"/>
              <w:jc w:val="center"/>
              <w:rPr>
                <w:rFonts w:hint="eastAsia"/>
                <w:lang w:eastAsia="zh-CN"/>
              </w:rPr>
            </w:pPr>
            <w:r>
              <w:rPr>
                <w:rFonts w:hint="eastAsia"/>
              </w:rPr>
              <w:t>0</w:t>
            </w:r>
          </w:p>
        </w:tc>
      </w:tr>
      <w:tr w14:paraId="32986D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5571F485">
            <w:pPr>
              <w:pStyle w:val="11"/>
              <w:bidi w:val="0"/>
              <w:ind w:leftChars="100"/>
              <w:jc w:val="both"/>
              <w:rPr>
                <w:rFonts w:hint="eastAsia"/>
                <w:lang w:eastAsia="zh-CN"/>
              </w:rPr>
            </w:pPr>
            <w:r>
              <w:rPr>
                <w:rFonts w:hint="eastAsia"/>
              </w:rPr>
              <w:t>诊所、卫生所、医务室</w:t>
            </w:r>
          </w:p>
        </w:tc>
        <w:tc>
          <w:tcPr>
            <w:tcW w:w="585" w:type="pct"/>
            <w:vAlign w:val="center"/>
          </w:tcPr>
          <w:p w14:paraId="0C995576">
            <w:pPr>
              <w:pStyle w:val="11"/>
              <w:bidi w:val="0"/>
              <w:jc w:val="center"/>
              <w:rPr>
                <w:rFonts w:hint="eastAsia"/>
                <w:lang w:eastAsia="zh-CN"/>
              </w:rPr>
            </w:pPr>
            <w:r>
              <w:rPr>
                <w:rFonts w:hint="eastAsia"/>
              </w:rPr>
              <w:t>2</w:t>
            </w:r>
          </w:p>
        </w:tc>
        <w:tc>
          <w:tcPr>
            <w:tcW w:w="409" w:type="pct"/>
            <w:vAlign w:val="center"/>
          </w:tcPr>
          <w:p w14:paraId="18827538">
            <w:pPr>
              <w:pStyle w:val="11"/>
              <w:bidi w:val="0"/>
              <w:jc w:val="center"/>
              <w:rPr>
                <w:rFonts w:hint="eastAsia"/>
                <w:lang w:eastAsia="zh-CN"/>
              </w:rPr>
            </w:pPr>
            <w:r>
              <w:rPr>
                <w:rFonts w:hint="eastAsia"/>
              </w:rPr>
              <w:t>0</w:t>
            </w:r>
          </w:p>
        </w:tc>
        <w:tc>
          <w:tcPr>
            <w:tcW w:w="462" w:type="pct"/>
            <w:vAlign w:val="center"/>
          </w:tcPr>
          <w:p w14:paraId="665BA1A3">
            <w:pPr>
              <w:pStyle w:val="11"/>
              <w:bidi w:val="0"/>
              <w:jc w:val="center"/>
              <w:rPr>
                <w:rFonts w:hint="eastAsia"/>
                <w:lang w:eastAsia="zh-CN"/>
              </w:rPr>
            </w:pPr>
            <w:r>
              <w:rPr>
                <w:rFonts w:hint="eastAsia"/>
              </w:rPr>
              <w:t>0</w:t>
            </w:r>
          </w:p>
        </w:tc>
        <w:tc>
          <w:tcPr>
            <w:tcW w:w="442" w:type="pct"/>
            <w:vAlign w:val="center"/>
          </w:tcPr>
          <w:p w14:paraId="6A42B7AF">
            <w:pPr>
              <w:pStyle w:val="11"/>
              <w:bidi w:val="0"/>
              <w:jc w:val="center"/>
              <w:rPr>
                <w:rFonts w:hint="eastAsia"/>
                <w:lang w:eastAsia="zh-CN"/>
              </w:rPr>
            </w:pPr>
            <w:r>
              <w:rPr>
                <w:rFonts w:hint="eastAsia"/>
              </w:rPr>
              <w:t>7</w:t>
            </w:r>
          </w:p>
        </w:tc>
        <w:tc>
          <w:tcPr>
            <w:tcW w:w="402" w:type="pct"/>
            <w:vAlign w:val="center"/>
          </w:tcPr>
          <w:p w14:paraId="351C1C12">
            <w:pPr>
              <w:pStyle w:val="11"/>
              <w:bidi w:val="0"/>
              <w:jc w:val="center"/>
              <w:rPr>
                <w:rFonts w:hint="eastAsia"/>
                <w:lang w:eastAsia="zh-CN"/>
              </w:rPr>
            </w:pPr>
            <w:r>
              <w:rPr>
                <w:rFonts w:hint="eastAsia"/>
              </w:rPr>
              <w:t>6</w:t>
            </w:r>
          </w:p>
        </w:tc>
        <w:tc>
          <w:tcPr>
            <w:tcW w:w="463" w:type="pct"/>
            <w:vAlign w:val="center"/>
          </w:tcPr>
          <w:p w14:paraId="69E8D6E5">
            <w:pPr>
              <w:pStyle w:val="11"/>
              <w:bidi w:val="0"/>
              <w:jc w:val="center"/>
              <w:rPr>
                <w:rFonts w:hint="eastAsia"/>
                <w:lang w:eastAsia="zh-CN"/>
              </w:rPr>
            </w:pPr>
            <w:r>
              <w:rPr>
                <w:rFonts w:hint="eastAsia"/>
              </w:rPr>
              <w:t>0</w:t>
            </w:r>
          </w:p>
        </w:tc>
        <w:tc>
          <w:tcPr>
            <w:tcW w:w="414" w:type="pct"/>
            <w:vAlign w:val="center"/>
          </w:tcPr>
          <w:p w14:paraId="58A969AF">
            <w:pPr>
              <w:pStyle w:val="11"/>
              <w:bidi w:val="0"/>
              <w:jc w:val="center"/>
              <w:rPr>
                <w:rFonts w:hint="eastAsia"/>
                <w:lang w:eastAsia="zh-CN"/>
              </w:rPr>
            </w:pPr>
            <w:r>
              <w:rPr>
                <w:rFonts w:hint="eastAsia"/>
              </w:rPr>
              <w:t>0</w:t>
            </w:r>
          </w:p>
        </w:tc>
        <w:tc>
          <w:tcPr>
            <w:tcW w:w="459" w:type="pct"/>
            <w:vAlign w:val="center"/>
          </w:tcPr>
          <w:p w14:paraId="1B899868">
            <w:pPr>
              <w:pStyle w:val="11"/>
              <w:bidi w:val="0"/>
              <w:jc w:val="center"/>
              <w:rPr>
                <w:rFonts w:hint="eastAsia"/>
                <w:lang w:eastAsia="zh-CN"/>
              </w:rPr>
            </w:pPr>
            <w:r>
              <w:rPr>
                <w:rFonts w:hint="eastAsia"/>
              </w:rPr>
              <w:t>1</w:t>
            </w:r>
          </w:p>
        </w:tc>
      </w:tr>
      <w:tr w14:paraId="47480C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06CD97B3">
            <w:pPr>
              <w:pStyle w:val="11"/>
              <w:bidi w:val="0"/>
              <w:jc w:val="both"/>
              <w:rPr>
                <w:rFonts w:hint="eastAsia"/>
                <w:lang w:eastAsia="zh-CN"/>
              </w:rPr>
            </w:pPr>
            <w:r>
              <w:rPr>
                <w:rFonts w:hint="eastAsia"/>
              </w:rPr>
              <w:t>三、专业公共卫生机构</w:t>
            </w:r>
          </w:p>
        </w:tc>
        <w:tc>
          <w:tcPr>
            <w:tcW w:w="585" w:type="pct"/>
            <w:vAlign w:val="center"/>
          </w:tcPr>
          <w:p w14:paraId="40D5D657">
            <w:pPr>
              <w:pStyle w:val="11"/>
              <w:bidi w:val="0"/>
              <w:jc w:val="center"/>
              <w:rPr>
                <w:rFonts w:hint="eastAsia"/>
                <w:lang w:eastAsia="zh-CN"/>
              </w:rPr>
            </w:pPr>
            <w:r>
              <w:rPr>
                <w:rFonts w:hint="eastAsia"/>
              </w:rPr>
              <w:t>5</w:t>
            </w:r>
          </w:p>
        </w:tc>
        <w:tc>
          <w:tcPr>
            <w:tcW w:w="409" w:type="pct"/>
            <w:vAlign w:val="center"/>
          </w:tcPr>
          <w:p w14:paraId="4781AC10">
            <w:pPr>
              <w:pStyle w:val="11"/>
              <w:bidi w:val="0"/>
              <w:jc w:val="center"/>
              <w:rPr>
                <w:rFonts w:hint="eastAsia"/>
                <w:lang w:eastAsia="zh-CN"/>
              </w:rPr>
            </w:pPr>
            <w:r>
              <w:rPr>
                <w:rFonts w:hint="eastAsia"/>
              </w:rPr>
              <w:t>22</w:t>
            </w:r>
          </w:p>
        </w:tc>
        <w:tc>
          <w:tcPr>
            <w:tcW w:w="462" w:type="pct"/>
            <w:vAlign w:val="center"/>
          </w:tcPr>
          <w:p w14:paraId="587EB8AB">
            <w:pPr>
              <w:pStyle w:val="11"/>
              <w:bidi w:val="0"/>
              <w:jc w:val="center"/>
              <w:rPr>
                <w:rFonts w:hint="eastAsia"/>
                <w:lang w:eastAsia="zh-CN"/>
              </w:rPr>
            </w:pPr>
            <w:r>
              <w:rPr>
                <w:rFonts w:hint="eastAsia"/>
              </w:rPr>
              <w:t>18</w:t>
            </w:r>
          </w:p>
        </w:tc>
        <w:tc>
          <w:tcPr>
            <w:tcW w:w="442" w:type="pct"/>
            <w:vAlign w:val="center"/>
          </w:tcPr>
          <w:p w14:paraId="19E9502D">
            <w:pPr>
              <w:pStyle w:val="11"/>
              <w:bidi w:val="0"/>
              <w:jc w:val="center"/>
              <w:rPr>
                <w:rFonts w:hint="eastAsia"/>
                <w:lang w:eastAsia="zh-CN"/>
              </w:rPr>
            </w:pPr>
            <w:r>
              <w:rPr>
                <w:rFonts w:hint="eastAsia"/>
              </w:rPr>
              <w:t>42</w:t>
            </w:r>
          </w:p>
        </w:tc>
        <w:tc>
          <w:tcPr>
            <w:tcW w:w="402" w:type="pct"/>
            <w:vAlign w:val="center"/>
          </w:tcPr>
          <w:p w14:paraId="529D319C">
            <w:pPr>
              <w:pStyle w:val="11"/>
              <w:bidi w:val="0"/>
              <w:jc w:val="center"/>
              <w:rPr>
                <w:rFonts w:hint="eastAsia"/>
                <w:lang w:eastAsia="zh-CN"/>
              </w:rPr>
            </w:pPr>
            <w:r>
              <w:rPr>
                <w:rFonts w:hint="eastAsia"/>
              </w:rPr>
              <w:t>9</w:t>
            </w:r>
          </w:p>
        </w:tc>
        <w:tc>
          <w:tcPr>
            <w:tcW w:w="463" w:type="pct"/>
            <w:vAlign w:val="center"/>
          </w:tcPr>
          <w:p w14:paraId="7A65C502">
            <w:pPr>
              <w:pStyle w:val="11"/>
              <w:bidi w:val="0"/>
              <w:jc w:val="center"/>
              <w:rPr>
                <w:rFonts w:hint="eastAsia"/>
                <w:lang w:eastAsia="zh-CN"/>
              </w:rPr>
            </w:pPr>
            <w:r>
              <w:rPr>
                <w:rFonts w:hint="eastAsia"/>
              </w:rPr>
              <w:t>12</w:t>
            </w:r>
          </w:p>
        </w:tc>
        <w:tc>
          <w:tcPr>
            <w:tcW w:w="414" w:type="pct"/>
            <w:vAlign w:val="center"/>
          </w:tcPr>
          <w:p w14:paraId="43FA1852">
            <w:pPr>
              <w:pStyle w:val="11"/>
              <w:bidi w:val="0"/>
              <w:jc w:val="center"/>
              <w:rPr>
                <w:rFonts w:hint="eastAsia"/>
                <w:lang w:eastAsia="zh-CN"/>
              </w:rPr>
            </w:pPr>
            <w:r>
              <w:rPr>
                <w:rFonts w:hint="eastAsia"/>
              </w:rPr>
              <w:t>18</w:t>
            </w:r>
          </w:p>
        </w:tc>
        <w:tc>
          <w:tcPr>
            <w:tcW w:w="459" w:type="pct"/>
            <w:vAlign w:val="center"/>
          </w:tcPr>
          <w:p w14:paraId="354DD4CB">
            <w:pPr>
              <w:pStyle w:val="11"/>
              <w:bidi w:val="0"/>
              <w:jc w:val="center"/>
              <w:rPr>
                <w:rFonts w:hint="eastAsia"/>
                <w:lang w:eastAsia="zh-CN"/>
              </w:rPr>
            </w:pPr>
            <w:r>
              <w:rPr>
                <w:rFonts w:hint="eastAsia"/>
              </w:rPr>
              <w:t>32</w:t>
            </w:r>
          </w:p>
        </w:tc>
      </w:tr>
      <w:tr w14:paraId="13ACDA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4DF16A19">
            <w:pPr>
              <w:pStyle w:val="11"/>
              <w:bidi w:val="0"/>
              <w:ind w:leftChars="100"/>
              <w:jc w:val="both"/>
              <w:rPr>
                <w:rFonts w:hint="eastAsia"/>
                <w:lang w:eastAsia="zh-CN"/>
              </w:rPr>
            </w:pPr>
            <w:r>
              <w:rPr>
                <w:rFonts w:hint="eastAsia"/>
              </w:rPr>
              <w:t>疾病预防控制机构</w:t>
            </w:r>
          </w:p>
        </w:tc>
        <w:tc>
          <w:tcPr>
            <w:tcW w:w="585" w:type="pct"/>
            <w:vAlign w:val="center"/>
          </w:tcPr>
          <w:p w14:paraId="70926F42">
            <w:pPr>
              <w:pStyle w:val="11"/>
              <w:bidi w:val="0"/>
              <w:jc w:val="center"/>
              <w:rPr>
                <w:rFonts w:hint="eastAsia"/>
                <w:lang w:eastAsia="zh-CN"/>
              </w:rPr>
            </w:pPr>
            <w:r>
              <w:rPr>
                <w:rFonts w:hint="eastAsia"/>
              </w:rPr>
              <w:t>0</w:t>
            </w:r>
          </w:p>
        </w:tc>
        <w:tc>
          <w:tcPr>
            <w:tcW w:w="409" w:type="pct"/>
            <w:vAlign w:val="center"/>
          </w:tcPr>
          <w:p w14:paraId="5E6AA766">
            <w:pPr>
              <w:pStyle w:val="11"/>
              <w:bidi w:val="0"/>
              <w:jc w:val="center"/>
              <w:rPr>
                <w:rFonts w:hint="eastAsia"/>
                <w:lang w:eastAsia="zh-CN"/>
              </w:rPr>
            </w:pPr>
            <w:r>
              <w:rPr>
                <w:rFonts w:hint="eastAsia"/>
              </w:rPr>
              <w:t>10</w:t>
            </w:r>
          </w:p>
        </w:tc>
        <w:tc>
          <w:tcPr>
            <w:tcW w:w="462" w:type="pct"/>
            <w:vAlign w:val="center"/>
          </w:tcPr>
          <w:p w14:paraId="5F24F9C7">
            <w:pPr>
              <w:pStyle w:val="11"/>
              <w:bidi w:val="0"/>
              <w:jc w:val="center"/>
              <w:rPr>
                <w:rFonts w:hint="eastAsia"/>
                <w:lang w:eastAsia="zh-CN"/>
              </w:rPr>
            </w:pPr>
            <w:r>
              <w:rPr>
                <w:rFonts w:hint="eastAsia"/>
              </w:rPr>
              <w:t>8</w:t>
            </w:r>
          </w:p>
        </w:tc>
        <w:tc>
          <w:tcPr>
            <w:tcW w:w="442" w:type="pct"/>
            <w:vAlign w:val="center"/>
          </w:tcPr>
          <w:p w14:paraId="157CB25B">
            <w:pPr>
              <w:pStyle w:val="11"/>
              <w:bidi w:val="0"/>
              <w:jc w:val="center"/>
              <w:rPr>
                <w:rFonts w:hint="eastAsia"/>
                <w:lang w:eastAsia="zh-CN"/>
              </w:rPr>
            </w:pPr>
            <w:r>
              <w:rPr>
                <w:rFonts w:hint="eastAsia"/>
              </w:rPr>
              <w:t>1</w:t>
            </w:r>
          </w:p>
        </w:tc>
        <w:tc>
          <w:tcPr>
            <w:tcW w:w="402" w:type="pct"/>
            <w:vAlign w:val="center"/>
          </w:tcPr>
          <w:p w14:paraId="55C7A46F">
            <w:pPr>
              <w:pStyle w:val="11"/>
              <w:bidi w:val="0"/>
              <w:jc w:val="center"/>
              <w:rPr>
                <w:rFonts w:hint="eastAsia"/>
                <w:lang w:eastAsia="zh-CN"/>
              </w:rPr>
            </w:pPr>
            <w:r>
              <w:rPr>
                <w:rFonts w:hint="eastAsia"/>
              </w:rPr>
              <w:t>0</w:t>
            </w:r>
          </w:p>
        </w:tc>
        <w:tc>
          <w:tcPr>
            <w:tcW w:w="463" w:type="pct"/>
            <w:vAlign w:val="center"/>
          </w:tcPr>
          <w:p w14:paraId="7FBA619C">
            <w:pPr>
              <w:pStyle w:val="11"/>
              <w:bidi w:val="0"/>
              <w:jc w:val="center"/>
              <w:rPr>
                <w:rFonts w:hint="eastAsia"/>
                <w:lang w:eastAsia="zh-CN"/>
              </w:rPr>
            </w:pPr>
            <w:r>
              <w:rPr>
                <w:rFonts w:hint="eastAsia"/>
              </w:rPr>
              <w:t>3</w:t>
            </w:r>
          </w:p>
        </w:tc>
        <w:tc>
          <w:tcPr>
            <w:tcW w:w="414" w:type="pct"/>
            <w:vAlign w:val="center"/>
          </w:tcPr>
          <w:p w14:paraId="65958199">
            <w:pPr>
              <w:pStyle w:val="11"/>
              <w:bidi w:val="0"/>
              <w:jc w:val="center"/>
              <w:rPr>
                <w:rFonts w:hint="eastAsia"/>
                <w:lang w:eastAsia="zh-CN"/>
              </w:rPr>
            </w:pPr>
            <w:r>
              <w:rPr>
                <w:rFonts w:hint="eastAsia"/>
              </w:rPr>
              <w:t>2</w:t>
            </w:r>
          </w:p>
        </w:tc>
        <w:tc>
          <w:tcPr>
            <w:tcW w:w="459" w:type="pct"/>
            <w:vAlign w:val="center"/>
          </w:tcPr>
          <w:p w14:paraId="34795A95">
            <w:pPr>
              <w:pStyle w:val="11"/>
              <w:bidi w:val="0"/>
              <w:jc w:val="center"/>
              <w:rPr>
                <w:rFonts w:hint="eastAsia"/>
                <w:lang w:eastAsia="zh-CN"/>
              </w:rPr>
            </w:pPr>
            <w:r>
              <w:rPr>
                <w:rFonts w:hint="eastAsia"/>
              </w:rPr>
              <w:t>10</w:t>
            </w:r>
          </w:p>
        </w:tc>
      </w:tr>
      <w:tr w14:paraId="789764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24AE8EA1">
            <w:pPr>
              <w:pStyle w:val="11"/>
              <w:bidi w:val="0"/>
              <w:ind w:leftChars="100"/>
              <w:jc w:val="both"/>
              <w:rPr>
                <w:rFonts w:hint="eastAsia"/>
                <w:lang w:eastAsia="zh-CN"/>
              </w:rPr>
            </w:pPr>
            <w:r>
              <w:rPr>
                <w:rFonts w:hint="eastAsia"/>
              </w:rPr>
              <w:t>专科疾病防治院（所、站）</w:t>
            </w:r>
          </w:p>
        </w:tc>
        <w:tc>
          <w:tcPr>
            <w:tcW w:w="585" w:type="pct"/>
            <w:vAlign w:val="center"/>
          </w:tcPr>
          <w:p w14:paraId="3142D44B">
            <w:pPr>
              <w:pStyle w:val="11"/>
              <w:bidi w:val="0"/>
              <w:jc w:val="center"/>
              <w:rPr>
                <w:rFonts w:hint="eastAsia"/>
                <w:lang w:eastAsia="zh-CN"/>
              </w:rPr>
            </w:pPr>
            <w:r>
              <w:rPr>
                <w:rFonts w:hint="eastAsia"/>
              </w:rPr>
              <w:t>1</w:t>
            </w:r>
          </w:p>
        </w:tc>
        <w:tc>
          <w:tcPr>
            <w:tcW w:w="409" w:type="pct"/>
            <w:vAlign w:val="center"/>
          </w:tcPr>
          <w:p w14:paraId="1054B675">
            <w:pPr>
              <w:pStyle w:val="11"/>
              <w:bidi w:val="0"/>
              <w:jc w:val="center"/>
              <w:rPr>
                <w:rFonts w:hint="eastAsia"/>
                <w:lang w:eastAsia="zh-CN"/>
              </w:rPr>
            </w:pPr>
            <w:r>
              <w:rPr>
                <w:rFonts w:hint="eastAsia"/>
              </w:rPr>
              <w:t>4</w:t>
            </w:r>
          </w:p>
        </w:tc>
        <w:tc>
          <w:tcPr>
            <w:tcW w:w="462" w:type="pct"/>
            <w:vAlign w:val="center"/>
          </w:tcPr>
          <w:p w14:paraId="3D26141D">
            <w:pPr>
              <w:pStyle w:val="11"/>
              <w:bidi w:val="0"/>
              <w:jc w:val="center"/>
              <w:rPr>
                <w:rFonts w:hint="eastAsia"/>
                <w:lang w:eastAsia="zh-CN"/>
              </w:rPr>
            </w:pPr>
            <w:r>
              <w:rPr>
                <w:rFonts w:hint="eastAsia"/>
              </w:rPr>
              <w:t>3</w:t>
            </w:r>
          </w:p>
        </w:tc>
        <w:tc>
          <w:tcPr>
            <w:tcW w:w="442" w:type="pct"/>
            <w:vAlign w:val="center"/>
          </w:tcPr>
          <w:p w14:paraId="60BE2DB2">
            <w:pPr>
              <w:pStyle w:val="11"/>
              <w:bidi w:val="0"/>
              <w:jc w:val="center"/>
              <w:rPr>
                <w:rFonts w:hint="eastAsia"/>
                <w:lang w:eastAsia="zh-CN"/>
              </w:rPr>
            </w:pPr>
            <w:r>
              <w:rPr>
                <w:rFonts w:hint="eastAsia"/>
              </w:rPr>
              <w:t>1</w:t>
            </w:r>
          </w:p>
        </w:tc>
        <w:tc>
          <w:tcPr>
            <w:tcW w:w="402" w:type="pct"/>
            <w:vAlign w:val="center"/>
          </w:tcPr>
          <w:p w14:paraId="3F7F8493">
            <w:pPr>
              <w:pStyle w:val="11"/>
              <w:bidi w:val="0"/>
              <w:jc w:val="center"/>
              <w:rPr>
                <w:rFonts w:hint="eastAsia"/>
                <w:lang w:eastAsia="zh-CN"/>
              </w:rPr>
            </w:pPr>
            <w:r>
              <w:rPr>
                <w:rFonts w:hint="eastAsia"/>
              </w:rPr>
              <w:t>0</w:t>
            </w:r>
          </w:p>
        </w:tc>
        <w:tc>
          <w:tcPr>
            <w:tcW w:w="463" w:type="pct"/>
            <w:vAlign w:val="center"/>
          </w:tcPr>
          <w:p w14:paraId="1B33D928">
            <w:pPr>
              <w:pStyle w:val="11"/>
              <w:bidi w:val="0"/>
              <w:jc w:val="center"/>
              <w:rPr>
                <w:rFonts w:hint="eastAsia"/>
                <w:lang w:eastAsia="zh-CN"/>
              </w:rPr>
            </w:pPr>
            <w:r>
              <w:rPr>
                <w:rFonts w:hint="eastAsia"/>
              </w:rPr>
              <w:t>3</w:t>
            </w:r>
          </w:p>
        </w:tc>
        <w:tc>
          <w:tcPr>
            <w:tcW w:w="414" w:type="pct"/>
            <w:vAlign w:val="center"/>
          </w:tcPr>
          <w:p w14:paraId="548ED8C6">
            <w:pPr>
              <w:pStyle w:val="11"/>
              <w:bidi w:val="0"/>
              <w:jc w:val="center"/>
              <w:rPr>
                <w:rFonts w:hint="eastAsia"/>
                <w:lang w:eastAsia="zh-CN"/>
              </w:rPr>
            </w:pPr>
            <w:r>
              <w:rPr>
                <w:rFonts w:hint="eastAsia"/>
              </w:rPr>
              <w:t>2</w:t>
            </w:r>
          </w:p>
        </w:tc>
        <w:tc>
          <w:tcPr>
            <w:tcW w:w="459" w:type="pct"/>
            <w:vAlign w:val="center"/>
          </w:tcPr>
          <w:p w14:paraId="790E3159">
            <w:pPr>
              <w:pStyle w:val="11"/>
              <w:bidi w:val="0"/>
              <w:jc w:val="center"/>
              <w:rPr>
                <w:rFonts w:hint="eastAsia"/>
                <w:lang w:eastAsia="zh-CN"/>
              </w:rPr>
            </w:pPr>
            <w:r>
              <w:rPr>
                <w:rFonts w:hint="eastAsia"/>
              </w:rPr>
              <w:t>5</w:t>
            </w:r>
          </w:p>
        </w:tc>
      </w:tr>
      <w:tr w14:paraId="3B6061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731B9FBC">
            <w:pPr>
              <w:pStyle w:val="11"/>
              <w:bidi w:val="0"/>
              <w:ind w:leftChars="100"/>
              <w:jc w:val="both"/>
              <w:rPr>
                <w:rFonts w:hint="eastAsia"/>
                <w:lang w:eastAsia="zh-CN"/>
              </w:rPr>
            </w:pPr>
            <w:r>
              <w:rPr>
                <w:rFonts w:hint="eastAsia"/>
              </w:rPr>
              <w:t>妇幼保健院（所、站）</w:t>
            </w:r>
          </w:p>
        </w:tc>
        <w:tc>
          <w:tcPr>
            <w:tcW w:w="585" w:type="pct"/>
            <w:vAlign w:val="center"/>
          </w:tcPr>
          <w:p w14:paraId="727DE762">
            <w:pPr>
              <w:pStyle w:val="11"/>
              <w:bidi w:val="0"/>
              <w:jc w:val="center"/>
              <w:rPr>
                <w:rFonts w:hint="eastAsia"/>
                <w:lang w:eastAsia="zh-CN"/>
              </w:rPr>
            </w:pPr>
            <w:r>
              <w:rPr>
                <w:rFonts w:hint="eastAsia"/>
              </w:rPr>
              <w:t>4</w:t>
            </w:r>
          </w:p>
        </w:tc>
        <w:tc>
          <w:tcPr>
            <w:tcW w:w="409" w:type="pct"/>
            <w:vAlign w:val="center"/>
          </w:tcPr>
          <w:p w14:paraId="620BEF51">
            <w:pPr>
              <w:pStyle w:val="11"/>
              <w:bidi w:val="0"/>
              <w:jc w:val="center"/>
              <w:rPr>
                <w:rFonts w:hint="eastAsia"/>
                <w:lang w:eastAsia="zh-CN"/>
              </w:rPr>
            </w:pPr>
            <w:r>
              <w:rPr>
                <w:rFonts w:hint="eastAsia"/>
              </w:rPr>
              <w:t>8</w:t>
            </w:r>
          </w:p>
        </w:tc>
        <w:tc>
          <w:tcPr>
            <w:tcW w:w="462" w:type="pct"/>
            <w:vAlign w:val="center"/>
          </w:tcPr>
          <w:p w14:paraId="7C7C66CA">
            <w:pPr>
              <w:pStyle w:val="11"/>
              <w:bidi w:val="0"/>
              <w:jc w:val="center"/>
              <w:rPr>
                <w:rFonts w:hint="eastAsia"/>
                <w:lang w:eastAsia="zh-CN"/>
              </w:rPr>
            </w:pPr>
            <w:r>
              <w:rPr>
                <w:rFonts w:hint="eastAsia"/>
              </w:rPr>
              <w:t>7</w:t>
            </w:r>
          </w:p>
        </w:tc>
        <w:tc>
          <w:tcPr>
            <w:tcW w:w="442" w:type="pct"/>
            <w:vAlign w:val="center"/>
          </w:tcPr>
          <w:p w14:paraId="0BFF932A">
            <w:pPr>
              <w:pStyle w:val="11"/>
              <w:bidi w:val="0"/>
              <w:jc w:val="center"/>
              <w:rPr>
                <w:rFonts w:hint="eastAsia"/>
                <w:lang w:eastAsia="zh-CN"/>
              </w:rPr>
            </w:pPr>
            <w:r>
              <w:rPr>
                <w:rFonts w:hint="eastAsia"/>
              </w:rPr>
              <w:t>26</w:t>
            </w:r>
          </w:p>
        </w:tc>
        <w:tc>
          <w:tcPr>
            <w:tcW w:w="402" w:type="pct"/>
            <w:vAlign w:val="center"/>
          </w:tcPr>
          <w:p w14:paraId="2838295C">
            <w:pPr>
              <w:pStyle w:val="11"/>
              <w:bidi w:val="0"/>
              <w:jc w:val="center"/>
              <w:rPr>
                <w:rFonts w:hint="eastAsia"/>
                <w:lang w:eastAsia="zh-CN"/>
              </w:rPr>
            </w:pPr>
            <w:r>
              <w:rPr>
                <w:rFonts w:hint="eastAsia"/>
              </w:rPr>
              <w:t>9</w:t>
            </w:r>
          </w:p>
        </w:tc>
        <w:tc>
          <w:tcPr>
            <w:tcW w:w="463" w:type="pct"/>
            <w:vAlign w:val="center"/>
          </w:tcPr>
          <w:p w14:paraId="7DBE28EA">
            <w:pPr>
              <w:pStyle w:val="11"/>
              <w:bidi w:val="0"/>
              <w:jc w:val="center"/>
              <w:rPr>
                <w:rFonts w:hint="eastAsia"/>
                <w:lang w:eastAsia="zh-CN"/>
              </w:rPr>
            </w:pPr>
            <w:r>
              <w:rPr>
                <w:rFonts w:hint="eastAsia"/>
              </w:rPr>
              <w:t>6</w:t>
            </w:r>
          </w:p>
        </w:tc>
        <w:tc>
          <w:tcPr>
            <w:tcW w:w="414" w:type="pct"/>
            <w:vAlign w:val="center"/>
          </w:tcPr>
          <w:p w14:paraId="0A2C852C">
            <w:pPr>
              <w:pStyle w:val="11"/>
              <w:bidi w:val="0"/>
              <w:jc w:val="center"/>
              <w:rPr>
                <w:rFonts w:hint="eastAsia"/>
                <w:lang w:eastAsia="zh-CN"/>
              </w:rPr>
            </w:pPr>
            <w:r>
              <w:rPr>
                <w:rFonts w:hint="eastAsia"/>
              </w:rPr>
              <w:t>10</w:t>
            </w:r>
          </w:p>
        </w:tc>
        <w:tc>
          <w:tcPr>
            <w:tcW w:w="459" w:type="pct"/>
            <w:vAlign w:val="center"/>
          </w:tcPr>
          <w:p w14:paraId="00272653">
            <w:pPr>
              <w:pStyle w:val="11"/>
              <w:bidi w:val="0"/>
              <w:jc w:val="center"/>
              <w:rPr>
                <w:rFonts w:hint="eastAsia"/>
                <w:lang w:eastAsia="zh-CN"/>
              </w:rPr>
            </w:pPr>
            <w:r>
              <w:rPr>
                <w:rFonts w:hint="eastAsia"/>
              </w:rPr>
              <w:t>17</w:t>
            </w:r>
          </w:p>
        </w:tc>
      </w:tr>
      <w:tr w14:paraId="08F1A6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06587CE7">
            <w:pPr>
              <w:pStyle w:val="11"/>
              <w:bidi w:val="0"/>
              <w:ind w:leftChars="100"/>
              <w:jc w:val="both"/>
              <w:rPr>
                <w:rFonts w:hint="eastAsia"/>
                <w:lang w:eastAsia="zh-CN"/>
              </w:rPr>
            </w:pPr>
            <w:r>
              <w:rPr>
                <w:rFonts w:hint="eastAsia"/>
              </w:rPr>
              <w:t>卫生监督所（中心）</w:t>
            </w:r>
          </w:p>
        </w:tc>
        <w:tc>
          <w:tcPr>
            <w:tcW w:w="585" w:type="pct"/>
            <w:vAlign w:val="center"/>
          </w:tcPr>
          <w:p w14:paraId="6CE79B46">
            <w:pPr>
              <w:pStyle w:val="11"/>
              <w:bidi w:val="0"/>
              <w:jc w:val="center"/>
              <w:rPr>
                <w:rFonts w:hint="eastAsia"/>
                <w:lang w:eastAsia="zh-CN"/>
              </w:rPr>
            </w:pPr>
            <w:r>
              <w:rPr>
                <w:rFonts w:hint="eastAsia"/>
              </w:rPr>
              <w:t>0</w:t>
            </w:r>
          </w:p>
        </w:tc>
        <w:tc>
          <w:tcPr>
            <w:tcW w:w="409" w:type="pct"/>
            <w:vAlign w:val="center"/>
          </w:tcPr>
          <w:p w14:paraId="38AE119D">
            <w:pPr>
              <w:pStyle w:val="11"/>
              <w:bidi w:val="0"/>
              <w:jc w:val="center"/>
              <w:rPr>
                <w:rFonts w:hint="eastAsia"/>
                <w:lang w:eastAsia="zh-CN"/>
              </w:rPr>
            </w:pPr>
            <w:r>
              <w:rPr>
                <w:rFonts w:hint="eastAsia"/>
              </w:rPr>
              <w:t>0</w:t>
            </w:r>
          </w:p>
        </w:tc>
        <w:tc>
          <w:tcPr>
            <w:tcW w:w="462" w:type="pct"/>
            <w:vAlign w:val="center"/>
          </w:tcPr>
          <w:p w14:paraId="39A74006">
            <w:pPr>
              <w:pStyle w:val="11"/>
              <w:bidi w:val="0"/>
              <w:jc w:val="center"/>
              <w:rPr>
                <w:rFonts w:hint="eastAsia"/>
                <w:lang w:eastAsia="zh-CN"/>
              </w:rPr>
            </w:pPr>
            <w:r>
              <w:rPr>
                <w:rFonts w:hint="eastAsia"/>
              </w:rPr>
              <w:t>0</w:t>
            </w:r>
          </w:p>
        </w:tc>
        <w:tc>
          <w:tcPr>
            <w:tcW w:w="442" w:type="pct"/>
            <w:vAlign w:val="center"/>
          </w:tcPr>
          <w:p w14:paraId="6BA56286">
            <w:pPr>
              <w:pStyle w:val="11"/>
              <w:bidi w:val="0"/>
              <w:jc w:val="center"/>
              <w:rPr>
                <w:rFonts w:hint="eastAsia"/>
                <w:lang w:eastAsia="zh-CN"/>
              </w:rPr>
            </w:pPr>
            <w:r>
              <w:rPr>
                <w:rFonts w:hint="eastAsia"/>
              </w:rPr>
              <w:t>14</w:t>
            </w:r>
          </w:p>
        </w:tc>
        <w:tc>
          <w:tcPr>
            <w:tcW w:w="402" w:type="pct"/>
            <w:vAlign w:val="center"/>
          </w:tcPr>
          <w:p w14:paraId="29A17EFA">
            <w:pPr>
              <w:pStyle w:val="11"/>
              <w:bidi w:val="0"/>
              <w:jc w:val="center"/>
              <w:rPr>
                <w:rFonts w:hint="eastAsia"/>
                <w:lang w:eastAsia="zh-CN"/>
              </w:rPr>
            </w:pPr>
            <w:r>
              <w:rPr>
                <w:rFonts w:hint="eastAsia"/>
              </w:rPr>
              <w:t>0</w:t>
            </w:r>
          </w:p>
        </w:tc>
        <w:tc>
          <w:tcPr>
            <w:tcW w:w="463" w:type="pct"/>
            <w:vAlign w:val="center"/>
          </w:tcPr>
          <w:p w14:paraId="0A7D4B8D">
            <w:pPr>
              <w:pStyle w:val="11"/>
              <w:bidi w:val="0"/>
              <w:jc w:val="center"/>
              <w:rPr>
                <w:rFonts w:hint="eastAsia"/>
                <w:lang w:eastAsia="zh-CN"/>
              </w:rPr>
            </w:pPr>
            <w:r>
              <w:rPr>
                <w:rFonts w:hint="eastAsia"/>
              </w:rPr>
              <w:t>0</w:t>
            </w:r>
          </w:p>
        </w:tc>
        <w:tc>
          <w:tcPr>
            <w:tcW w:w="414" w:type="pct"/>
            <w:vAlign w:val="center"/>
          </w:tcPr>
          <w:p w14:paraId="2386FDF4">
            <w:pPr>
              <w:pStyle w:val="11"/>
              <w:bidi w:val="0"/>
              <w:jc w:val="center"/>
              <w:rPr>
                <w:rFonts w:hint="eastAsia"/>
                <w:lang w:eastAsia="zh-CN"/>
              </w:rPr>
            </w:pPr>
            <w:r>
              <w:rPr>
                <w:rFonts w:hint="eastAsia"/>
              </w:rPr>
              <w:t>4</w:t>
            </w:r>
          </w:p>
        </w:tc>
        <w:tc>
          <w:tcPr>
            <w:tcW w:w="459" w:type="pct"/>
            <w:vAlign w:val="center"/>
          </w:tcPr>
          <w:p w14:paraId="0F87B202">
            <w:pPr>
              <w:pStyle w:val="11"/>
              <w:bidi w:val="0"/>
              <w:jc w:val="center"/>
              <w:rPr>
                <w:rFonts w:hint="eastAsia"/>
                <w:lang w:eastAsia="zh-CN"/>
              </w:rPr>
            </w:pPr>
            <w:r>
              <w:rPr>
                <w:rFonts w:hint="eastAsia"/>
              </w:rPr>
              <w:t>0</w:t>
            </w:r>
          </w:p>
        </w:tc>
      </w:tr>
      <w:tr w14:paraId="42359C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16AB208B">
            <w:pPr>
              <w:pStyle w:val="11"/>
              <w:bidi w:val="0"/>
              <w:jc w:val="both"/>
              <w:rPr>
                <w:rFonts w:hint="eastAsia"/>
                <w:lang w:eastAsia="zh-CN"/>
              </w:rPr>
            </w:pPr>
            <w:r>
              <w:rPr>
                <w:rFonts w:hint="eastAsia"/>
              </w:rPr>
              <w:t>四、其他卫生机构</w:t>
            </w:r>
          </w:p>
        </w:tc>
        <w:tc>
          <w:tcPr>
            <w:tcW w:w="585" w:type="pct"/>
            <w:vAlign w:val="center"/>
          </w:tcPr>
          <w:p w14:paraId="41D29D16">
            <w:pPr>
              <w:pStyle w:val="11"/>
              <w:bidi w:val="0"/>
              <w:jc w:val="center"/>
              <w:rPr>
                <w:rFonts w:hint="eastAsia"/>
                <w:lang w:eastAsia="zh-CN"/>
              </w:rPr>
            </w:pPr>
            <w:r>
              <w:rPr>
                <w:rFonts w:hint="eastAsia"/>
              </w:rPr>
              <w:t>0</w:t>
            </w:r>
          </w:p>
        </w:tc>
        <w:tc>
          <w:tcPr>
            <w:tcW w:w="409" w:type="pct"/>
            <w:vAlign w:val="center"/>
          </w:tcPr>
          <w:p w14:paraId="45CA61F8">
            <w:pPr>
              <w:pStyle w:val="11"/>
              <w:bidi w:val="0"/>
              <w:jc w:val="center"/>
              <w:rPr>
                <w:rFonts w:hint="eastAsia"/>
                <w:lang w:eastAsia="zh-CN"/>
              </w:rPr>
            </w:pPr>
            <w:r>
              <w:rPr>
                <w:rFonts w:hint="eastAsia"/>
              </w:rPr>
              <w:t>0</w:t>
            </w:r>
          </w:p>
        </w:tc>
        <w:tc>
          <w:tcPr>
            <w:tcW w:w="462" w:type="pct"/>
            <w:vAlign w:val="center"/>
          </w:tcPr>
          <w:p w14:paraId="2CED758C">
            <w:pPr>
              <w:pStyle w:val="11"/>
              <w:bidi w:val="0"/>
              <w:jc w:val="center"/>
              <w:rPr>
                <w:rFonts w:hint="eastAsia"/>
                <w:lang w:eastAsia="zh-CN"/>
              </w:rPr>
            </w:pPr>
            <w:r>
              <w:rPr>
                <w:rFonts w:hint="eastAsia"/>
              </w:rPr>
              <w:t>0</w:t>
            </w:r>
          </w:p>
        </w:tc>
        <w:tc>
          <w:tcPr>
            <w:tcW w:w="442" w:type="pct"/>
            <w:vAlign w:val="center"/>
          </w:tcPr>
          <w:p w14:paraId="320F99BF">
            <w:pPr>
              <w:pStyle w:val="11"/>
              <w:bidi w:val="0"/>
              <w:jc w:val="center"/>
              <w:rPr>
                <w:rFonts w:hint="eastAsia"/>
                <w:lang w:eastAsia="zh-CN"/>
              </w:rPr>
            </w:pPr>
            <w:r>
              <w:rPr>
                <w:rFonts w:hint="eastAsia"/>
              </w:rPr>
              <w:t>1</w:t>
            </w:r>
          </w:p>
        </w:tc>
        <w:tc>
          <w:tcPr>
            <w:tcW w:w="402" w:type="pct"/>
            <w:vAlign w:val="center"/>
          </w:tcPr>
          <w:p w14:paraId="264B3AD5">
            <w:pPr>
              <w:pStyle w:val="11"/>
              <w:bidi w:val="0"/>
              <w:jc w:val="center"/>
              <w:rPr>
                <w:rFonts w:hint="eastAsia"/>
                <w:lang w:eastAsia="zh-CN"/>
              </w:rPr>
            </w:pPr>
            <w:r>
              <w:rPr>
                <w:rFonts w:hint="eastAsia"/>
              </w:rPr>
              <w:t>1</w:t>
            </w:r>
          </w:p>
        </w:tc>
        <w:tc>
          <w:tcPr>
            <w:tcW w:w="463" w:type="pct"/>
            <w:vAlign w:val="center"/>
          </w:tcPr>
          <w:p w14:paraId="4A6AD220">
            <w:pPr>
              <w:pStyle w:val="11"/>
              <w:bidi w:val="0"/>
              <w:jc w:val="center"/>
              <w:rPr>
                <w:rFonts w:hint="eastAsia"/>
                <w:lang w:eastAsia="zh-CN"/>
              </w:rPr>
            </w:pPr>
            <w:r>
              <w:rPr>
                <w:rFonts w:hint="eastAsia"/>
              </w:rPr>
              <w:t>0</w:t>
            </w:r>
          </w:p>
        </w:tc>
        <w:tc>
          <w:tcPr>
            <w:tcW w:w="414" w:type="pct"/>
            <w:vAlign w:val="center"/>
          </w:tcPr>
          <w:p w14:paraId="2574878B">
            <w:pPr>
              <w:pStyle w:val="11"/>
              <w:bidi w:val="0"/>
              <w:jc w:val="center"/>
              <w:rPr>
                <w:rFonts w:hint="eastAsia"/>
                <w:lang w:eastAsia="zh-CN"/>
              </w:rPr>
            </w:pPr>
            <w:r>
              <w:rPr>
                <w:rFonts w:hint="eastAsia"/>
              </w:rPr>
              <w:t>0</w:t>
            </w:r>
          </w:p>
        </w:tc>
        <w:tc>
          <w:tcPr>
            <w:tcW w:w="459" w:type="pct"/>
            <w:vAlign w:val="center"/>
          </w:tcPr>
          <w:p w14:paraId="077E6A70">
            <w:pPr>
              <w:pStyle w:val="11"/>
              <w:bidi w:val="0"/>
              <w:jc w:val="center"/>
              <w:rPr>
                <w:rFonts w:hint="eastAsia"/>
                <w:lang w:eastAsia="zh-CN"/>
              </w:rPr>
            </w:pPr>
            <w:r>
              <w:rPr>
                <w:rFonts w:hint="eastAsia"/>
              </w:rPr>
              <w:t>0</w:t>
            </w:r>
          </w:p>
        </w:tc>
      </w:tr>
      <w:tr w14:paraId="0CBE3D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61" w:type="pct"/>
            <w:vAlign w:val="center"/>
          </w:tcPr>
          <w:p w14:paraId="471F8D8D">
            <w:pPr>
              <w:pStyle w:val="11"/>
              <w:bidi w:val="0"/>
              <w:ind w:leftChars="100"/>
              <w:jc w:val="both"/>
              <w:rPr>
                <w:rFonts w:hint="eastAsia"/>
                <w:lang w:eastAsia="zh-CN"/>
              </w:rPr>
            </w:pPr>
            <w:r>
              <w:rPr>
                <w:rFonts w:hint="eastAsia"/>
              </w:rPr>
              <w:t>其他</w:t>
            </w:r>
          </w:p>
        </w:tc>
        <w:tc>
          <w:tcPr>
            <w:tcW w:w="585" w:type="pct"/>
            <w:vAlign w:val="center"/>
          </w:tcPr>
          <w:p w14:paraId="383E7088">
            <w:pPr>
              <w:pStyle w:val="11"/>
              <w:bidi w:val="0"/>
              <w:jc w:val="center"/>
              <w:rPr>
                <w:rFonts w:hint="eastAsia"/>
                <w:lang w:eastAsia="zh-CN"/>
              </w:rPr>
            </w:pPr>
            <w:r>
              <w:rPr>
                <w:rFonts w:hint="eastAsia"/>
              </w:rPr>
              <w:t>0</w:t>
            </w:r>
          </w:p>
        </w:tc>
        <w:tc>
          <w:tcPr>
            <w:tcW w:w="409" w:type="pct"/>
            <w:vAlign w:val="center"/>
          </w:tcPr>
          <w:p w14:paraId="2ACB4432">
            <w:pPr>
              <w:pStyle w:val="11"/>
              <w:bidi w:val="0"/>
              <w:jc w:val="center"/>
              <w:rPr>
                <w:rFonts w:hint="eastAsia"/>
                <w:lang w:eastAsia="zh-CN"/>
              </w:rPr>
            </w:pPr>
            <w:r>
              <w:rPr>
                <w:rFonts w:hint="eastAsia"/>
              </w:rPr>
              <w:t>0</w:t>
            </w:r>
          </w:p>
        </w:tc>
        <w:tc>
          <w:tcPr>
            <w:tcW w:w="462" w:type="pct"/>
            <w:vAlign w:val="center"/>
          </w:tcPr>
          <w:p w14:paraId="55AFE005">
            <w:pPr>
              <w:pStyle w:val="11"/>
              <w:bidi w:val="0"/>
              <w:jc w:val="center"/>
              <w:rPr>
                <w:rFonts w:hint="eastAsia"/>
                <w:lang w:eastAsia="zh-CN"/>
              </w:rPr>
            </w:pPr>
            <w:r>
              <w:rPr>
                <w:rFonts w:hint="eastAsia"/>
              </w:rPr>
              <w:t>0</w:t>
            </w:r>
          </w:p>
        </w:tc>
        <w:tc>
          <w:tcPr>
            <w:tcW w:w="442" w:type="pct"/>
            <w:vAlign w:val="center"/>
          </w:tcPr>
          <w:p w14:paraId="6C6F87F7">
            <w:pPr>
              <w:pStyle w:val="11"/>
              <w:bidi w:val="0"/>
              <w:jc w:val="center"/>
              <w:rPr>
                <w:rFonts w:hint="eastAsia"/>
                <w:lang w:eastAsia="zh-CN"/>
              </w:rPr>
            </w:pPr>
            <w:r>
              <w:rPr>
                <w:rFonts w:hint="eastAsia"/>
              </w:rPr>
              <w:t>1</w:t>
            </w:r>
          </w:p>
        </w:tc>
        <w:tc>
          <w:tcPr>
            <w:tcW w:w="402" w:type="pct"/>
            <w:vAlign w:val="center"/>
          </w:tcPr>
          <w:p w14:paraId="2DBB9AC5">
            <w:pPr>
              <w:pStyle w:val="11"/>
              <w:bidi w:val="0"/>
              <w:jc w:val="center"/>
              <w:rPr>
                <w:rFonts w:hint="eastAsia"/>
                <w:lang w:eastAsia="zh-CN"/>
              </w:rPr>
            </w:pPr>
            <w:r>
              <w:rPr>
                <w:rFonts w:hint="eastAsia"/>
              </w:rPr>
              <w:t>1</w:t>
            </w:r>
          </w:p>
        </w:tc>
        <w:tc>
          <w:tcPr>
            <w:tcW w:w="463" w:type="pct"/>
            <w:vAlign w:val="center"/>
          </w:tcPr>
          <w:p w14:paraId="26ED6C6D">
            <w:pPr>
              <w:pStyle w:val="11"/>
              <w:bidi w:val="0"/>
              <w:jc w:val="center"/>
              <w:rPr>
                <w:rFonts w:hint="eastAsia"/>
                <w:lang w:eastAsia="zh-CN"/>
              </w:rPr>
            </w:pPr>
            <w:r>
              <w:rPr>
                <w:rFonts w:hint="eastAsia"/>
              </w:rPr>
              <w:t>0</w:t>
            </w:r>
          </w:p>
        </w:tc>
        <w:tc>
          <w:tcPr>
            <w:tcW w:w="414" w:type="pct"/>
            <w:vAlign w:val="center"/>
          </w:tcPr>
          <w:p w14:paraId="6CD5C856">
            <w:pPr>
              <w:pStyle w:val="11"/>
              <w:bidi w:val="0"/>
              <w:jc w:val="center"/>
              <w:rPr>
                <w:rFonts w:hint="eastAsia"/>
                <w:lang w:eastAsia="zh-CN"/>
              </w:rPr>
            </w:pPr>
            <w:r>
              <w:rPr>
                <w:rFonts w:hint="eastAsia"/>
              </w:rPr>
              <w:t>0</w:t>
            </w:r>
          </w:p>
        </w:tc>
        <w:tc>
          <w:tcPr>
            <w:tcW w:w="459" w:type="pct"/>
            <w:vAlign w:val="center"/>
          </w:tcPr>
          <w:p w14:paraId="559E73F9">
            <w:pPr>
              <w:pStyle w:val="11"/>
              <w:bidi w:val="0"/>
              <w:jc w:val="center"/>
              <w:rPr>
                <w:rFonts w:hint="eastAsia"/>
                <w:lang w:eastAsia="zh-CN"/>
              </w:rPr>
            </w:pPr>
            <w:r>
              <w:rPr>
                <w:rFonts w:hint="eastAsia"/>
              </w:rPr>
              <w:t>0</w:t>
            </w:r>
          </w:p>
        </w:tc>
      </w:tr>
    </w:tbl>
    <w:p w14:paraId="2B592D43">
      <w:pPr>
        <w:pStyle w:val="4"/>
        <w:bidi w:val="0"/>
        <w:rPr>
          <w:rFonts w:hint="eastAsia"/>
        </w:rPr>
      </w:pPr>
      <w:r>
        <w:rPr>
          <w:rFonts w:hint="eastAsia"/>
        </w:rPr>
        <w:t>表47</w:t>
      </w:r>
      <w:r>
        <w:rPr>
          <w:rFonts w:hint="eastAsia"/>
          <w:lang w:val="en-US" w:eastAsia="zh-CN"/>
        </w:rPr>
        <w:t xml:space="preserve">  </w:t>
      </w:r>
      <w:r>
        <w:rPr>
          <w:rFonts w:hint="eastAsia"/>
        </w:rPr>
        <w:t>全市文化体育事业情况</w:t>
      </w:r>
    </w:p>
    <w:tbl>
      <w:tblPr>
        <w:tblStyle w:val="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17"/>
        <w:gridCol w:w="3321"/>
        <w:gridCol w:w="3322"/>
      </w:tblGrid>
      <w:tr w14:paraId="4A9B8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5" w:type="pct"/>
            <w:tcBorders>
              <w:left w:val="nil"/>
            </w:tcBorders>
            <w:vAlign w:val="center"/>
          </w:tcPr>
          <w:p w14:paraId="0ECB1E79">
            <w:pPr>
              <w:bidi w:val="0"/>
              <w:ind w:firstLine="0" w:firstLineChars="0"/>
              <w:jc w:val="center"/>
              <w:rPr>
                <w:rFonts w:hint="eastAsia"/>
                <w:b/>
                <w:bCs/>
                <w:vertAlign w:val="baseline"/>
                <w:lang w:eastAsia="zh-CN"/>
              </w:rPr>
            </w:pPr>
            <w:r>
              <w:rPr>
                <w:rFonts w:hint="eastAsia"/>
                <w:b/>
                <w:bCs/>
              </w:rPr>
              <w:t>指标名称</w:t>
            </w:r>
          </w:p>
        </w:tc>
        <w:tc>
          <w:tcPr>
            <w:tcW w:w="1667" w:type="pct"/>
            <w:vAlign w:val="center"/>
          </w:tcPr>
          <w:p w14:paraId="264BAB5C">
            <w:pPr>
              <w:bidi w:val="0"/>
              <w:ind w:firstLine="0" w:firstLineChars="0"/>
              <w:jc w:val="center"/>
              <w:rPr>
                <w:rFonts w:hint="eastAsia"/>
                <w:b/>
                <w:bCs/>
                <w:vertAlign w:val="baseline"/>
                <w:lang w:eastAsia="zh-CN"/>
              </w:rPr>
            </w:pPr>
            <w:r>
              <w:rPr>
                <w:rFonts w:hint="eastAsia"/>
                <w:b/>
                <w:bCs/>
              </w:rPr>
              <w:t>计量单位</w:t>
            </w:r>
          </w:p>
        </w:tc>
        <w:tc>
          <w:tcPr>
            <w:tcW w:w="1667" w:type="pct"/>
            <w:tcBorders>
              <w:right w:val="nil"/>
            </w:tcBorders>
            <w:vAlign w:val="center"/>
          </w:tcPr>
          <w:p w14:paraId="68FA061E">
            <w:pPr>
              <w:bidi w:val="0"/>
              <w:ind w:firstLine="0" w:firstLineChars="0"/>
              <w:jc w:val="center"/>
              <w:rPr>
                <w:rFonts w:hint="eastAsia"/>
                <w:b/>
                <w:bCs/>
                <w:vertAlign w:val="baseline"/>
                <w:lang w:eastAsia="zh-CN"/>
              </w:rPr>
            </w:pPr>
            <w:r>
              <w:rPr>
                <w:rFonts w:hint="eastAsia"/>
                <w:b/>
                <w:bCs/>
              </w:rPr>
              <w:t>2018年</w:t>
            </w:r>
          </w:p>
        </w:tc>
      </w:tr>
      <w:tr w14:paraId="6E0F2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7AABF687">
            <w:pPr>
              <w:bidi w:val="0"/>
              <w:ind w:firstLine="0" w:firstLineChars="0"/>
              <w:jc w:val="both"/>
              <w:rPr>
                <w:rFonts w:hint="eastAsia"/>
                <w:vertAlign w:val="baseline"/>
                <w:lang w:eastAsia="zh-CN"/>
              </w:rPr>
            </w:pPr>
            <w:r>
              <w:rPr>
                <w:rFonts w:hint="eastAsia"/>
              </w:rPr>
              <w:t>公共图书馆</w:t>
            </w:r>
          </w:p>
        </w:tc>
        <w:tc>
          <w:tcPr>
            <w:tcW w:w="1667" w:type="pct"/>
            <w:vAlign w:val="center"/>
          </w:tcPr>
          <w:p w14:paraId="3CF09D99">
            <w:pPr>
              <w:bidi w:val="0"/>
              <w:ind w:firstLine="0" w:firstLineChars="0"/>
              <w:jc w:val="center"/>
              <w:rPr>
                <w:rFonts w:hint="eastAsia"/>
                <w:vertAlign w:val="baseline"/>
                <w:lang w:eastAsia="zh-CN"/>
              </w:rPr>
            </w:pPr>
            <w:r>
              <w:rPr>
                <w:rFonts w:hint="eastAsia"/>
              </w:rPr>
              <w:t>个</w:t>
            </w:r>
          </w:p>
        </w:tc>
        <w:tc>
          <w:tcPr>
            <w:tcW w:w="1667" w:type="pct"/>
            <w:tcBorders>
              <w:right w:val="nil"/>
            </w:tcBorders>
            <w:vAlign w:val="center"/>
          </w:tcPr>
          <w:p w14:paraId="3C6C6AC0">
            <w:pPr>
              <w:bidi w:val="0"/>
              <w:ind w:firstLine="0" w:firstLineChars="0"/>
              <w:jc w:val="center"/>
              <w:rPr>
                <w:rFonts w:hint="eastAsia"/>
                <w:vertAlign w:val="baseline"/>
                <w:lang w:eastAsia="zh-CN"/>
              </w:rPr>
            </w:pPr>
            <w:r>
              <w:rPr>
                <w:rFonts w:hint="eastAsia"/>
              </w:rPr>
              <w:t>1</w:t>
            </w:r>
          </w:p>
        </w:tc>
      </w:tr>
      <w:tr w14:paraId="30793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731BB254">
            <w:pPr>
              <w:bidi w:val="0"/>
              <w:ind w:firstLine="0" w:firstLineChars="0"/>
              <w:jc w:val="both"/>
              <w:rPr>
                <w:rFonts w:hint="eastAsia"/>
                <w:vertAlign w:val="baseline"/>
                <w:lang w:eastAsia="zh-CN"/>
              </w:rPr>
            </w:pPr>
            <w:r>
              <w:rPr>
                <w:rFonts w:hint="eastAsia"/>
              </w:rPr>
              <w:t>公共图书馆建筑面积</w:t>
            </w:r>
          </w:p>
        </w:tc>
        <w:tc>
          <w:tcPr>
            <w:tcW w:w="1667" w:type="pct"/>
            <w:vAlign w:val="center"/>
          </w:tcPr>
          <w:p w14:paraId="088AB873">
            <w:pPr>
              <w:bidi w:val="0"/>
              <w:ind w:firstLine="0" w:firstLineChars="0"/>
              <w:jc w:val="center"/>
              <w:rPr>
                <w:rFonts w:hint="eastAsia"/>
                <w:vertAlign w:val="baseline"/>
                <w:lang w:eastAsia="zh-CN"/>
              </w:rPr>
            </w:pPr>
            <w:r>
              <w:rPr>
                <w:rFonts w:hint="eastAsia"/>
              </w:rPr>
              <w:t>平方米</w:t>
            </w:r>
          </w:p>
        </w:tc>
        <w:tc>
          <w:tcPr>
            <w:tcW w:w="1667" w:type="pct"/>
            <w:tcBorders>
              <w:right w:val="nil"/>
            </w:tcBorders>
            <w:vAlign w:val="center"/>
          </w:tcPr>
          <w:p w14:paraId="0C814BC4">
            <w:pPr>
              <w:bidi w:val="0"/>
              <w:ind w:firstLine="0" w:firstLineChars="0"/>
              <w:jc w:val="center"/>
              <w:rPr>
                <w:rFonts w:hint="eastAsia"/>
                <w:vertAlign w:val="baseline"/>
                <w:lang w:eastAsia="zh-CN"/>
              </w:rPr>
            </w:pPr>
            <w:r>
              <w:rPr>
                <w:rFonts w:hint="eastAsia"/>
              </w:rPr>
              <w:t>2000</w:t>
            </w:r>
          </w:p>
        </w:tc>
      </w:tr>
      <w:tr w14:paraId="06CB9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0E8637FE">
            <w:pPr>
              <w:bidi w:val="0"/>
              <w:ind w:firstLine="0" w:firstLineChars="0"/>
              <w:jc w:val="both"/>
              <w:rPr>
                <w:rFonts w:hint="eastAsia"/>
                <w:vertAlign w:val="baseline"/>
                <w:lang w:eastAsia="zh-CN"/>
              </w:rPr>
            </w:pPr>
            <w:r>
              <w:rPr>
                <w:rFonts w:hint="eastAsia"/>
              </w:rPr>
              <w:t>公共图书馆图书总藏量</w:t>
            </w:r>
          </w:p>
        </w:tc>
        <w:tc>
          <w:tcPr>
            <w:tcW w:w="1667" w:type="pct"/>
            <w:vAlign w:val="center"/>
          </w:tcPr>
          <w:p w14:paraId="21D978A1">
            <w:pPr>
              <w:bidi w:val="0"/>
              <w:ind w:firstLine="0" w:firstLineChars="0"/>
              <w:jc w:val="center"/>
              <w:rPr>
                <w:rFonts w:hint="eastAsia"/>
                <w:vertAlign w:val="baseline"/>
                <w:lang w:eastAsia="zh-CN"/>
              </w:rPr>
            </w:pPr>
            <w:r>
              <w:rPr>
                <w:rFonts w:hint="eastAsia"/>
              </w:rPr>
              <w:t>万册</w:t>
            </w:r>
          </w:p>
        </w:tc>
        <w:tc>
          <w:tcPr>
            <w:tcW w:w="1667" w:type="pct"/>
            <w:tcBorders>
              <w:right w:val="nil"/>
            </w:tcBorders>
            <w:vAlign w:val="center"/>
          </w:tcPr>
          <w:p w14:paraId="6B21ECB7">
            <w:pPr>
              <w:bidi w:val="0"/>
              <w:ind w:firstLine="0" w:firstLineChars="0"/>
              <w:jc w:val="center"/>
              <w:rPr>
                <w:rFonts w:hint="eastAsia"/>
                <w:vertAlign w:val="baseline"/>
                <w:lang w:eastAsia="zh-CN"/>
              </w:rPr>
            </w:pPr>
            <w:r>
              <w:rPr>
                <w:rFonts w:hint="eastAsia"/>
              </w:rPr>
              <w:t>5.59</w:t>
            </w:r>
          </w:p>
        </w:tc>
      </w:tr>
      <w:tr w14:paraId="35E92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170D2FA1">
            <w:pPr>
              <w:bidi w:val="0"/>
              <w:ind w:firstLine="0" w:firstLineChars="0"/>
              <w:jc w:val="both"/>
              <w:rPr>
                <w:rFonts w:hint="eastAsia"/>
                <w:vertAlign w:val="baseline"/>
                <w:lang w:eastAsia="zh-CN"/>
              </w:rPr>
            </w:pPr>
            <w:r>
              <w:rPr>
                <w:rFonts w:hint="eastAsia"/>
              </w:rPr>
              <w:t>博物馆</w:t>
            </w:r>
          </w:p>
        </w:tc>
        <w:tc>
          <w:tcPr>
            <w:tcW w:w="1667" w:type="pct"/>
            <w:vAlign w:val="center"/>
          </w:tcPr>
          <w:p w14:paraId="682FC301">
            <w:pPr>
              <w:bidi w:val="0"/>
              <w:ind w:firstLine="0" w:firstLineChars="0"/>
              <w:jc w:val="center"/>
              <w:rPr>
                <w:rFonts w:hint="eastAsia"/>
                <w:vertAlign w:val="baseline"/>
                <w:lang w:eastAsia="zh-CN"/>
              </w:rPr>
            </w:pPr>
            <w:r>
              <w:rPr>
                <w:rFonts w:hint="eastAsia"/>
              </w:rPr>
              <w:t>个</w:t>
            </w:r>
          </w:p>
        </w:tc>
        <w:tc>
          <w:tcPr>
            <w:tcW w:w="1667" w:type="pct"/>
            <w:tcBorders>
              <w:right w:val="nil"/>
            </w:tcBorders>
            <w:vAlign w:val="center"/>
          </w:tcPr>
          <w:p w14:paraId="3571E5D5">
            <w:pPr>
              <w:bidi w:val="0"/>
              <w:ind w:firstLine="0" w:firstLineChars="0"/>
              <w:jc w:val="center"/>
              <w:rPr>
                <w:rFonts w:hint="eastAsia"/>
                <w:vertAlign w:val="baseline"/>
                <w:lang w:eastAsia="zh-CN"/>
              </w:rPr>
            </w:pPr>
            <w:r>
              <w:rPr>
                <w:rFonts w:hint="eastAsia"/>
              </w:rPr>
              <w:t>1</w:t>
            </w:r>
          </w:p>
        </w:tc>
      </w:tr>
      <w:tr w14:paraId="51F4D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1657A377">
            <w:pPr>
              <w:bidi w:val="0"/>
              <w:ind w:firstLine="0" w:firstLineChars="0"/>
              <w:jc w:val="both"/>
              <w:rPr>
                <w:rFonts w:hint="eastAsia"/>
                <w:vertAlign w:val="baseline"/>
                <w:lang w:eastAsia="zh-CN"/>
              </w:rPr>
            </w:pPr>
            <w:r>
              <w:rPr>
                <w:rFonts w:hint="eastAsia"/>
              </w:rPr>
              <w:t>博物馆建筑面积</w:t>
            </w:r>
          </w:p>
        </w:tc>
        <w:tc>
          <w:tcPr>
            <w:tcW w:w="1667" w:type="pct"/>
            <w:vAlign w:val="center"/>
          </w:tcPr>
          <w:p w14:paraId="57A2DB2F">
            <w:pPr>
              <w:bidi w:val="0"/>
              <w:ind w:firstLine="0" w:firstLineChars="0"/>
              <w:jc w:val="center"/>
              <w:rPr>
                <w:rFonts w:hint="eastAsia"/>
                <w:vertAlign w:val="baseline"/>
                <w:lang w:eastAsia="zh-CN"/>
              </w:rPr>
            </w:pPr>
            <w:r>
              <w:rPr>
                <w:rFonts w:hint="eastAsia"/>
              </w:rPr>
              <w:t>平方米</w:t>
            </w:r>
          </w:p>
        </w:tc>
        <w:tc>
          <w:tcPr>
            <w:tcW w:w="1667" w:type="pct"/>
            <w:tcBorders>
              <w:right w:val="nil"/>
            </w:tcBorders>
            <w:vAlign w:val="center"/>
          </w:tcPr>
          <w:p w14:paraId="15BCE55C">
            <w:pPr>
              <w:bidi w:val="0"/>
              <w:ind w:firstLine="0" w:firstLineChars="0"/>
              <w:jc w:val="center"/>
              <w:rPr>
                <w:rFonts w:hint="eastAsia"/>
                <w:vertAlign w:val="baseline"/>
                <w:lang w:eastAsia="zh-CN"/>
              </w:rPr>
            </w:pPr>
            <w:r>
              <w:rPr>
                <w:rFonts w:hint="eastAsia"/>
              </w:rPr>
              <w:t>2500</w:t>
            </w:r>
          </w:p>
        </w:tc>
      </w:tr>
      <w:tr w14:paraId="4BF4E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19240025">
            <w:pPr>
              <w:bidi w:val="0"/>
              <w:ind w:firstLine="0" w:firstLineChars="0"/>
              <w:jc w:val="both"/>
              <w:rPr>
                <w:rFonts w:hint="eastAsia"/>
                <w:vertAlign w:val="baseline"/>
                <w:lang w:eastAsia="zh-CN"/>
              </w:rPr>
            </w:pPr>
            <w:r>
              <w:rPr>
                <w:rFonts w:hint="eastAsia"/>
              </w:rPr>
              <w:t>文物保护单位数</w:t>
            </w:r>
          </w:p>
        </w:tc>
        <w:tc>
          <w:tcPr>
            <w:tcW w:w="1667" w:type="pct"/>
            <w:vAlign w:val="center"/>
          </w:tcPr>
          <w:p w14:paraId="718B618F">
            <w:pPr>
              <w:bidi w:val="0"/>
              <w:ind w:firstLine="0" w:firstLineChars="0"/>
              <w:jc w:val="center"/>
              <w:rPr>
                <w:rFonts w:hint="eastAsia"/>
                <w:vertAlign w:val="baseline"/>
                <w:lang w:eastAsia="zh-CN"/>
              </w:rPr>
            </w:pPr>
            <w:r>
              <w:rPr>
                <w:rFonts w:hint="eastAsia"/>
              </w:rPr>
              <w:t>个</w:t>
            </w:r>
          </w:p>
        </w:tc>
        <w:tc>
          <w:tcPr>
            <w:tcW w:w="1667" w:type="pct"/>
            <w:tcBorders>
              <w:right w:val="nil"/>
            </w:tcBorders>
            <w:vAlign w:val="center"/>
          </w:tcPr>
          <w:p w14:paraId="709811DD">
            <w:pPr>
              <w:bidi w:val="0"/>
              <w:ind w:firstLine="0" w:firstLineChars="0"/>
              <w:jc w:val="center"/>
              <w:rPr>
                <w:rFonts w:hint="eastAsia"/>
                <w:vertAlign w:val="baseline"/>
                <w:lang w:eastAsia="zh-CN"/>
              </w:rPr>
            </w:pPr>
            <w:r>
              <w:rPr>
                <w:rFonts w:hint="eastAsia"/>
              </w:rPr>
              <w:t>55</w:t>
            </w:r>
          </w:p>
        </w:tc>
      </w:tr>
      <w:tr w14:paraId="46D54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2E501B5E">
            <w:pPr>
              <w:bidi w:val="0"/>
              <w:ind w:leftChars="100" w:firstLine="0" w:firstLineChars="0"/>
              <w:jc w:val="both"/>
              <w:rPr>
                <w:rFonts w:hint="eastAsia"/>
                <w:vertAlign w:val="baseline"/>
                <w:lang w:eastAsia="zh-CN"/>
              </w:rPr>
            </w:pPr>
            <w:r>
              <w:rPr>
                <w:rFonts w:hint="eastAsia"/>
              </w:rPr>
              <w:t>#全国重点文物保护单位</w:t>
            </w:r>
          </w:p>
        </w:tc>
        <w:tc>
          <w:tcPr>
            <w:tcW w:w="1667" w:type="pct"/>
            <w:vAlign w:val="center"/>
          </w:tcPr>
          <w:p w14:paraId="5128D62A">
            <w:pPr>
              <w:bidi w:val="0"/>
              <w:ind w:firstLine="0" w:firstLineChars="0"/>
              <w:jc w:val="center"/>
              <w:rPr>
                <w:rFonts w:hint="eastAsia"/>
                <w:vertAlign w:val="baseline"/>
                <w:lang w:eastAsia="zh-CN"/>
              </w:rPr>
            </w:pPr>
            <w:r>
              <w:rPr>
                <w:rFonts w:hint="eastAsia"/>
              </w:rPr>
              <w:t>个</w:t>
            </w:r>
          </w:p>
        </w:tc>
        <w:tc>
          <w:tcPr>
            <w:tcW w:w="1667" w:type="pct"/>
            <w:tcBorders>
              <w:right w:val="nil"/>
            </w:tcBorders>
            <w:vAlign w:val="center"/>
          </w:tcPr>
          <w:p w14:paraId="4D3266D4">
            <w:pPr>
              <w:bidi w:val="0"/>
              <w:ind w:firstLine="0" w:firstLineChars="0"/>
              <w:jc w:val="center"/>
              <w:rPr>
                <w:rFonts w:hint="eastAsia"/>
                <w:vertAlign w:val="baseline"/>
                <w:lang w:eastAsia="zh-CN"/>
              </w:rPr>
            </w:pPr>
            <w:r>
              <w:rPr>
                <w:rFonts w:hint="eastAsia"/>
              </w:rPr>
              <w:t>2</w:t>
            </w:r>
          </w:p>
        </w:tc>
      </w:tr>
      <w:tr w14:paraId="48AA2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6C616F95">
            <w:pPr>
              <w:bidi w:val="0"/>
              <w:ind w:leftChars="100" w:firstLine="0" w:firstLineChars="0"/>
              <w:jc w:val="both"/>
              <w:rPr>
                <w:rFonts w:hint="eastAsia"/>
                <w:vertAlign w:val="baseline"/>
                <w:lang w:eastAsia="zh-CN"/>
              </w:rPr>
            </w:pPr>
            <w:r>
              <w:rPr>
                <w:rFonts w:hint="eastAsia"/>
              </w:rPr>
              <w:t>省重点文物保护单位</w:t>
            </w:r>
          </w:p>
        </w:tc>
        <w:tc>
          <w:tcPr>
            <w:tcW w:w="1667" w:type="pct"/>
            <w:vAlign w:val="center"/>
          </w:tcPr>
          <w:p w14:paraId="14F91B91">
            <w:pPr>
              <w:bidi w:val="0"/>
              <w:ind w:firstLine="0" w:firstLineChars="0"/>
              <w:jc w:val="center"/>
              <w:rPr>
                <w:rFonts w:hint="eastAsia"/>
                <w:vertAlign w:val="baseline"/>
                <w:lang w:eastAsia="zh-CN"/>
              </w:rPr>
            </w:pPr>
            <w:r>
              <w:rPr>
                <w:rFonts w:hint="eastAsia"/>
              </w:rPr>
              <w:t>个</w:t>
            </w:r>
          </w:p>
        </w:tc>
        <w:tc>
          <w:tcPr>
            <w:tcW w:w="1667" w:type="pct"/>
            <w:tcBorders>
              <w:right w:val="nil"/>
            </w:tcBorders>
            <w:vAlign w:val="center"/>
          </w:tcPr>
          <w:p w14:paraId="2F3008CF">
            <w:pPr>
              <w:bidi w:val="0"/>
              <w:ind w:firstLine="0" w:firstLineChars="0"/>
              <w:jc w:val="center"/>
              <w:rPr>
                <w:rFonts w:hint="eastAsia"/>
                <w:vertAlign w:val="baseline"/>
                <w:lang w:eastAsia="zh-CN"/>
              </w:rPr>
            </w:pPr>
            <w:r>
              <w:rPr>
                <w:rFonts w:hint="eastAsia"/>
              </w:rPr>
              <w:t>13</w:t>
            </w:r>
          </w:p>
        </w:tc>
      </w:tr>
      <w:tr w14:paraId="58951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1EE162BA">
            <w:pPr>
              <w:bidi w:val="0"/>
              <w:ind w:firstLine="0" w:firstLineChars="0"/>
              <w:jc w:val="both"/>
              <w:rPr>
                <w:rFonts w:hint="eastAsia"/>
                <w:vertAlign w:val="baseline"/>
                <w:lang w:eastAsia="zh-CN"/>
              </w:rPr>
            </w:pPr>
            <w:r>
              <w:rPr>
                <w:rFonts w:hint="eastAsia"/>
              </w:rPr>
              <w:t>有线广播电视用户</w:t>
            </w:r>
          </w:p>
        </w:tc>
        <w:tc>
          <w:tcPr>
            <w:tcW w:w="1667" w:type="pct"/>
            <w:vAlign w:val="center"/>
          </w:tcPr>
          <w:p w14:paraId="4EF675F8">
            <w:pPr>
              <w:bidi w:val="0"/>
              <w:ind w:firstLine="0" w:firstLineChars="0"/>
              <w:jc w:val="center"/>
              <w:rPr>
                <w:rFonts w:hint="eastAsia"/>
                <w:vertAlign w:val="baseline"/>
                <w:lang w:eastAsia="zh-CN"/>
              </w:rPr>
            </w:pPr>
            <w:r>
              <w:rPr>
                <w:rFonts w:hint="eastAsia"/>
              </w:rPr>
              <w:t>户</w:t>
            </w:r>
          </w:p>
        </w:tc>
        <w:tc>
          <w:tcPr>
            <w:tcW w:w="1667" w:type="pct"/>
            <w:tcBorders>
              <w:right w:val="nil"/>
            </w:tcBorders>
            <w:vAlign w:val="center"/>
          </w:tcPr>
          <w:p w14:paraId="3B63A929">
            <w:pPr>
              <w:bidi w:val="0"/>
              <w:ind w:firstLine="0" w:firstLineChars="0"/>
              <w:jc w:val="center"/>
              <w:rPr>
                <w:rFonts w:hint="eastAsia"/>
                <w:vertAlign w:val="baseline"/>
                <w:lang w:eastAsia="zh-CN"/>
              </w:rPr>
            </w:pPr>
            <w:r>
              <w:rPr>
                <w:rFonts w:hint="eastAsia"/>
              </w:rPr>
              <w:t>85953</w:t>
            </w:r>
          </w:p>
        </w:tc>
      </w:tr>
      <w:tr w14:paraId="21308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7DAA038B">
            <w:pPr>
              <w:bidi w:val="0"/>
              <w:ind w:firstLine="0" w:firstLineChars="0"/>
              <w:jc w:val="both"/>
              <w:rPr>
                <w:rFonts w:hint="eastAsia"/>
                <w:vertAlign w:val="baseline"/>
                <w:lang w:eastAsia="zh-CN"/>
              </w:rPr>
            </w:pPr>
            <w:r>
              <w:rPr>
                <w:rFonts w:hint="eastAsia"/>
              </w:rPr>
              <w:t>体育场</w:t>
            </w:r>
          </w:p>
        </w:tc>
        <w:tc>
          <w:tcPr>
            <w:tcW w:w="1667" w:type="pct"/>
            <w:vAlign w:val="center"/>
          </w:tcPr>
          <w:p w14:paraId="19E65646">
            <w:pPr>
              <w:bidi w:val="0"/>
              <w:ind w:firstLine="0" w:firstLineChars="0"/>
              <w:jc w:val="center"/>
              <w:rPr>
                <w:rFonts w:hint="eastAsia"/>
                <w:vertAlign w:val="baseline"/>
                <w:lang w:eastAsia="zh-CN"/>
              </w:rPr>
            </w:pPr>
            <w:r>
              <w:rPr>
                <w:rFonts w:hint="eastAsia"/>
              </w:rPr>
              <w:t>个</w:t>
            </w:r>
          </w:p>
        </w:tc>
        <w:tc>
          <w:tcPr>
            <w:tcW w:w="1667" w:type="pct"/>
            <w:tcBorders>
              <w:right w:val="nil"/>
            </w:tcBorders>
            <w:vAlign w:val="center"/>
          </w:tcPr>
          <w:p w14:paraId="1B948574">
            <w:pPr>
              <w:bidi w:val="0"/>
              <w:ind w:firstLine="0" w:firstLineChars="0"/>
              <w:jc w:val="center"/>
              <w:rPr>
                <w:rFonts w:hint="eastAsia"/>
                <w:vertAlign w:val="baseline"/>
                <w:lang w:eastAsia="zh-CN"/>
              </w:rPr>
            </w:pPr>
            <w:r>
              <w:rPr>
                <w:rFonts w:hint="eastAsia"/>
              </w:rPr>
              <w:t>15</w:t>
            </w:r>
          </w:p>
        </w:tc>
      </w:tr>
      <w:tr w14:paraId="3CE8E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354CBE6D">
            <w:pPr>
              <w:bidi w:val="0"/>
              <w:ind w:firstLine="0" w:firstLineChars="0"/>
              <w:jc w:val="both"/>
              <w:rPr>
                <w:rFonts w:hint="eastAsia"/>
                <w:vertAlign w:val="baseline"/>
                <w:lang w:eastAsia="zh-CN"/>
              </w:rPr>
            </w:pPr>
            <w:r>
              <w:rPr>
                <w:rFonts w:hint="eastAsia"/>
              </w:rPr>
              <w:t>250米田径场</w:t>
            </w:r>
          </w:p>
        </w:tc>
        <w:tc>
          <w:tcPr>
            <w:tcW w:w="1667" w:type="pct"/>
            <w:vAlign w:val="center"/>
          </w:tcPr>
          <w:p w14:paraId="5A1235D0">
            <w:pPr>
              <w:bidi w:val="0"/>
              <w:ind w:firstLine="0" w:firstLineChars="0"/>
              <w:jc w:val="center"/>
              <w:rPr>
                <w:rFonts w:hint="eastAsia"/>
                <w:vertAlign w:val="baseline"/>
                <w:lang w:eastAsia="zh-CN"/>
              </w:rPr>
            </w:pPr>
            <w:r>
              <w:rPr>
                <w:rFonts w:hint="eastAsia"/>
              </w:rPr>
              <w:t>个</w:t>
            </w:r>
          </w:p>
        </w:tc>
        <w:tc>
          <w:tcPr>
            <w:tcW w:w="1667" w:type="pct"/>
            <w:tcBorders>
              <w:right w:val="nil"/>
            </w:tcBorders>
            <w:vAlign w:val="center"/>
          </w:tcPr>
          <w:p w14:paraId="54995DA7">
            <w:pPr>
              <w:bidi w:val="0"/>
              <w:ind w:firstLine="0" w:firstLineChars="0"/>
              <w:jc w:val="center"/>
              <w:rPr>
                <w:rFonts w:hint="eastAsia"/>
                <w:vertAlign w:val="baseline"/>
                <w:lang w:eastAsia="zh-CN"/>
              </w:rPr>
            </w:pPr>
            <w:r>
              <w:rPr>
                <w:rFonts w:hint="eastAsia"/>
              </w:rPr>
              <w:t>28</w:t>
            </w:r>
          </w:p>
        </w:tc>
      </w:tr>
      <w:tr w14:paraId="1B611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5A50D380">
            <w:pPr>
              <w:bidi w:val="0"/>
              <w:ind w:firstLine="0" w:firstLineChars="0"/>
              <w:jc w:val="both"/>
              <w:rPr>
                <w:rFonts w:hint="eastAsia"/>
                <w:vertAlign w:val="baseline"/>
                <w:lang w:eastAsia="zh-CN"/>
              </w:rPr>
            </w:pPr>
            <w:r>
              <w:rPr>
                <w:rFonts w:hint="eastAsia"/>
              </w:rPr>
              <w:t>参加地级市以上竞赛获奖牌数</w:t>
            </w:r>
          </w:p>
        </w:tc>
        <w:tc>
          <w:tcPr>
            <w:tcW w:w="1667" w:type="pct"/>
            <w:vAlign w:val="center"/>
          </w:tcPr>
          <w:p w14:paraId="5FBCD685">
            <w:pPr>
              <w:bidi w:val="0"/>
              <w:ind w:firstLine="0" w:firstLineChars="0"/>
              <w:jc w:val="center"/>
              <w:rPr>
                <w:rFonts w:hint="eastAsia"/>
                <w:vertAlign w:val="baseline"/>
                <w:lang w:eastAsia="zh-CN"/>
              </w:rPr>
            </w:pPr>
            <w:r>
              <w:rPr>
                <w:rFonts w:hint="eastAsia"/>
              </w:rPr>
              <w:t>枚</w:t>
            </w:r>
          </w:p>
        </w:tc>
        <w:tc>
          <w:tcPr>
            <w:tcW w:w="1667" w:type="pct"/>
            <w:tcBorders>
              <w:right w:val="nil"/>
            </w:tcBorders>
            <w:vAlign w:val="center"/>
          </w:tcPr>
          <w:p w14:paraId="0B9A052E">
            <w:pPr>
              <w:bidi w:val="0"/>
              <w:ind w:firstLine="0" w:firstLineChars="0"/>
              <w:jc w:val="center"/>
              <w:rPr>
                <w:rFonts w:hint="eastAsia"/>
                <w:vertAlign w:val="baseline"/>
                <w:lang w:eastAsia="zh-CN"/>
              </w:rPr>
            </w:pPr>
            <w:r>
              <w:rPr>
                <w:rFonts w:hint="eastAsia"/>
              </w:rPr>
              <w:t>83</w:t>
            </w:r>
          </w:p>
        </w:tc>
      </w:tr>
      <w:tr w14:paraId="41296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0E681C16">
            <w:pPr>
              <w:bidi w:val="0"/>
              <w:ind w:leftChars="100" w:firstLine="0" w:firstLineChars="0"/>
              <w:jc w:val="both"/>
              <w:rPr>
                <w:rFonts w:hint="eastAsia"/>
                <w:vertAlign w:val="baseline"/>
                <w:lang w:eastAsia="zh-CN"/>
              </w:rPr>
            </w:pPr>
            <w:r>
              <w:rPr>
                <w:rFonts w:hint="eastAsia"/>
              </w:rPr>
              <w:t>#：金牌</w:t>
            </w:r>
          </w:p>
        </w:tc>
        <w:tc>
          <w:tcPr>
            <w:tcW w:w="1667" w:type="pct"/>
            <w:vAlign w:val="center"/>
          </w:tcPr>
          <w:p w14:paraId="6EF1B508">
            <w:pPr>
              <w:bidi w:val="0"/>
              <w:ind w:firstLine="0" w:firstLineChars="0"/>
              <w:jc w:val="center"/>
              <w:rPr>
                <w:rFonts w:hint="eastAsia"/>
                <w:vertAlign w:val="baseline"/>
                <w:lang w:eastAsia="zh-CN"/>
              </w:rPr>
            </w:pPr>
            <w:r>
              <w:rPr>
                <w:rFonts w:hint="eastAsia"/>
              </w:rPr>
              <w:t>枚</w:t>
            </w:r>
          </w:p>
        </w:tc>
        <w:tc>
          <w:tcPr>
            <w:tcW w:w="1667" w:type="pct"/>
            <w:tcBorders>
              <w:right w:val="nil"/>
            </w:tcBorders>
            <w:vAlign w:val="center"/>
          </w:tcPr>
          <w:p w14:paraId="22A66AF2">
            <w:pPr>
              <w:bidi w:val="0"/>
              <w:ind w:firstLine="0" w:firstLineChars="0"/>
              <w:jc w:val="center"/>
              <w:rPr>
                <w:rFonts w:hint="eastAsia"/>
                <w:vertAlign w:val="baseline"/>
                <w:lang w:eastAsia="zh-CN"/>
              </w:rPr>
            </w:pPr>
            <w:r>
              <w:rPr>
                <w:rFonts w:hint="eastAsia"/>
              </w:rPr>
              <w:t>16</w:t>
            </w:r>
          </w:p>
        </w:tc>
      </w:tr>
      <w:tr w14:paraId="04EFB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34B8FC97">
            <w:pPr>
              <w:bidi w:val="0"/>
              <w:ind w:leftChars="100" w:firstLine="0" w:firstLineChars="0"/>
              <w:jc w:val="both"/>
              <w:rPr>
                <w:rFonts w:hint="eastAsia"/>
                <w:vertAlign w:val="baseline"/>
                <w:lang w:eastAsia="zh-CN"/>
              </w:rPr>
            </w:pPr>
            <w:r>
              <w:rPr>
                <w:rFonts w:hint="eastAsia"/>
              </w:rPr>
              <w:t>银牌</w:t>
            </w:r>
          </w:p>
        </w:tc>
        <w:tc>
          <w:tcPr>
            <w:tcW w:w="1667" w:type="pct"/>
            <w:vAlign w:val="center"/>
          </w:tcPr>
          <w:p w14:paraId="208C45C7">
            <w:pPr>
              <w:bidi w:val="0"/>
              <w:ind w:firstLine="0" w:firstLineChars="0"/>
              <w:jc w:val="center"/>
              <w:rPr>
                <w:rFonts w:hint="eastAsia"/>
                <w:vertAlign w:val="baseline"/>
                <w:lang w:eastAsia="zh-CN"/>
              </w:rPr>
            </w:pPr>
            <w:r>
              <w:rPr>
                <w:rFonts w:hint="eastAsia"/>
              </w:rPr>
              <w:t>枚</w:t>
            </w:r>
          </w:p>
        </w:tc>
        <w:tc>
          <w:tcPr>
            <w:tcW w:w="1667" w:type="pct"/>
            <w:tcBorders>
              <w:right w:val="nil"/>
            </w:tcBorders>
            <w:vAlign w:val="center"/>
          </w:tcPr>
          <w:p w14:paraId="3344C4B4">
            <w:pPr>
              <w:bidi w:val="0"/>
              <w:ind w:firstLine="0" w:firstLineChars="0"/>
              <w:jc w:val="center"/>
              <w:rPr>
                <w:rFonts w:hint="eastAsia"/>
                <w:vertAlign w:val="baseline"/>
                <w:lang w:eastAsia="zh-CN"/>
              </w:rPr>
            </w:pPr>
            <w:r>
              <w:rPr>
                <w:rFonts w:hint="eastAsia"/>
              </w:rPr>
              <w:t>47</w:t>
            </w:r>
          </w:p>
        </w:tc>
      </w:tr>
      <w:tr w14:paraId="3D65A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429A42FA">
            <w:pPr>
              <w:bidi w:val="0"/>
              <w:ind w:leftChars="100" w:firstLine="0" w:firstLineChars="0"/>
              <w:jc w:val="both"/>
              <w:rPr>
                <w:rFonts w:hint="eastAsia"/>
                <w:vertAlign w:val="baseline"/>
                <w:lang w:eastAsia="zh-CN"/>
              </w:rPr>
            </w:pPr>
            <w:r>
              <w:rPr>
                <w:rFonts w:hint="eastAsia"/>
              </w:rPr>
              <w:t>铜牌</w:t>
            </w:r>
          </w:p>
        </w:tc>
        <w:tc>
          <w:tcPr>
            <w:tcW w:w="1667" w:type="pct"/>
            <w:vAlign w:val="center"/>
          </w:tcPr>
          <w:p w14:paraId="1B53F0EA">
            <w:pPr>
              <w:bidi w:val="0"/>
              <w:ind w:firstLine="0" w:firstLineChars="0"/>
              <w:jc w:val="center"/>
              <w:rPr>
                <w:rFonts w:hint="eastAsia"/>
                <w:vertAlign w:val="baseline"/>
                <w:lang w:eastAsia="zh-CN"/>
              </w:rPr>
            </w:pPr>
            <w:r>
              <w:rPr>
                <w:rFonts w:hint="eastAsia"/>
              </w:rPr>
              <w:t>枚</w:t>
            </w:r>
          </w:p>
        </w:tc>
        <w:tc>
          <w:tcPr>
            <w:tcW w:w="1667" w:type="pct"/>
            <w:tcBorders>
              <w:right w:val="nil"/>
            </w:tcBorders>
            <w:vAlign w:val="center"/>
          </w:tcPr>
          <w:p w14:paraId="4EA5414B">
            <w:pPr>
              <w:bidi w:val="0"/>
              <w:ind w:firstLine="0" w:firstLineChars="0"/>
              <w:jc w:val="center"/>
              <w:rPr>
                <w:rFonts w:hint="eastAsia"/>
                <w:vertAlign w:val="baseline"/>
                <w:lang w:eastAsia="zh-CN"/>
              </w:rPr>
            </w:pPr>
            <w:r>
              <w:rPr>
                <w:rFonts w:hint="eastAsia"/>
              </w:rPr>
              <w:t>20</w:t>
            </w:r>
          </w:p>
        </w:tc>
      </w:tr>
      <w:tr w14:paraId="35259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3C174E0B">
            <w:pPr>
              <w:bidi w:val="0"/>
              <w:ind w:firstLine="0" w:firstLineChars="0"/>
              <w:jc w:val="both"/>
              <w:rPr>
                <w:rFonts w:hint="eastAsia"/>
                <w:vertAlign w:val="baseline"/>
                <w:lang w:eastAsia="zh-CN"/>
              </w:rPr>
            </w:pPr>
            <w:r>
              <w:rPr>
                <w:rFonts w:hint="eastAsia"/>
              </w:rPr>
              <w:t>体育福彩投注站</w:t>
            </w:r>
          </w:p>
        </w:tc>
        <w:tc>
          <w:tcPr>
            <w:tcW w:w="1667" w:type="pct"/>
            <w:vAlign w:val="center"/>
          </w:tcPr>
          <w:p w14:paraId="417904BC">
            <w:pPr>
              <w:bidi w:val="0"/>
              <w:ind w:firstLine="0" w:firstLineChars="0"/>
              <w:jc w:val="center"/>
              <w:rPr>
                <w:rFonts w:hint="eastAsia"/>
                <w:vertAlign w:val="baseline"/>
                <w:lang w:eastAsia="zh-CN"/>
              </w:rPr>
            </w:pPr>
            <w:r>
              <w:rPr>
                <w:rFonts w:hint="eastAsia"/>
              </w:rPr>
              <w:t>个</w:t>
            </w:r>
          </w:p>
        </w:tc>
        <w:tc>
          <w:tcPr>
            <w:tcW w:w="1667" w:type="pct"/>
            <w:tcBorders>
              <w:right w:val="nil"/>
            </w:tcBorders>
            <w:vAlign w:val="center"/>
          </w:tcPr>
          <w:p w14:paraId="59C41A0D">
            <w:pPr>
              <w:bidi w:val="0"/>
              <w:ind w:firstLine="0" w:firstLineChars="0"/>
              <w:jc w:val="center"/>
              <w:rPr>
                <w:rFonts w:hint="eastAsia"/>
                <w:vertAlign w:val="baseline"/>
                <w:lang w:eastAsia="zh-CN"/>
              </w:rPr>
            </w:pPr>
            <w:r>
              <w:rPr>
                <w:rFonts w:hint="eastAsia"/>
              </w:rPr>
              <w:t>19</w:t>
            </w:r>
          </w:p>
        </w:tc>
      </w:tr>
      <w:tr w14:paraId="3F942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57312D02">
            <w:pPr>
              <w:bidi w:val="0"/>
              <w:ind w:firstLine="0" w:firstLineChars="0"/>
              <w:jc w:val="both"/>
              <w:rPr>
                <w:rFonts w:hint="eastAsia"/>
                <w:vertAlign w:val="baseline"/>
                <w:lang w:eastAsia="zh-CN"/>
              </w:rPr>
            </w:pPr>
            <w:r>
              <w:rPr>
                <w:rFonts w:hint="eastAsia"/>
              </w:rPr>
              <w:t>体育指导员</w:t>
            </w:r>
          </w:p>
        </w:tc>
        <w:tc>
          <w:tcPr>
            <w:tcW w:w="1667" w:type="pct"/>
            <w:vAlign w:val="center"/>
          </w:tcPr>
          <w:p w14:paraId="50FD1B51">
            <w:pPr>
              <w:bidi w:val="0"/>
              <w:ind w:firstLine="0" w:firstLineChars="0"/>
              <w:jc w:val="center"/>
              <w:rPr>
                <w:rFonts w:hint="eastAsia"/>
                <w:vertAlign w:val="baseline"/>
                <w:lang w:eastAsia="zh-CN"/>
              </w:rPr>
            </w:pPr>
            <w:r>
              <w:rPr>
                <w:rFonts w:hint="eastAsia"/>
              </w:rPr>
              <w:t>人</w:t>
            </w:r>
          </w:p>
        </w:tc>
        <w:tc>
          <w:tcPr>
            <w:tcW w:w="1667" w:type="pct"/>
            <w:tcBorders>
              <w:right w:val="nil"/>
            </w:tcBorders>
            <w:vAlign w:val="center"/>
          </w:tcPr>
          <w:p w14:paraId="55CD739F">
            <w:pPr>
              <w:bidi w:val="0"/>
              <w:ind w:firstLine="0" w:firstLineChars="0"/>
              <w:jc w:val="center"/>
              <w:rPr>
                <w:rFonts w:hint="eastAsia"/>
                <w:vertAlign w:val="baseline"/>
                <w:lang w:eastAsia="zh-CN"/>
              </w:rPr>
            </w:pPr>
            <w:r>
              <w:rPr>
                <w:rFonts w:hint="eastAsia"/>
              </w:rPr>
              <w:t>1679</w:t>
            </w:r>
          </w:p>
        </w:tc>
      </w:tr>
      <w:tr w14:paraId="0CE2A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33CE15A9">
            <w:pPr>
              <w:bidi w:val="0"/>
              <w:ind w:leftChars="100" w:firstLine="0" w:firstLineChars="0"/>
              <w:jc w:val="both"/>
              <w:rPr>
                <w:rFonts w:hint="eastAsia"/>
                <w:vertAlign w:val="baseline"/>
                <w:lang w:eastAsia="zh-CN"/>
              </w:rPr>
            </w:pPr>
            <w:r>
              <w:rPr>
                <w:rFonts w:hint="eastAsia"/>
              </w:rPr>
              <w:t>#一级</w:t>
            </w:r>
          </w:p>
        </w:tc>
        <w:tc>
          <w:tcPr>
            <w:tcW w:w="1667" w:type="pct"/>
            <w:vAlign w:val="center"/>
          </w:tcPr>
          <w:p w14:paraId="31AB6382">
            <w:pPr>
              <w:bidi w:val="0"/>
              <w:ind w:firstLine="0" w:firstLineChars="0"/>
              <w:jc w:val="center"/>
              <w:rPr>
                <w:rFonts w:hint="eastAsia"/>
                <w:vertAlign w:val="baseline"/>
                <w:lang w:eastAsia="zh-CN"/>
              </w:rPr>
            </w:pPr>
            <w:r>
              <w:rPr>
                <w:rFonts w:hint="eastAsia"/>
              </w:rPr>
              <w:t>人</w:t>
            </w:r>
          </w:p>
        </w:tc>
        <w:tc>
          <w:tcPr>
            <w:tcW w:w="1667" w:type="pct"/>
            <w:tcBorders>
              <w:right w:val="nil"/>
            </w:tcBorders>
            <w:vAlign w:val="center"/>
          </w:tcPr>
          <w:p w14:paraId="74FE3E3F">
            <w:pPr>
              <w:bidi w:val="0"/>
              <w:ind w:firstLine="0" w:firstLineChars="0"/>
              <w:jc w:val="center"/>
              <w:rPr>
                <w:rFonts w:hint="eastAsia"/>
                <w:vertAlign w:val="baseline"/>
                <w:lang w:eastAsia="zh-CN"/>
              </w:rPr>
            </w:pPr>
            <w:r>
              <w:rPr>
                <w:rFonts w:hint="eastAsia"/>
              </w:rPr>
              <w:t>17</w:t>
            </w:r>
          </w:p>
        </w:tc>
      </w:tr>
      <w:tr w14:paraId="22687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33F3F311">
            <w:pPr>
              <w:bidi w:val="0"/>
              <w:ind w:leftChars="100" w:firstLine="0" w:firstLineChars="0"/>
              <w:jc w:val="both"/>
              <w:rPr>
                <w:rFonts w:hint="eastAsia"/>
                <w:vertAlign w:val="baseline"/>
                <w:lang w:eastAsia="zh-CN"/>
              </w:rPr>
            </w:pPr>
            <w:r>
              <w:rPr>
                <w:rFonts w:hint="eastAsia"/>
              </w:rPr>
              <w:t>二级</w:t>
            </w:r>
          </w:p>
        </w:tc>
        <w:tc>
          <w:tcPr>
            <w:tcW w:w="1667" w:type="pct"/>
            <w:vAlign w:val="center"/>
          </w:tcPr>
          <w:p w14:paraId="479F0E10">
            <w:pPr>
              <w:bidi w:val="0"/>
              <w:ind w:firstLine="0" w:firstLineChars="0"/>
              <w:jc w:val="center"/>
              <w:rPr>
                <w:rFonts w:hint="eastAsia"/>
                <w:vertAlign w:val="baseline"/>
                <w:lang w:eastAsia="zh-CN"/>
              </w:rPr>
            </w:pPr>
            <w:r>
              <w:rPr>
                <w:rFonts w:hint="eastAsia"/>
              </w:rPr>
              <w:t>人</w:t>
            </w:r>
          </w:p>
        </w:tc>
        <w:tc>
          <w:tcPr>
            <w:tcW w:w="1667" w:type="pct"/>
            <w:tcBorders>
              <w:right w:val="nil"/>
            </w:tcBorders>
            <w:vAlign w:val="center"/>
          </w:tcPr>
          <w:p w14:paraId="262D17C1">
            <w:pPr>
              <w:bidi w:val="0"/>
              <w:ind w:firstLine="0" w:firstLineChars="0"/>
              <w:jc w:val="center"/>
              <w:rPr>
                <w:rFonts w:hint="eastAsia"/>
                <w:vertAlign w:val="baseline"/>
                <w:lang w:eastAsia="zh-CN"/>
              </w:rPr>
            </w:pPr>
            <w:r>
              <w:rPr>
                <w:rFonts w:hint="eastAsia"/>
              </w:rPr>
              <w:t>325</w:t>
            </w:r>
          </w:p>
        </w:tc>
      </w:tr>
      <w:tr w14:paraId="71F32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tcBorders>
              <w:left w:val="nil"/>
            </w:tcBorders>
            <w:vAlign w:val="center"/>
          </w:tcPr>
          <w:p w14:paraId="6A1C9552">
            <w:pPr>
              <w:bidi w:val="0"/>
              <w:ind w:leftChars="100" w:firstLine="0" w:firstLineChars="0"/>
              <w:jc w:val="both"/>
              <w:rPr>
                <w:rFonts w:hint="eastAsia"/>
                <w:vertAlign w:val="baseline"/>
                <w:lang w:eastAsia="zh-CN"/>
              </w:rPr>
            </w:pPr>
            <w:r>
              <w:rPr>
                <w:rFonts w:hint="eastAsia"/>
              </w:rPr>
              <w:t>三级</w:t>
            </w:r>
          </w:p>
        </w:tc>
        <w:tc>
          <w:tcPr>
            <w:tcW w:w="1667" w:type="pct"/>
            <w:vAlign w:val="center"/>
          </w:tcPr>
          <w:p w14:paraId="786374C5">
            <w:pPr>
              <w:bidi w:val="0"/>
              <w:ind w:firstLine="0" w:firstLineChars="0"/>
              <w:jc w:val="center"/>
              <w:rPr>
                <w:rFonts w:hint="eastAsia"/>
                <w:vertAlign w:val="baseline"/>
                <w:lang w:eastAsia="zh-CN"/>
              </w:rPr>
            </w:pPr>
            <w:r>
              <w:rPr>
                <w:rFonts w:hint="eastAsia"/>
              </w:rPr>
              <w:t>人</w:t>
            </w:r>
          </w:p>
        </w:tc>
        <w:tc>
          <w:tcPr>
            <w:tcW w:w="1667" w:type="pct"/>
            <w:tcBorders>
              <w:right w:val="nil"/>
            </w:tcBorders>
            <w:vAlign w:val="center"/>
          </w:tcPr>
          <w:p w14:paraId="55F6BE15">
            <w:pPr>
              <w:bidi w:val="0"/>
              <w:ind w:firstLine="0" w:firstLineChars="0"/>
              <w:jc w:val="center"/>
              <w:rPr>
                <w:rFonts w:hint="eastAsia"/>
                <w:vertAlign w:val="baseline"/>
                <w:lang w:eastAsia="zh-CN"/>
              </w:rPr>
            </w:pPr>
            <w:r>
              <w:rPr>
                <w:rFonts w:hint="eastAsia"/>
              </w:rPr>
              <w:t>1337</w:t>
            </w:r>
          </w:p>
        </w:tc>
      </w:tr>
    </w:tbl>
    <w:p w14:paraId="74604F66">
      <w:pPr>
        <w:bidi w:val="0"/>
        <w:ind w:left="0" w:leftChars="0" w:firstLine="0" w:firstLineChars="0"/>
        <w:rPr>
          <w:rFonts w:hint="eastAsia"/>
          <w:b/>
          <w:bCs/>
        </w:rPr>
      </w:pPr>
      <w:r>
        <w:rPr>
          <w:rFonts w:hint="eastAsia"/>
          <w:b/>
          <w:bCs/>
        </w:rPr>
        <w:t>数据来源：市文化广电新闻出版局、市体育局。</w:t>
      </w:r>
    </w:p>
    <w:p w14:paraId="3B93228D">
      <w:pPr>
        <w:pStyle w:val="4"/>
        <w:bidi w:val="0"/>
        <w:rPr>
          <w:rFonts w:hint="eastAsia"/>
        </w:rPr>
      </w:pPr>
      <w:r>
        <w:rPr>
          <w:rFonts w:hint="eastAsia"/>
        </w:rPr>
        <w:t>表48</w:t>
      </w:r>
      <w:r>
        <w:rPr>
          <w:rFonts w:hint="eastAsia"/>
          <w:lang w:val="en-US" w:eastAsia="zh-CN"/>
        </w:rPr>
        <w:t xml:space="preserve">  </w:t>
      </w:r>
      <w:r>
        <w:rPr>
          <w:rFonts w:hint="eastAsia"/>
        </w:rPr>
        <w:t>南雄市非物质文化遗产项目情况一览表</w:t>
      </w:r>
    </w:p>
    <w:tbl>
      <w:tblPr>
        <w:tblStyle w:val="8"/>
        <w:tblW w:w="498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3"/>
        <w:gridCol w:w="2625"/>
        <w:gridCol w:w="1491"/>
        <w:gridCol w:w="1351"/>
        <w:gridCol w:w="3486"/>
      </w:tblGrid>
      <w:tr w14:paraId="23E91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5C0C5710">
            <w:pPr>
              <w:pStyle w:val="11"/>
              <w:bidi w:val="0"/>
              <w:ind w:firstLine="0" w:firstLineChars="0"/>
              <w:jc w:val="center"/>
              <w:rPr>
                <w:rFonts w:hint="eastAsia"/>
                <w:b/>
                <w:bCs/>
                <w:vertAlign w:val="baseline"/>
                <w:lang w:eastAsia="zh-CN"/>
              </w:rPr>
            </w:pPr>
            <w:r>
              <w:rPr>
                <w:rFonts w:hint="eastAsia"/>
                <w:b/>
                <w:bCs/>
              </w:rPr>
              <w:t>序号</w:t>
            </w:r>
          </w:p>
        </w:tc>
        <w:tc>
          <w:tcPr>
            <w:tcW w:w="1322" w:type="pct"/>
            <w:vAlign w:val="center"/>
          </w:tcPr>
          <w:p w14:paraId="71715ECF">
            <w:pPr>
              <w:pStyle w:val="11"/>
              <w:bidi w:val="0"/>
              <w:ind w:firstLine="0" w:firstLineChars="0"/>
              <w:jc w:val="center"/>
              <w:rPr>
                <w:rFonts w:hint="eastAsia"/>
                <w:b/>
                <w:bCs/>
                <w:vertAlign w:val="baseline"/>
                <w:lang w:eastAsia="zh-CN"/>
              </w:rPr>
            </w:pPr>
            <w:r>
              <w:rPr>
                <w:rFonts w:hint="eastAsia"/>
                <w:b/>
                <w:bCs/>
              </w:rPr>
              <w:t>项目名称</w:t>
            </w:r>
          </w:p>
        </w:tc>
        <w:tc>
          <w:tcPr>
            <w:tcW w:w="751" w:type="pct"/>
            <w:vAlign w:val="center"/>
          </w:tcPr>
          <w:p w14:paraId="1D80830F">
            <w:pPr>
              <w:pStyle w:val="11"/>
              <w:bidi w:val="0"/>
              <w:ind w:firstLine="0" w:firstLineChars="0"/>
              <w:jc w:val="center"/>
              <w:rPr>
                <w:rFonts w:hint="eastAsia"/>
                <w:b/>
                <w:bCs/>
                <w:vertAlign w:val="baseline"/>
                <w:lang w:eastAsia="zh-CN"/>
              </w:rPr>
            </w:pPr>
            <w:r>
              <w:rPr>
                <w:rFonts w:hint="eastAsia"/>
                <w:b/>
                <w:bCs/>
              </w:rPr>
              <w:t>项目类别</w:t>
            </w:r>
          </w:p>
        </w:tc>
        <w:tc>
          <w:tcPr>
            <w:tcW w:w="680" w:type="pct"/>
            <w:vAlign w:val="center"/>
          </w:tcPr>
          <w:p w14:paraId="7515706D">
            <w:pPr>
              <w:pStyle w:val="11"/>
              <w:bidi w:val="0"/>
              <w:ind w:firstLine="0" w:firstLineChars="0"/>
              <w:jc w:val="center"/>
              <w:rPr>
                <w:rFonts w:hint="eastAsia"/>
                <w:b/>
                <w:bCs/>
                <w:vertAlign w:val="baseline"/>
                <w:lang w:eastAsia="zh-CN"/>
              </w:rPr>
            </w:pPr>
            <w:r>
              <w:rPr>
                <w:rFonts w:hint="eastAsia"/>
                <w:b/>
                <w:bCs/>
              </w:rPr>
              <w:t>项目级别</w:t>
            </w:r>
          </w:p>
        </w:tc>
        <w:tc>
          <w:tcPr>
            <w:tcW w:w="1755" w:type="pct"/>
            <w:tcBorders>
              <w:right w:val="nil"/>
            </w:tcBorders>
            <w:vAlign w:val="center"/>
          </w:tcPr>
          <w:p w14:paraId="277EC59C">
            <w:pPr>
              <w:pStyle w:val="11"/>
              <w:bidi w:val="0"/>
              <w:ind w:firstLine="0" w:firstLineChars="0"/>
              <w:jc w:val="center"/>
              <w:rPr>
                <w:rFonts w:hint="eastAsia"/>
                <w:b/>
                <w:bCs/>
                <w:vertAlign w:val="baseline"/>
                <w:lang w:eastAsia="zh-CN"/>
              </w:rPr>
            </w:pPr>
            <w:r>
              <w:rPr>
                <w:rFonts w:hint="eastAsia"/>
                <w:b/>
                <w:bCs/>
              </w:rPr>
              <w:t>分布区域</w:t>
            </w:r>
          </w:p>
        </w:tc>
      </w:tr>
      <w:tr w14:paraId="3D730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6D0EB322">
            <w:pPr>
              <w:pStyle w:val="11"/>
              <w:bidi w:val="0"/>
              <w:ind w:firstLine="0" w:firstLineChars="0"/>
              <w:jc w:val="center"/>
              <w:rPr>
                <w:rFonts w:hint="eastAsia"/>
                <w:vertAlign w:val="baseline"/>
                <w:lang w:eastAsia="zh-CN"/>
              </w:rPr>
            </w:pPr>
            <w:r>
              <w:rPr>
                <w:rFonts w:hint="eastAsia"/>
              </w:rPr>
              <w:t>1</w:t>
            </w:r>
          </w:p>
        </w:tc>
        <w:tc>
          <w:tcPr>
            <w:tcW w:w="1322" w:type="pct"/>
            <w:vAlign w:val="center"/>
          </w:tcPr>
          <w:p w14:paraId="242ABEDD">
            <w:pPr>
              <w:pStyle w:val="11"/>
              <w:bidi w:val="0"/>
              <w:ind w:firstLine="0" w:firstLineChars="0"/>
              <w:jc w:val="center"/>
              <w:rPr>
                <w:rFonts w:hint="eastAsia"/>
                <w:vertAlign w:val="baseline"/>
                <w:lang w:eastAsia="zh-CN"/>
              </w:rPr>
            </w:pPr>
            <w:r>
              <w:rPr>
                <w:rFonts w:hint="eastAsia"/>
              </w:rPr>
              <w:t>龙舞（香火龙）</w:t>
            </w:r>
          </w:p>
        </w:tc>
        <w:tc>
          <w:tcPr>
            <w:tcW w:w="751" w:type="pct"/>
            <w:vAlign w:val="center"/>
          </w:tcPr>
          <w:p w14:paraId="42D6D447">
            <w:pPr>
              <w:pStyle w:val="11"/>
              <w:bidi w:val="0"/>
              <w:ind w:firstLine="0" w:firstLineChars="0"/>
              <w:jc w:val="center"/>
              <w:rPr>
                <w:rFonts w:hint="eastAsia"/>
                <w:vertAlign w:val="baseline"/>
                <w:lang w:eastAsia="zh-CN"/>
              </w:rPr>
            </w:pPr>
            <w:r>
              <w:rPr>
                <w:rFonts w:hint="eastAsia"/>
              </w:rPr>
              <w:t>传统舞蹈</w:t>
            </w:r>
          </w:p>
        </w:tc>
        <w:tc>
          <w:tcPr>
            <w:tcW w:w="680" w:type="pct"/>
            <w:vAlign w:val="center"/>
          </w:tcPr>
          <w:p w14:paraId="462637D2">
            <w:pPr>
              <w:pStyle w:val="11"/>
              <w:bidi w:val="0"/>
              <w:ind w:firstLine="0" w:firstLineChars="0"/>
              <w:jc w:val="center"/>
              <w:rPr>
                <w:rFonts w:hint="eastAsia"/>
                <w:vertAlign w:val="baseline"/>
                <w:lang w:eastAsia="zh-CN"/>
              </w:rPr>
            </w:pPr>
            <w:r>
              <w:rPr>
                <w:rFonts w:hint="eastAsia"/>
              </w:rPr>
              <w:t>国家级</w:t>
            </w:r>
          </w:p>
        </w:tc>
        <w:tc>
          <w:tcPr>
            <w:tcW w:w="1755" w:type="pct"/>
            <w:tcBorders>
              <w:right w:val="nil"/>
            </w:tcBorders>
            <w:vAlign w:val="center"/>
          </w:tcPr>
          <w:p w14:paraId="2EF5C9BA">
            <w:pPr>
              <w:pStyle w:val="11"/>
              <w:bidi w:val="0"/>
              <w:ind w:firstLine="0" w:firstLineChars="0"/>
              <w:jc w:val="center"/>
              <w:rPr>
                <w:rFonts w:hint="eastAsia"/>
                <w:vertAlign w:val="baseline"/>
                <w:lang w:eastAsia="zh-CN"/>
              </w:rPr>
            </w:pPr>
            <w:r>
              <w:rPr>
                <w:rFonts w:hint="eastAsia"/>
              </w:rPr>
              <w:t>百顺镇白竹片村、沙坑村一带</w:t>
            </w:r>
          </w:p>
        </w:tc>
      </w:tr>
      <w:tr w14:paraId="5ACD8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7534162B">
            <w:pPr>
              <w:pStyle w:val="11"/>
              <w:bidi w:val="0"/>
              <w:ind w:firstLine="0" w:firstLineChars="0"/>
              <w:jc w:val="center"/>
              <w:rPr>
                <w:rFonts w:hint="eastAsia"/>
                <w:vertAlign w:val="baseline"/>
                <w:lang w:eastAsia="zh-CN"/>
              </w:rPr>
            </w:pPr>
            <w:r>
              <w:rPr>
                <w:rFonts w:hint="eastAsia"/>
              </w:rPr>
              <w:t>2</w:t>
            </w:r>
          </w:p>
        </w:tc>
        <w:tc>
          <w:tcPr>
            <w:tcW w:w="1322" w:type="pct"/>
            <w:vAlign w:val="center"/>
          </w:tcPr>
          <w:p w14:paraId="73A2A8C5">
            <w:pPr>
              <w:pStyle w:val="11"/>
              <w:bidi w:val="0"/>
              <w:ind w:firstLine="0" w:firstLineChars="0"/>
              <w:jc w:val="center"/>
              <w:rPr>
                <w:rFonts w:hint="eastAsia"/>
                <w:vertAlign w:val="baseline"/>
                <w:lang w:eastAsia="zh-CN"/>
              </w:rPr>
            </w:pPr>
            <w:r>
              <w:rPr>
                <w:rFonts w:hint="eastAsia"/>
              </w:rPr>
              <w:t>茶花灯</w:t>
            </w:r>
          </w:p>
        </w:tc>
        <w:tc>
          <w:tcPr>
            <w:tcW w:w="751" w:type="pct"/>
            <w:vAlign w:val="center"/>
          </w:tcPr>
          <w:p w14:paraId="26D5183E">
            <w:pPr>
              <w:pStyle w:val="11"/>
              <w:bidi w:val="0"/>
              <w:ind w:firstLine="0" w:firstLineChars="0"/>
              <w:jc w:val="center"/>
              <w:rPr>
                <w:rFonts w:hint="eastAsia"/>
                <w:vertAlign w:val="baseline"/>
                <w:lang w:eastAsia="zh-CN"/>
              </w:rPr>
            </w:pPr>
            <w:r>
              <w:rPr>
                <w:rFonts w:hint="eastAsia"/>
              </w:rPr>
              <w:t>传统舞蹈</w:t>
            </w:r>
          </w:p>
        </w:tc>
        <w:tc>
          <w:tcPr>
            <w:tcW w:w="680" w:type="pct"/>
            <w:vAlign w:val="center"/>
          </w:tcPr>
          <w:p w14:paraId="613E737B">
            <w:pPr>
              <w:pStyle w:val="11"/>
              <w:bidi w:val="0"/>
              <w:ind w:firstLine="0" w:firstLineChars="0"/>
              <w:jc w:val="center"/>
              <w:rPr>
                <w:rFonts w:hint="eastAsia"/>
                <w:vertAlign w:val="baseline"/>
                <w:lang w:eastAsia="zh-CN"/>
              </w:rPr>
            </w:pPr>
            <w:r>
              <w:rPr>
                <w:rFonts w:hint="eastAsia"/>
              </w:rPr>
              <w:t>省级</w:t>
            </w:r>
          </w:p>
        </w:tc>
        <w:tc>
          <w:tcPr>
            <w:tcW w:w="1755" w:type="pct"/>
            <w:tcBorders>
              <w:right w:val="nil"/>
            </w:tcBorders>
            <w:vAlign w:val="center"/>
          </w:tcPr>
          <w:p w14:paraId="70B8E1E8">
            <w:pPr>
              <w:pStyle w:val="11"/>
              <w:bidi w:val="0"/>
              <w:ind w:firstLine="0" w:firstLineChars="0"/>
              <w:jc w:val="center"/>
              <w:rPr>
                <w:rFonts w:hint="eastAsia"/>
                <w:vertAlign w:val="baseline"/>
                <w:lang w:eastAsia="zh-CN"/>
              </w:rPr>
            </w:pPr>
            <w:r>
              <w:rPr>
                <w:rFonts w:hint="eastAsia"/>
              </w:rPr>
              <w:t>“茶花灯”主要分布在南雄市南亩镇官田乡里溪村</w:t>
            </w:r>
          </w:p>
        </w:tc>
      </w:tr>
      <w:tr w14:paraId="0895A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42C017D6">
            <w:pPr>
              <w:pStyle w:val="11"/>
              <w:bidi w:val="0"/>
              <w:ind w:firstLine="0" w:firstLineChars="0"/>
              <w:jc w:val="center"/>
              <w:rPr>
                <w:rFonts w:hint="eastAsia"/>
                <w:vertAlign w:val="baseline"/>
                <w:lang w:eastAsia="zh-CN"/>
              </w:rPr>
            </w:pPr>
            <w:r>
              <w:rPr>
                <w:rFonts w:hint="eastAsia"/>
              </w:rPr>
              <w:t>3</w:t>
            </w:r>
          </w:p>
        </w:tc>
        <w:tc>
          <w:tcPr>
            <w:tcW w:w="1322" w:type="pct"/>
            <w:vAlign w:val="center"/>
          </w:tcPr>
          <w:p w14:paraId="111F9DFD">
            <w:pPr>
              <w:pStyle w:val="11"/>
              <w:bidi w:val="0"/>
              <w:ind w:firstLine="0" w:firstLineChars="0"/>
              <w:jc w:val="center"/>
              <w:rPr>
                <w:rFonts w:hint="eastAsia"/>
                <w:vertAlign w:val="baseline"/>
                <w:lang w:eastAsia="zh-CN"/>
              </w:rPr>
            </w:pPr>
            <w:r>
              <w:rPr>
                <w:rFonts w:hint="eastAsia"/>
              </w:rPr>
              <w:t>珠玑巷人南迁传说</w:t>
            </w:r>
          </w:p>
        </w:tc>
        <w:tc>
          <w:tcPr>
            <w:tcW w:w="751" w:type="pct"/>
            <w:vAlign w:val="center"/>
          </w:tcPr>
          <w:p w14:paraId="52DE4401">
            <w:pPr>
              <w:pStyle w:val="11"/>
              <w:bidi w:val="0"/>
              <w:ind w:firstLine="0" w:firstLineChars="0"/>
              <w:jc w:val="center"/>
              <w:rPr>
                <w:rFonts w:hint="eastAsia"/>
                <w:vertAlign w:val="baseline"/>
                <w:lang w:eastAsia="zh-CN"/>
              </w:rPr>
            </w:pPr>
            <w:r>
              <w:rPr>
                <w:rFonts w:hint="eastAsia"/>
              </w:rPr>
              <w:t>民间传说</w:t>
            </w:r>
          </w:p>
        </w:tc>
        <w:tc>
          <w:tcPr>
            <w:tcW w:w="680" w:type="pct"/>
            <w:vAlign w:val="center"/>
          </w:tcPr>
          <w:p w14:paraId="2D7A10D3">
            <w:pPr>
              <w:pStyle w:val="11"/>
              <w:bidi w:val="0"/>
              <w:ind w:firstLine="0" w:firstLineChars="0"/>
              <w:jc w:val="center"/>
              <w:rPr>
                <w:rFonts w:hint="eastAsia"/>
                <w:vertAlign w:val="baseline"/>
                <w:lang w:eastAsia="zh-CN"/>
              </w:rPr>
            </w:pPr>
            <w:r>
              <w:rPr>
                <w:rFonts w:hint="eastAsia"/>
              </w:rPr>
              <w:t>省级</w:t>
            </w:r>
          </w:p>
        </w:tc>
        <w:tc>
          <w:tcPr>
            <w:tcW w:w="1755" w:type="pct"/>
            <w:tcBorders>
              <w:right w:val="nil"/>
            </w:tcBorders>
            <w:vAlign w:val="center"/>
          </w:tcPr>
          <w:p w14:paraId="29FA3FA3">
            <w:pPr>
              <w:pStyle w:val="11"/>
              <w:bidi w:val="0"/>
              <w:ind w:firstLine="0" w:firstLineChars="0"/>
              <w:jc w:val="center"/>
              <w:rPr>
                <w:rFonts w:hint="eastAsia"/>
                <w:vertAlign w:val="baseline"/>
                <w:lang w:eastAsia="zh-CN"/>
              </w:rPr>
            </w:pPr>
            <w:r>
              <w:rPr>
                <w:rFonts w:hint="eastAsia"/>
              </w:rPr>
              <w:t>珠玑一带</w:t>
            </w:r>
          </w:p>
        </w:tc>
      </w:tr>
      <w:tr w14:paraId="66348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24689C29">
            <w:pPr>
              <w:pStyle w:val="11"/>
              <w:bidi w:val="0"/>
              <w:ind w:firstLine="0" w:firstLineChars="0"/>
              <w:jc w:val="center"/>
              <w:rPr>
                <w:rFonts w:hint="eastAsia"/>
                <w:vertAlign w:val="baseline"/>
                <w:lang w:eastAsia="zh-CN"/>
              </w:rPr>
            </w:pPr>
            <w:r>
              <w:rPr>
                <w:rFonts w:hint="eastAsia"/>
              </w:rPr>
              <w:t>4</w:t>
            </w:r>
          </w:p>
        </w:tc>
        <w:tc>
          <w:tcPr>
            <w:tcW w:w="1322" w:type="pct"/>
            <w:vAlign w:val="center"/>
          </w:tcPr>
          <w:p w14:paraId="064F48DA">
            <w:pPr>
              <w:pStyle w:val="11"/>
              <w:bidi w:val="0"/>
              <w:ind w:firstLine="0" w:firstLineChars="0"/>
              <w:jc w:val="center"/>
              <w:rPr>
                <w:rFonts w:hint="eastAsia"/>
                <w:vertAlign w:val="baseline"/>
                <w:lang w:eastAsia="zh-CN"/>
              </w:rPr>
            </w:pPr>
            <w:r>
              <w:rPr>
                <w:rFonts w:hint="eastAsia"/>
              </w:rPr>
              <w:t>龙船歌</w:t>
            </w:r>
          </w:p>
        </w:tc>
        <w:tc>
          <w:tcPr>
            <w:tcW w:w="751" w:type="pct"/>
            <w:vAlign w:val="center"/>
          </w:tcPr>
          <w:p w14:paraId="3023F5D4">
            <w:pPr>
              <w:pStyle w:val="11"/>
              <w:bidi w:val="0"/>
              <w:ind w:firstLine="0" w:firstLineChars="0"/>
              <w:jc w:val="center"/>
              <w:rPr>
                <w:rFonts w:hint="eastAsia"/>
                <w:vertAlign w:val="baseline"/>
                <w:lang w:eastAsia="zh-CN"/>
              </w:rPr>
            </w:pPr>
            <w:r>
              <w:rPr>
                <w:rFonts w:hint="eastAsia"/>
              </w:rPr>
              <w:t>传统音乐</w:t>
            </w:r>
          </w:p>
        </w:tc>
        <w:tc>
          <w:tcPr>
            <w:tcW w:w="680" w:type="pct"/>
            <w:vAlign w:val="center"/>
          </w:tcPr>
          <w:p w14:paraId="7AA4A068">
            <w:pPr>
              <w:pStyle w:val="11"/>
              <w:bidi w:val="0"/>
              <w:ind w:firstLine="0" w:firstLineChars="0"/>
              <w:jc w:val="center"/>
              <w:rPr>
                <w:rFonts w:hint="eastAsia"/>
                <w:vertAlign w:val="baseline"/>
                <w:lang w:eastAsia="zh-CN"/>
              </w:rPr>
            </w:pPr>
            <w:r>
              <w:rPr>
                <w:rFonts w:hint="eastAsia"/>
              </w:rPr>
              <w:t>省级</w:t>
            </w:r>
          </w:p>
        </w:tc>
        <w:tc>
          <w:tcPr>
            <w:tcW w:w="1755" w:type="pct"/>
            <w:tcBorders>
              <w:right w:val="nil"/>
            </w:tcBorders>
            <w:vAlign w:val="center"/>
          </w:tcPr>
          <w:p w14:paraId="64BFF180">
            <w:pPr>
              <w:pStyle w:val="11"/>
              <w:bidi w:val="0"/>
              <w:ind w:firstLine="0" w:firstLineChars="0"/>
              <w:jc w:val="center"/>
              <w:rPr>
                <w:rFonts w:hint="eastAsia"/>
                <w:vertAlign w:val="baseline"/>
                <w:lang w:eastAsia="zh-CN"/>
              </w:rPr>
            </w:pPr>
            <w:r>
              <w:rPr>
                <w:rFonts w:hint="eastAsia"/>
              </w:rPr>
              <w:t>珠玑镇珠玑巷、雄州镇水西村、水南村一带</w:t>
            </w:r>
          </w:p>
        </w:tc>
      </w:tr>
      <w:tr w14:paraId="71261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42803225">
            <w:pPr>
              <w:pStyle w:val="11"/>
              <w:bidi w:val="0"/>
              <w:ind w:firstLine="0" w:firstLineChars="0"/>
              <w:jc w:val="center"/>
              <w:rPr>
                <w:rFonts w:hint="eastAsia"/>
                <w:vertAlign w:val="baseline"/>
                <w:lang w:eastAsia="zh-CN"/>
              </w:rPr>
            </w:pPr>
            <w:r>
              <w:rPr>
                <w:rFonts w:hint="eastAsia"/>
              </w:rPr>
              <w:t>5</w:t>
            </w:r>
          </w:p>
        </w:tc>
        <w:tc>
          <w:tcPr>
            <w:tcW w:w="1322" w:type="pct"/>
            <w:vAlign w:val="center"/>
          </w:tcPr>
          <w:p w14:paraId="73E1C24A">
            <w:pPr>
              <w:pStyle w:val="11"/>
              <w:bidi w:val="0"/>
              <w:ind w:firstLine="0" w:firstLineChars="0"/>
              <w:jc w:val="center"/>
              <w:rPr>
                <w:rFonts w:hint="eastAsia"/>
                <w:vertAlign w:val="baseline"/>
                <w:lang w:eastAsia="zh-CN"/>
              </w:rPr>
            </w:pPr>
            <w:r>
              <w:rPr>
                <w:rFonts w:hint="eastAsia"/>
              </w:rPr>
              <w:t>萧统太子的祭祀</w:t>
            </w:r>
          </w:p>
        </w:tc>
        <w:tc>
          <w:tcPr>
            <w:tcW w:w="751" w:type="pct"/>
            <w:vAlign w:val="center"/>
          </w:tcPr>
          <w:p w14:paraId="2C094BFF">
            <w:pPr>
              <w:pStyle w:val="11"/>
              <w:bidi w:val="0"/>
              <w:ind w:firstLine="0" w:firstLineChars="0"/>
              <w:jc w:val="center"/>
              <w:rPr>
                <w:rFonts w:hint="eastAsia"/>
                <w:vertAlign w:val="baseline"/>
                <w:lang w:eastAsia="zh-CN"/>
              </w:rPr>
            </w:pPr>
            <w:r>
              <w:rPr>
                <w:rFonts w:hint="eastAsia"/>
              </w:rPr>
              <w:t>民俗</w:t>
            </w:r>
          </w:p>
        </w:tc>
        <w:tc>
          <w:tcPr>
            <w:tcW w:w="680" w:type="pct"/>
            <w:vAlign w:val="center"/>
          </w:tcPr>
          <w:p w14:paraId="6534A76C">
            <w:pPr>
              <w:pStyle w:val="11"/>
              <w:bidi w:val="0"/>
              <w:ind w:firstLine="0" w:firstLineChars="0"/>
              <w:jc w:val="center"/>
              <w:rPr>
                <w:rFonts w:hint="eastAsia"/>
                <w:vertAlign w:val="baseline"/>
                <w:lang w:eastAsia="zh-CN"/>
              </w:rPr>
            </w:pPr>
            <w:r>
              <w:rPr>
                <w:rFonts w:hint="eastAsia"/>
              </w:rPr>
              <w:t>韶关市级</w:t>
            </w:r>
          </w:p>
        </w:tc>
        <w:tc>
          <w:tcPr>
            <w:tcW w:w="1755" w:type="pct"/>
            <w:tcBorders>
              <w:right w:val="nil"/>
            </w:tcBorders>
            <w:vAlign w:val="center"/>
          </w:tcPr>
          <w:p w14:paraId="72140EFC">
            <w:pPr>
              <w:pStyle w:val="11"/>
              <w:bidi w:val="0"/>
              <w:ind w:firstLine="0" w:firstLineChars="0"/>
              <w:jc w:val="center"/>
              <w:rPr>
                <w:rFonts w:hint="eastAsia"/>
                <w:vertAlign w:val="baseline"/>
                <w:lang w:eastAsia="zh-CN"/>
              </w:rPr>
            </w:pPr>
            <w:r>
              <w:rPr>
                <w:rFonts w:hint="eastAsia"/>
              </w:rPr>
              <w:t>南雄珠玑巷一带</w:t>
            </w:r>
          </w:p>
        </w:tc>
      </w:tr>
      <w:tr w14:paraId="1BB82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24D751D0">
            <w:pPr>
              <w:pStyle w:val="11"/>
              <w:bidi w:val="0"/>
              <w:ind w:firstLine="0" w:firstLineChars="0"/>
              <w:jc w:val="center"/>
              <w:rPr>
                <w:rFonts w:hint="eastAsia"/>
                <w:vertAlign w:val="baseline"/>
                <w:lang w:eastAsia="zh-CN"/>
              </w:rPr>
            </w:pPr>
            <w:r>
              <w:rPr>
                <w:rFonts w:hint="eastAsia"/>
              </w:rPr>
              <w:t>6</w:t>
            </w:r>
          </w:p>
        </w:tc>
        <w:tc>
          <w:tcPr>
            <w:tcW w:w="1322" w:type="pct"/>
            <w:vAlign w:val="center"/>
          </w:tcPr>
          <w:p w14:paraId="4CC8A55C">
            <w:pPr>
              <w:pStyle w:val="11"/>
              <w:bidi w:val="0"/>
              <w:ind w:firstLine="0" w:firstLineChars="0"/>
              <w:jc w:val="center"/>
              <w:rPr>
                <w:rFonts w:hint="eastAsia"/>
                <w:vertAlign w:val="baseline"/>
                <w:lang w:eastAsia="zh-CN"/>
              </w:rPr>
            </w:pPr>
            <w:r>
              <w:rPr>
                <w:rFonts w:hint="eastAsia"/>
              </w:rPr>
              <w:t>双龙舞双狮</w:t>
            </w:r>
          </w:p>
        </w:tc>
        <w:tc>
          <w:tcPr>
            <w:tcW w:w="751" w:type="pct"/>
            <w:vAlign w:val="center"/>
          </w:tcPr>
          <w:p w14:paraId="1A63C52D">
            <w:pPr>
              <w:pStyle w:val="11"/>
              <w:bidi w:val="0"/>
              <w:ind w:firstLine="0" w:firstLineChars="0"/>
              <w:jc w:val="center"/>
              <w:rPr>
                <w:rFonts w:hint="eastAsia"/>
                <w:vertAlign w:val="baseline"/>
                <w:lang w:eastAsia="zh-CN"/>
              </w:rPr>
            </w:pPr>
            <w:r>
              <w:rPr>
                <w:rFonts w:hint="eastAsia"/>
              </w:rPr>
              <w:t>传统舞蹈</w:t>
            </w:r>
          </w:p>
        </w:tc>
        <w:tc>
          <w:tcPr>
            <w:tcW w:w="680" w:type="pct"/>
            <w:vAlign w:val="center"/>
          </w:tcPr>
          <w:p w14:paraId="3B420953">
            <w:pPr>
              <w:pStyle w:val="11"/>
              <w:bidi w:val="0"/>
              <w:ind w:firstLine="0" w:firstLineChars="0"/>
              <w:jc w:val="center"/>
              <w:rPr>
                <w:rFonts w:hint="eastAsia"/>
                <w:vertAlign w:val="baseline"/>
                <w:lang w:eastAsia="zh-CN"/>
              </w:rPr>
            </w:pPr>
            <w:r>
              <w:rPr>
                <w:rFonts w:hint="eastAsia"/>
              </w:rPr>
              <w:t>韶关市级</w:t>
            </w:r>
          </w:p>
        </w:tc>
        <w:tc>
          <w:tcPr>
            <w:tcW w:w="1755" w:type="pct"/>
            <w:tcBorders>
              <w:right w:val="nil"/>
            </w:tcBorders>
            <w:vAlign w:val="center"/>
          </w:tcPr>
          <w:p w14:paraId="69679712">
            <w:pPr>
              <w:pStyle w:val="11"/>
              <w:bidi w:val="0"/>
              <w:ind w:firstLine="0" w:firstLineChars="0"/>
              <w:jc w:val="center"/>
              <w:rPr>
                <w:rFonts w:hint="eastAsia"/>
                <w:vertAlign w:val="baseline"/>
                <w:lang w:eastAsia="zh-CN"/>
              </w:rPr>
            </w:pPr>
            <w:r>
              <w:rPr>
                <w:rFonts w:hint="eastAsia"/>
              </w:rPr>
              <w:t>珠玑镇里东村周边一带</w:t>
            </w:r>
          </w:p>
        </w:tc>
      </w:tr>
      <w:tr w14:paraId="29321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08BBCDC2">
            <w:pPr>
              <w:pStyle w:val="11"/>
              <w:bidi w:val="0"/>
              <w:ind w:firstLine="0" w:firstLineChars="0"/>
              <w:jc w:val="center"/>
              <w:rPr>
                <w:rFonts w:hint="eastAsia"/>
                <w:vertAlign w:val="baseline"/>
                <w:lang w:eastAsia="zh-CN"/>
              </w:rPr>
            </w:pPr>
            <w:r>
              <w:rPr>
                <w:rFonts w:hint="eastAsia"/>
              </w:rPr>
              <w:t>7</w:t>
            </w:r>
          </w:p>
        </w:tc>
        <w:tc>
          <w:tcPr>
            <w:tcW w:w="1322" w:type="pct"/>
            <w:vAlign w:val="center"/>
          </w:tcPr>
          <w:p w14:paraId="2C71C04F">
            <w:pPr>
              <w:pStyle w:val="11"/>
              <w:bidi w:val="0"/>
              <w:ind w:firstLine="0" w:firstLineChars="0"/>
              <w:jc w:val="center"/>
              <w:rPr>
                <w:rFonts w:hint="eastAsia"/>
                <w:vertAlign w:val="baseline"/>
                <w:lang w:eastAsia="zh-CN"/>
              </w:rPr>
            </w:pPr>
            <w:r>
              <w:rPr>
                <w:rFonts w:hint="eastAsia"/>
              </w:rPr>
              <w:t>姓氏节</w:t>
            </w:r>
          </w:p>
        </w:tc>
        <w:tc>
          <w:tcPr>
            <w:tcW w:w="751" w:type="pct"/>
            <w:vAlign w:val="center"/>
          </w:tcPr>
          <w:p w14:paraId="1BE01804">
            <w:pPr>
              <w:pStyle w:val="11"/>
              <w:bidi w:val="0"/>
              <w:ind w:firstLine="0" w:firstLineChars="0"/>
              <w:jc w:val="center"/>
              <w:rPr>
                <w:rFonts w:hint="eastAsia"/>
                <w:vertAlign w:val="baseline"/>
                <w:lang w:eastAsia="zh-CN"/>
              </w:rPr>
            </w:pPr>
            <w:r>
              <w:rPr>
                <w:rFonts w:hint="eastAsia"/>
              </w:rPr>
              <w:t>民俗</w:t>
            </w:r>
          </w:p>
        </w:tc>
        <w:tc>
          <w:tcPr>
            <w:tcW w:w="680" w:type="pct"/>
            <w:vAlign w:val="center"/>
          </w:tcPr>
          <w:p w14:paraId="3648530A">
            <w:pPr>
              <w:pStyle w:val="11"/>
              <w:bidi w:val="0"/>
              <w:ind w:firstLine="0" w:firstLineChars="0"/>
              <w:jc w:val="center"/>
              <w:rPr>
                <w:rFonts w:hint="eastAsia"/>
                <w:vertAlign w:val="baseline"/>
                <w:lang w:eastAsia="zh-CN"/>
              </w:rPr>
            </w:pPr>
            <w:r>
              <w:rPr>
                <w:rFonts w:hint="eastAsia"/>
              </w:rPr>
              <w:t>韶关市级</w:t>
            </w:r>
          </w:p>
        </w:tc>
        <w:tc>
          <w:tcPr>
            <w:tcW w:w="1755" w:type="pct"/>
            <w:tcBorders>
              <w:right w:val="nil"/>
            </w:tcBorders>
            <w:vAlign w:val="center"/>
          </w:tcPr>
          <w:p w14:paraId="2214EB8D">
            <w:pPr>
              <w:pStyle w:val="11"/>
              <w:bidi w:val="0"/>
              <w:ind w:firstLine="0" w:firstLineChars="0"/>
              <w:jc w:val="center"/>
              <w:rPr>
                <w:rFonts w:hint="eastAsia"/>
                <w:vertAlign w:val="baseline"/>
                <w:lang w:eastAsia="zh-CN"/>
              </w:rPr>
            </w:pPr>
            <w:r>
              <w:rPr>
                <w:rFonts w:hint="eastAsia"/>
              </w:rPr>
              <w:t>乌迳镇为中心的界址、坪田、南亩、油山、黄坑等地</w:t>
            </w:r>
          </w:p>
        </w:tc>
      </w:tr>
      <w:tr w14:paraId="22394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2DC3200A">
            <w:pPr>
              <w:pStyle w:val="11"/>
              <w:bidi w:val="0"/>
              <w:ind w:firstLine="0" w:firstLineChars="0"/>
              <w:jc w:val="center"/>
              <w:rPr>
                <w:rFonts w:hint="eastAsia"/>
                <w:vertAlign w:val="baseline"/>
                <w:lang w:eastAsia="zh-CN"/>
              </w:rPr>
            </w:pPr>
            <w:r>
              <w:rPr>
                <w:rFonts w:hint="eastAsia"/>
              </w:rPr>
              <w:t>8</w:t>
            </w:r>
          </w:p>
        </w:tc>
        <w:tc>
          <w:tcPr>
            <w:tcW w:w="1322" w:type="pct"/>
            <w:vAlign w:val="center"/>
          </w:tcPr>
          <w:p w14:paraId="5D8F2671">
            <w:pPr>
              <w:pStyle w:val="11"/>
              <w:bidi w:val="0"/>
              <w:ind w:firstLine="0" w:firstLineChars="0"/>
              <w:jc w:val="center"/>
              <w:rPr>
                <w:rFonts w:hint="eastAsia"/>
                <w:vertAlign w:val="baseline"/>
                <w:lang w:eastAsia="zh-CN"/>
              </w:rPr>
            </w:pPr>
            <w:r>
              <w:rPr>
                <w:rFonts w:hint="eastAsia"/>
              </w:rPr>
              <w:t>火龙、火狮、火凤、火虾</w:t>
            </w:r>
          </w:p>
        </w:tc>
        <w:tc>
          <w:tcPr>
            <w:tcW w:w="751" w:type="pct"/>
            <w:vAlign w:val="center"/>
          </w:tcPr>
          <w:p w14:paraId="3FBC29FF">
            <w:pPr>
              <w:pStyle w:val="11"/>
              <w:bidi w:val="0"/>
              <w:ind w:firstLine="0" w:firstLineChars="0"/>
              <w:jc w:val="center"/>
              <w:rPr>
                <w:rFonts w:hint="eastAsia"/>
                <w:vertAlign w:val="baseline"/>
                <w:lang w:eastAsia="zh-CN"/>
              </w:rPr>
            </w:pPr>
            <w:r>
              <w:rPr>
                <w:rFonts w:hint="eastAsia"/>
              </w:rPr>
              <w:t>传统舞蹈</w:t>
            </w:r>
          </w:p>
        </w:tc>
        <w:tc>
          <w:tcPr>
            <w:tcW w:w="680" w:type="pct"/>
            <w:vAlign w:val="center"/>
          </w:tcPr>
          <w:p w14:paraId="23F4FDC6">
            <w:pPr>
              <w:pStyle w:val="11"/>
              <w:bidi w:val="0"/>
              <w:ind w:firstLine="0" w:firstLineChars="0"/>
              <w:jc w:val="center"/>
              <w:rPr>
                <w:rFonts w:hint="eastAsia"/>
                <w:vertAlign w:val="baseline"/>
                <w:lang w:eastAsia="zh-CN"/>
              </w:rPr>
            </w:pPr>
            <w:r>
              <w:rPr>
                <w:rFonts w:hint="eastAsia"/>
              </w:rPr>
              <w:t>韶关市级</w:t>
            </w:r>
          </w:p>
        </w:tc>
        <w:tc>
          <w:tcPr>
            <w:tcW w:w="1755" w:type="pct"/>
            <w:tcBorders>
              <w:right w:val="nil"/>
            </w:tcBorders>
            <w:vAlign w:val="center"/>
          </w:tcPr>
          <w:p w14:paraId="5CD99369">
            <w:pPr>
              <w:pStyle w:val="11"/>
              <w:bidi w:val="0"/>
              <w:ind w:firstLine="0" w:firstLineChars="0"/>
              <w:jc w:val="center"/>
              <w:rPr>
                <w:rFonts w:hint="eastAsia"/>
                <w:vertAlign w:val="baseline"/>
                <w:lang w:eastAsia="zh-CN"/>
              </w:rPr>
            </w:pPr>
            <w:r>
              <w:rPr>
                <w:rFonts w:hint="eastAsia"/>
              </w:rPr>
              <w:t>水口镇邓屋村周边一带</w:t>
            </w:r>
          </w:p>
        </w:tc>
      </w:tr>
      <w:tr w14:paraId="34C5D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06211DDF">
            <w:pPr>
              <w:pStyle w:val="11"/>
              <w:bidi w:val="0"/>
              <w:ind w:firstLine="0" w:firstLineChars="0"/>
              <w:jc w:val="center"/>
              <w:rPr>
                <w:rFonts w:hint="eastAsia"/>
                <w:vertAlign w:val="baseline"/>
                <w:lang w:eastAsia="zh-CN"/>
              </w:rPr>
            </w:pPr>
            <w:r>
              <w:rPr>
                <w:rFonts w:hint="eastAsia"/>
              </w:rPr>
              <w:t>9</w:t>
            </w:r>
          </w:p>
        </w:tc>
        <w:tc>
          <w:tcPr>
            <w:tcW w:w="1322" w:type="pct"/>
            <w:vAlign w:val="center"/>
          </w:tcPr>
          <w:p w14:paraId="15D5DE2F">
            <w:pPr>
              <w:pStyle w:val="11"/>
              <w:bidi w:val="0"/>
              <w:ind w:firstLine="0" w:firstLineChars="0"/>
              <w:jc w:val="center"/>
              <w:rPr>
                <w:rFonts w:hint="eastAsia"/>
                <w:vertAlign w:val="baseline"/>
                <w:lang w:eastAsia="zh-CN"/>
              </w:rPr>
            </w:pPr>
            <w:r>
              <w:rPr>
                <w:rFonts w:hint="eastAsia"/>
              </w:rPr>
              <w:t>扎稻草龙制作技艺</w:t>
            </w:r>
          </w:p>
        </w:tc>
        <w:tc>
          <w:tcPr>
            <w:tcW w:w="751" w:type="pct"/>
            <w:vAlign w:val="center"/>
          </w:tcPr>
          <w:p w14:paraId="2BA46586">
            <w:pPr>
              <w:pStyle w:val="11"/>
              <w:bidi w:val="0"/>
              <w:ind w:firstLine="0" w:firstLineChars="0"/>
              <w:jc w:val="center"/>
              <w:rPr>
                <w:rFonts w:hint="eastAsia"/>
                <w:vertAlign w:val="baseline"/>
                <w:lang w:eastAsia="zh-CN"/>
              </w:rPr>
            </w:pPr>
            <w:r>
              <w:rPr>
                <w:rFonts w:hint="eastAsia"/>
              </w:rPr>
              <w:t>传统技艺</w:t>
            </w:r>
          </w:p>
        </w:tc>
        <w:tc>
          <w:tcPr>
            <w:tcW w:w="680" w:type="pct"/>
            <w:vAlign w:val="center"/>
          </w:tcPr>
          <w:p w14:paraId="29BCFF04">
            <w:pPr>
              <w:pStyle w:val="11"/>
              <w:bidi w:val="0"/>
              <w:ind w:firstLine="0" w:firstLineChars="0"/>
              <w:jc w:val="center"/>
              <w:rPr>
                <w:rFonts w:hint="eastAsia"/>
                <w:vertAlign w:val="baseline"/>
                <w:lang w:eastAsia="zh-CN"/>
              </w:rPr>
            </w:pPr>
            <w:r>
              <w:rPr>
                <w:rFonts w:hint="eastAsia"/>
              </w:rPr>
              <w:t>韶关市级</w:t>
            </w:r>
          </w:p>
        </w:tc>
        <w:tc>
          <w:tcPr>
            <w:tcW w:w="1755" w:type="pct"/>
            <w:tcBorders>
              <w:right w:val="nil"/>
            </w:tcBorders>
            <w:vAlign w:val="center"/>
          </w:tcPr>
          <w:p w14:paraId="393C1C08">
            <w:pPr>
              <w:pStyle w:val="11"/>
              <w:bidi w:val="0"/>
              <w:ind w:firstLine="0" w:firstLineChars="0"/>
              <w:jc w:val="center"/>
              <w:rPr>
                <w:rFonts w:hint="eastAsia"/>
                <w:vertAlign w:val="baseline"/>
                <w:lang w:eastAsia="zh-CN"/>
              </w:rPr>
            </w:pPr>
            <w:r>
              <w:rPr>
                <w:rFonts w:hint="eastAsia"/>
              </w:rPr>
              <w:t>百顺镇白竹片村、沙坑村一带</w:t>
            </w:r>
          </w:p>
        </w:tc>
      </w:tr>
      <w:tr w14:paraId="5EEFA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215BCC51">
            <w:pPr>
              <w:pStyle w:val="11"/>
              <w:bidi w:val="0"/>
              <w:ind w:firstLine="0" w:firstLineChars="0"/>
              <w:jc w:val="center"/>
              <w:rPr>
                <w:rFonts w:hint="eastAsia"/>
                <w:vertAlign w:val="baseline"/>
                <w:lang w:eastAsia="zh-CN"/>
              </w:rPr>
            </w:pPr>
            <w:r>
              <w:rPr>
                <w:rFonts w:hint="eastAsia"/>
              </w:rPr>
              <w:t>10</w:t>
            </w:r>
          </w:p>
        </w:tc>
        <w:tc>
          <w:tcPr>
            <w:tcW w:w="1322" w:type="pct"/>
            <w:vAlign w:val="center"/>
          </w:tcPr>
          <w:p w14:paraId="2932FCC2">
            <w:pPr>
              <w:pStyle w:val="11"/>
              <w:bidi w:val="0"/>
              <w:ind w:firstLine="0" w:firstLineChars="0"/>
              <w:jc w:val="center"/>
              <w:rPr>
                <w:rFonts w:hint="eastAsia"/>
                <w:vertAlign w:val="baseline"/>
                <w:lang w:eastAsia="zh-CN"/>
              </w:rPr>
            </w:pPr>
            <w:r>
              <w:rPr>
                <w:rFonts w:hint="eastAsia"/>
              </w:rPr>
              <w:t>酿豆腐制作技艺</w:t>
            </w:r>
          </w:p>
        </w:tc>
        <w:tc>
          <w:tcPr>
            <w:tcW w:w="751" w:type="pct"/>
            <w:vAlign w:val="center"/>
          </w:tcPr>
          <w:p w14:paraId="3F001EBE">
            <w:pPr>
              <w:pStyle w:val="11"/>
              <w:bidi w:val="0"/>
              <w:ind w:firstLine="0" w:firstLineChars="0"/>
              <w:jc w:val="center"/>
              <w:rPr>
                <w:rFonts w:hint="eastAsia"/>
                <w:vertAlign w:val="baseline"/>
                <w:lang w:eastAsia="zh-CN"/>
              </w:rPr>
            </w:pPr>
            <w:r>
              <w:rPr>
                <w:rFonts w:hint="eastAsia"/>
              </w:rPr>
              <w:t>传统技艺</w:t>
            </w:r>
          </w:p>
        </w:tc>
        <w:tc>
          <w:tcPr>
            <w:tcW w:w="680" w:type="pct"/>
            <w:vAlign w:val="center"/>
          </w:tcPr>
          <w:p w14:paraId="69CDF096">
            <w:pPr>
              <w:pStyle w:val="11"/>
              <w:bidi w:val="0"/>
              <w:ind w:firstLine="0" w:firstLineChars="0"/>
              <w:jc w:val="center"/>
              <w:rPr>
                <w:rFonts w:hint="eastAsia"/>
                <w:vertAlign w:val="baseline"/>
                <w:lang w:eastAsia="zh-CN"/>
              </w:rPr>
            </w:pPr>
            <w:r>
              <w:rPr>
                <w:rFonts w:hint="eastAsia"/>
              </w:rPr>
              <w:t>韶关市级</w:t>
            </w:r>
          </w:p>
        </w:tc>
        <w:tc>
          <w:tcPr>
            <w:tcW w:w="1755" w:type="pct"/>
            <w:tcBorders>
              <w:right w:val="nil"/>
            </w:tcBorders>
            <w:vAlign w:val="center"/>
          </w:tcPr>
          <w:p w14:paraId="56B3E79D">
            <w:pPr>
              <w:pStyle w:val="11"/>
              <w:bidi w:val="0"/>
              <w:ind w:firstLine="0" w:firstLineChars="0"/>
              <w:jc w:val="center"/>
              <w:rPr>
                <w:rFonts w:hint="eastAsia"/>
                <w:vertAlign w:val="baseline"/>
                <w:lang w:eastAsia="zh-CN"/>
              </w:rPr>
            </w:pPr>
            <w:r>
              <w:rPr>
                <w:rFonts w:hint="eastAsia"/>
              </w:rPr>
              <w:t>南雄市地区</w:t>
            </w:r>
          </w:p>
        </w:tc>
      </w:tr>
      <w:tr w14:paraId="2BE6A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53ED488F">
            <w:pPr>
              <w:pStyle w:val="11"/>
              <w:bidi w:val="0"/>
              <w:ind w:firstLine="0" w:firstLineChars="0"/>
              <w:jc w:val="center"/>
              <w:rPr>
                <w:rFonts w:hint="eastAsia"/>
                <w:vertAlign w:val="baseline"/>
                <w:lang w:eastAsia="zh-CN"/>
              </w:rPr>
            </w:pPr>
            <w:r>
              <w:rPr>
                <w:rFonts w:hint="eastAsia"/>
              </w:rPr>
              <w:t>11</w:t>
            </w:r>
          </w:p>
        </w:tc>
        <w:tc>
          <w:tcPr>
            <w:tcW w:w="1322" w:type="pct"/>
            <w:vAlign w:val="center"/>
          </w:tcPr>
          <w:p w14:paraId="56D01CD6">
            <w:pPr>
              <w:pStyle w:val="11"/>
              <w:bidi w:val="0"/>
              <w:ind w:firstLine="0" w:firstLineChars="0"/>
              <w:jc w:val="center"/>
              <w:rPr>
                <w:rFonts w:hint="eastAsia"/>
                <w:vertAlign w:val="baseline"/>
                <w:lang w:eastAsia="zh-CN"/>
              </w:rPr>
            </w:pPr>
            <w:r>
              <w:rPr>
                <w:rFonts w:hint="eastAsia"/>
              </w:rPr>
              <w:t>采茶戏</w:t>
            </w:r>
          </w:p>
        </w:tc>
        <w:tc>
          <w:tcPr>
            <w:tcW w:w="751" w:type="pct"/>
            <w:vAlign w:val="center"/>
          </w:tcPr>
          <w:p w14:paraId="67C46510">
            <w:pPr>
              <w:pStyle w:val="11"/>
              <w:bidi w:val="0"/>
              <w:ind w:firstLine="0" w:firstLineChars="0"/>
              <w:jc w:val="center"/>
              <w:rPr>
                <w:rFonts w:hint="eastAsia"/>
                <w:vertAlign w:val="baseline"/>
                <w:lang w:eastAsia="zh-CN"/>
              </w:rPr>
            </w:pPr>
            <w:r>
              <w:rPr>
                <w:rFonts w:hint="eastAsia"/>
              </w:rPr>
              <w:t>传统戏剧</w:t>
            </w:r>
          </w:p>
        </w:tc>
        <w:tc>
          <w:tcPr>
            <w:tcW w:w="680" w:type="pct"/>
            <w:vAlign w:val="center"/>
          </w:tcPr>
          <w:p w14:paraId="52F81424">
            <w:pPr>
              <w:pStyle w:val="11"/>
              <w:bidi w:val="0"/>
              <w:ind w:firstLine="0" w:firstLineChars="0"/>
              <w:jc w:val="center"/>
              <w:rPr>
                <w:rFonts w:hint="eastAsia"/>
                <w:vertAlign w:val="baseline"/>
                <w:lang w:eastAsia="zh-CN"/>
              </w:rPr>
            </w:pPr>
            <w:r>
              <w:rPr>
                <w:rFonts w:hint="eastAsia"/>
              </w:rPr>
              <w:t>县级</w:t>
            </w:r>
          </w:p>
        </w:tc>
        <w:tc>
          <w:tcPr>
            <w:tcW w:w="1755" w:type="pct"/>
            <w:tcBorders>
              <w:right w:val="nil"/>
            </w:tcBorders>
            <w:vAlign w:val="center"/>
          </w:tcPr>
          <w:p w14:paraId="006749CA">
            <w:pPr>
              <w:pStyle w:val="11"/>
              <w:bidi w:val="0"/>
              <w:ind w:firstLine="0" w:firstLineChars="0"/>
              <w:jc w:val="center"/>
              <w:rPr>
                <w:rFonts w:hint="eastAsia"/>
                <w:vertAlign w:val="baseline"/>
                <w:lang w:eastAsia="zh-CN"/>
              </w:rPr>
            </w:pPr>
            <w:r>
              <w:rPr>
                <w:rFonts w:hint="eastAsia"/>
              </w:rPr>
              <w:t>南亩鱼鲜村一带</w:t>
            </w:r>
          </w:p>
        </w:tc>
      </w:tr>
      <w:tr w14:paraId="5598A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72B4042C">
            <w:pPr>
              <w:pStyle w:val="11"/>
              <w:bidi w:val="0"/>
              <w:ind w:firstLine="0" w:firstLineChars="0"/>
              <w:jc w:val="center"/>
              <w:rPr>
                <w:rFonts w:hint="eastAsia"/>
                <w:vertAlign w:val="baseline"/>
                <w:lang w:eastAsia="zh-CN"/>
              </w:rPr>
            </w:pPr>
            <w:r>
              <w:rPr>
                <w:rFonts w:hint="eastAsia"/>
              </w:rPr>
              <w:t>12</w:t>
            </w:r>
          </w:p>
        </w:tc>
        <w:tc>
          <w:tcPr>
            <w:tcW w:w="1322" w:type="pct"/>
            <w:vAlign w:val="center"/>
          </w:tcPr>
          <w:p w14:paraId="70C39440">
            <w:pPr>
              <w:pStyle w:val="11"/>
              <w:bidi w:val="0"/>
              <w:ind w:firstLine="0" w:firstLineChars="0"/>
              <w:jc w:val="center"/>
              <w:rPr>
                <w:rFonts w:hint="eastAsia"/>
                <w:vertAlign w:val="baseline"/>
                <w:lang w:eastAsia="zh-CN"/>
              </w:rPr>
            </w:pPr>
            <w:r>
              <w:rPr>
                <w:rFonts w:hint="eastAsia"/>
              </w:rPr>
              <w:t>板灯龙</w:t>
            </w:r>
          </w:p>
        </w:tc>
        <w:tc>
          <w:tcPr>
            <w:tcW w:w="751" w:type="pct"/>
            <w:vAlign w:val="center"/>
          </w:tcPr>
          <w:p w14:paraId="0B5A2153">
            <w:pPr>
              <w:pStyle w:val="11"/>
              <w:bidi w:val="0"/>
              <w:ind w:firstLine="0" w:firstLineChars="0"/>
              <w:jc w:val="center"/>
              <w:rPr>
                <w:rFonts w:hint="eastAsia"/>
                <w:vertAlign w:val="baseline"/>
                <w:lang w:eastAsia="zh-CN"/>
              </w:rPr>
            </w:pPr>
            <w:r>
              <w:rPr>
                <w:rFonts w:hint="eastAsia"/>
              </w:rPr>
              <w:t>传统舞蹈</w:t>
            </w:r>
          </w:p>
        </w:tc>
        <w:tc>
          <w:tcPr>
            <w:tcW w:w="680" w:type="pct"/>
            <w:vAlign w:val="center"/>
          </w:tcPr>
          <w:p w14:paraId="3B5DC87D">
            <w:pPr>
              <w:pStyle w:val="11"/>
              <w:bidi w:val="0"/>
              <w:ind w:firstLine="0" w:firstLineChars="0"/>
              <w:jc w:val="center"/>
              <w:rPr>
                <w:rFonts w:hint="eastAsia"/>
                <w:vertAlign w:val="baseline"/>
                <w:lang w:eastAsia="zh-CN"/>
              </w:rPr>
            </w:pPr>
            <w:r>
              <w:rPr>
                <w:rFonts w:hint="eastAsia"/>
              </w:rPr>
              <w:t>县级</w:t>
            </w:r>
          </w:p>
        </w:tc>
        <w:tc>
          <w:tcPr>
            <w:tcW w:w="1755" w:type="pct"/>
            <w:tcBorders>
              <w:right w:val="nil"/>
            </w:tcBorders>
            <w:vAlign w:val="center"/>
          </w:tcPr>
          <w:p w14:paraId="25A8A459">
            <w:pPr>
              <w:pStyle w:val="11"/>
              <w:bidi w:val="0"/>
              <w:ind w:firstLine="0" w:firstLineChars="0"/>
              <w:jc w:val="center"/>
              <w:rPr>
                <w:rFonts w:hint="eastAsia"/>
                <w:vertAlign w:val="baseline"/>
                <w:lang w:eastAsia="zh-CN"/>
              </w:rPr>
            </w:pPr>
            <w:r>
              <w:rPr>
                <w:rFonts w:hint="eastAsia"/>
              </w:rPr>
              <w:t>乌迳镇杜屋村一带</w:t>
            </w:r>
          </w:p>
        </w:tc>
      </w:tr>
      <w:tr w14:paraId="4E60F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7CB6483B">
            <w:pPr>
              <w:pStyle w:val="11"/>
              <w:bidi w:val="0"/>
              <w:ind w:firstLine="0" w:firstLineChars="0"/>
              <w:jc w:val="center"/>
              <w:rPr>
                <w:rFonts w:hint="eastAsia"/>
                <w:vertAlign w:val="baseline"/>
                <w:lang w:eastAsia="zh-CN"/>
              </w:rPr>
            </w:pPr>
            <w:r>
              <w:rPr>
                <w:rFonts w:hint="eastAsia"/>
              </w:rPr>
              <w:t>13</w:t>
            </w:r>
          </w:p>
        </w:tc>
        <w:tc>
          <w:tcPr>
            <w:tcW w:w="1322" w:type="pct"/>
            <w:vAlign w:val="center"/>
          </w:tcPr>
          <w:p w14:paraId="161CFF19">
            <w:pPr>
              <w:pStyle w:val="11"/>
              <w:bidi w:val="0"/>
              <w:ind w:firstLine="0" w:firstLineChars="0"/>
              <w:jc w:val="center"/>
              <w:rPr>
                <w:rFonts w:hint="eastAsia"/>
                <w:vertAlign w:val="baseline"/>
                <w:lang w:eastAsia="zh-CN"/>
              </w:rPr>
            </w:pPr>
            <w:r>
              <w:rPr>
                <w:rFonts w:hint="eastAsia"/>
              </w:rPr>
              <w:t>磨地狮</w:t>
            </w:r>
          </w:p>
        </w:tc>
        <w:tc>
          <w:tcPr>
            <w:tcW w:w="751" w:type="pct"/>
            <w:vAlign w:val="center"/>
          </w:tcPr>
          <w:p w14:paraId="364AFD9B">
            <w:pPr>
              <w:pStyle w:val="11"/>
              <w:bidi w:val="0"/>
              <w:ind w:firstLine="0" w:firstLineChars="0"/>
              <w:jc w:val="center"/>
              <w:rPr>
                <w:rFonts w:hint="eastAsia"/>
                <w:vertAlign w:val="baseline"/>
                <w:lang w:eastAsia="zh-CN"/>
              </w:rPr>
            </w:pPr>
            <w:r>
              <w:rPr>
                <w:rFonts w:hint="eastAsia"/>
              </w:rPr>
              <w:t>传统舞蹈</w:t>
            </w:r>
          </w:p>
        </w:tc>
        <w:tc>
          <w:tcPr>
            <w:tcW w:w="680" w:type="pct"/>
            <w:vAlign w:val="center"/>
          </w:tcPr>
          <w:p w14:paraId="4F8269ED">
            <w:pPr>
              <w:pStyle w:val="11"/>
              <w:bidi w:val="0"/>
              <w:ind w:firstLine="0" w:firstLineChars="0"/>
              <w:jc w:val="center"/>
              <w:rPr>
                <w:rFonts w:hint="eastAsia"/>
                <w:vertAlign w:val="baseline"/>
                <w:lang w:eastAsia="zh-CN"/>
              </w:rPr>
            </w:pPr>
            <w:r>
              <w:rPr>
                <w:rFonts w:hint="eastAsia"/>
              </w:rPr>
              <w:t>县级</w:t>
            </w:r>
          </w:p>
        </w:tc>
        <w:tc>
          <w:tcPr>
            <w:tcW w:w="1755" w:type="pct"/>
            <w:tcBorders>
              <w:right w:val="nil"/>
            </w:tcBorders>
            <w:vAlign w:val="center"/>
          </w:tcPr>
          <w:p w14:paraId="30D860C4">
            <w:pPr>
              <w:pStyle w:val="11"/>
              <w:bidi w:val="0"/>
              <w:ind w:firstLine="0" w:firstLineChars="0"/>
              <w:jc w:val="center"/>
              <w:rPr>
                <w:rFonts w:hint="eastAsia"/>
                <w:vertAlign w:val="baseline"/>
                <w:lang w:eastAsia="zh-CN"/>
              </w:rPr>
            </w:pPr>
            <w:r>
              <w:rPr>
                <w:rFonts w:hint="eastAsia"/>
              </w:rPr>
              <w:t>湖口镇承平村一带</w:t>
            </w:r>
          </w:p>
        </w:tc>
      </w:tr>
      <w:tr w14:paraId="0F27E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1FE9A4F3">
            <w:pPr>
              <w:pStyle w:val="11"/>
              <w:bidi w:val="0"/>
              <w:ind w:firstLine="0" w:firstLineChars="0"/>
              <w:jc w:val="center"/>
              <w:rPr>
                <w:rFonts w:hint="eastAsia"/>
                <w:vertAlign w:val="baseline"/>
                <w:lang w:eastAsia="zh-CN"/>
              </w:rPr>
            </w:pPr>
            <w:r>
              <w:rPr>
                <w:rFonts w:hint="eastAsia"/>
              </w:rPr>
              <w:t>14</w:t>
            </w:r>
          </w:p>
        </w:tc>
        <w:tc>
          <w:tcPr>
            <w:tcW w:w="1322" w:type="pct"/>
            <w:vAlign w:val="center"/>
          </w:tcPr>
          <w:p w14:paraId="7B62CE65">
            <w:pPr>
              <w:pStyle w:val="11"/>
              <w:bidi w:val="0"/>
              <w:ind w:firstLine="0" w:firstLineChars="0"/>
              <w:jc w:val="center"/>
              <w:rPr>
                <w:rFonts w:hint="eastAsia"/>
                <w:vertAlign w:val="baseline"/>
                <w:lang w:eastAsia="zh-CN"/>
              </w:rPr>
            </w:pPr>
            <w:r>
              <w:rPr>
                <w:rFonts w:hint="eastAsia"/>
              </w:rPr>
              <w:t>青草狮</w:t>
            </w:r>
          </w:p>
        </w:tc>
        <w:tc>
          <w:tcPr>
            <w:tcW w:w="751" w:type="pct"/>
            <w:vAlign w:val="center"/>
          </w:tcPr>
          <w:p w14:paraId="7E1FBAA5">
            <w:pPr>
              <w:pStyle w:val="11"/>
              <w:bidi w:val="0"/>
              <w:ind w:firstLine="0" w:firstLineChars="0"/>
              <w:jc w:val="center"/>
              <w:rPr>
                <w:rFonts w:hint="eastAsia"/>
                <w:vertAlign w:val="baseline"/>
                <w:lang w:eastAsia="zh-CN"/>
              </w:rPr>
            </w:pPr>
            <w:r>
              <w:rPr>
                <w:rFonts w:hint="eastAsia"/>
              </w:rPr>
              <w:t>传统舞蹈</w:t>
            </w:r>
          </w:p>
        </w:tc>
        <w:tc>
          <w:tcPr>
            <w:tcW w:w="680" w:type="pct"/>
            <w:vAlign w:val="center"/>
          </w:tcPr>
          <w:p w14:paraId="7198AFE4">
            <w:pPr>
              <w:pStyle w:val="11"/>
              <w:bidi w:val="0"/>
              <w:ind w:firstLine="0" w:firstLineChars="0"/>
              <w:jc w:val="center"/>
              <w:rPr>
                <w:rFonts w:hint="eastAsia"/>
                <w:vertAlign w:val="baseline"/>
                <w:lang w:eastAsia="zh-CN"/>
              </w:rPr>
            </w:pPr>
            <w:r>
              <w:rPr>
                <w:rFonts w:hint="eastAsia"/>
              </w:rPr>
              <w:t>县级</w:t>
            </w:r>
          </w:p>
        </w:tc>
        <w:tc>
          <w:tcPr>
            <w:tcW w:w="1755" w:type="pct"/>
            <w:tcBorders>
              <w:right w:val="nil"/>
            </w:tcBorders>
            <w:vAlign w:val="center"/>
          </w:tcPr>
          <w:p w14:paraId="545C4995">
            <w:pPr>
              <w:pStyle w:val="11"/>
              <w:bidi w:val="0"/>
              <w:ind w:firstLine="0" w:firstLineChars="0"/>
              <w:jc w:val="center"/>
              <w:rPr>
                <w:rFonts w:hint="eastAsia"/>
                <w:vertAlign w:val="baseline"/>
                <w:lang w:eastAsia="zh-CN"/>
              </w:rPr>
            </w:pPr>
            <w:r>
              <w:rPr>
                <w:rFonts w:hint="eastAsia"/>
              </w:rPr>
              <w:t>珠玑洋湖村一带</w:t>
            </w:r>
          </w:p>
        </w:tc>
      </w:tr>
      <w:tr w14:paraId="688F6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066A9979">
            <w:pPr>
              <w:pStyle w:val="11"/>
              <w:bidi w:val="0"/>
              <w:ind w:firstLine="0" w:firstLineChars="0"/>
              <w:jc w:val="center"/>
              <w:rPr>
                <w:rFonts w:hint="eastAsia"/>
                <w:vertAlign w:val="baseline"/>
                <w:lang w:eastAsia="zh-CN"/>
              </w:rPr>
            </w:pPr>
            <w:r>
              <w:rPr>
                <w:rFonts w:hint="eastAsia"/>
              </w:rPr>
              <w:t>15</w:t>
            </w:r>
          </w:p>
        </w:tc>
        <w:tc>
          <w:tcPr>
            <w:tcW w:w="1322" w:type="pct"/>
            <w:vAlign w:val="center"/>
          </w:tcPr>
          <w:p w14:paraId="5D6E68A7">
            <w:pPr>
              <w:pStyle w:val="11"/>
              <w:bidi w:val="0"/>
              <w:ind w:firstLine="0" w:firstLineChars="0"/>
              <w:jc w:val="center"/>
              <w:rPr>
                <w:rFonts w:hint="eastAsia"/>
                <w:vertAlign w:val="baseline"/>
                <w:lang w:eastAsia="zh-CN"/>
              </w:rPr>
            </w:pPr>
            <w:r>
              <w:rPr>
                <w:rFonts w:hint="eastAsia"/>
              </w:rPr>
              <w:t>九十九节龙</w:t>
            </w:r>
          </w:p>
        </w:tc>
        <w:tc>
          <w:tcPr>
            <w:tcW w:w="751" w:type="pct"/>
            <w:vAlign w:val="center"/>
          </w:tcPr>
          <w:p w14:paraId="797AC3BB">
            <w:pPr>
              <w:pStyle w:val="11"/>
              <w:bidi w:val="0"/>
              <w:ind w:firstLine="0" w:firstLineChars="0"/>
              <w:jc w:val="center"/>
              <w:rPr>
                <w:rFonts w:hint="eastAsia"/>
                <w:vertAlign w:val="baseline"/>
                <w:lang w:eastAsia="zh-CN"/>
              </w:rPr>
            </w:pPr>
            <w:r>
              <w:rPr>
                <w:rFonts w:hint="eastAsia"/>
              </w:rPr>
              <w:t>传统舞蹈</w:t>
            </w:r>
          </w:p>
        </w:tc>
        <w:tc>
          <w:tcPr>
            <w:tcW w:w="680" w:type="pct"/>
            <w:vAlign w:val="center"/>
          </w:tcPr>
          <w:p w14:paraId="1F4329A3">
            <w:pPr>
              <w:pStyle w:val="11"/>
              <w:bidi w:val="0"/>
              <w:ind w:firstLine="0" w:firstLineChars="0"/>
              <w:jc w:val="center"/>
              <w:rPr>
                <w:rFonts w:hint="eastAsia"/>
                <w:vertAlign w:val="baseline"/>
                <w:lang w:eastAsia="zh-CN"/>
              </w:rPr>
            </w:pPr>
            <w:r>
              <w:rPr>
                <w:rFonts w:hint="eastAsia"/>
              </w:rPr>
              <w:t>县级</w:t>
            </w:r>
          </w:p>
        </w:tc>
        <w:tc>
          <w:tcPr>
            <w:tcW w:w="1755" w:type="pct"/>
            <w:tcBorders>
              <w:right w:val="nil"/>
            </w:tcBorders>
            <w:vAlign w:val="center"/>
          </w:tcPr>
          <w:p w14:paraId="32980A02">
            <w:pPr>
              <w:pStyle w:val="11"/>
              <w:bidi w:val="0"/>
              <w:ind w:firstLine="0" w:firstLineChars="0"/>
              <w:jc w:val="center"/>
              <w:rPr>
                <w:rFonts w:hint="eastAsia"/>
                <w:vertAlign w:val="baseline"/>
                <w:lang w:eastAsia="zh-CN"/>
              </w:rPr>
            </w:pPr>
            <w:r>
              <w:rPr>
                <w:rFonts w:hint="eastAsia"/>
              </w:rPr>
              <w:t>珠玑镇玑叟里元村周边一带</w:t>
            </w:r>
          </w:p>
        </w:tc>
      </w:tr>
      <w:tr w14:paraId="2937C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58B541ED">
            <w:pPr>
              <w:pStyle w:val="11"/>
              <w:bidi w:val="0"/>
              <w:ind w:firstLine="0" w:firstLineChars="0"/>
              <w:jc w:val="center"/>
              <w:rPr>
                <w:rFonts w:hint="eastAsia"/>
                <w:vertAlign w:val="baseline"/>
                <w:lang w:eastAsia="zh-CN"/>
              </w:rPr>
            </w:pPr>
            <w:r>
              <w:rPr>
                <w:rFonts w:hint="eastAsia"/>
              </w:rPr>
              <w:t>16</w:t>
            </w:r>
          </w:p>
        </w:tc>
        <w:tc>
          <w:tcPr>
            <w:tcW w:w="1322" w:type="pct"/>
            <w:vAlign w:val="center"/>
          </w:tcPr>
          <w:p w14:paraId="1EA9D8FC">
            <w:pPr>
              <w:pStyle w:val="11"/>
              <w:bidi w:val="0"/>
              <w:ind w:firstLine="0" w:firstLineChars="0"/>
              <w:jc w:val="center"/>
              <w:rPr>
                <w:rFonts w:hint="eastAsia"/>
                <w:vertAlign w:val="baseline"/>
                <w:lang w:eastAsia="zh-CN"/>
              </w:rPr>
            </w:pPr>
            <w:r>
              <w:rPr>
                <w:rFonts w:hint="eastAsia"/>
              </w:rPr>
              <w:t>灵潭腐竹制作手艺</w:t>
            </w:r>
          </w:p>
        </w:tc>
        <w:tc>
          <w:tcPr>
            <w:tcW w:w="751" w:type="pct"/>
            <w:vAlign w:val="center"/>
          </w:tcPr>
          <w:p w14:paraId="774DBA4D">
            <w:pPr>
              <w:pStyle w:val="11"/>
              <w:bidi w:val="0"/>
              <w:ind w:firstLine="0" w:firstLineChars="0"/>
              <w:jc w:val="center"/>
              <w:rPr>
                <w:rFonts w:hint="eastAsia"/>
                <w:vertAlign w:val="baseline"/>
                <w:lang w:eastAsia="zh-CN"/>
              </w:rPr>
            </w:pPr>
            <w:r>
              <w:rPr>
                <w:rFonts w:hint="eastAsia"/>
              </w:rPr>
              <w:t>传统技艺</w:t>
            </w:r>
          </w:p>
        </w:tc>
        <w:tc>
          <w:tcPr>
            <w:tcW w:w="680" w:type="pct"/>
            <w:vAlign w:val="center"/>
          </w:tcPr>
          <w:p w14:paraId="16ED1905">
            <w:pPr>
              <w:pStyle w:val="11"/>
              <w:bidi w:val="0"/>
              <w:ind w:firstLine="0" w:firstLineChars="0"/>
              <w:jc w:val="center"/>
              <w:rPr>
                <w:rFonts w:hint="eastAsia"/>
                <w:vertAlign w:val="baseline"/>
                <w:lang w:eastAsia="zh-CN"/>
              </w:rPr>
            </w:pPr>
            <w:r>
              <w:rPr>
                <w:rFonts w:hint="eastAsia"/>
              </w:rPr>
              <w:t>县级</w:t>
            </w:r>
          </w:p>
        </w:tc>
        <w:tc>
          <w:tcPr>
            <w:tcW w:w="1755" w:type="pct"/>
            <w:tcBorders>
              <w:right w:val="nil"/>
            </w:tcBorders>
            <w:vAlign w:val="center"/>
          </w:tcPr>
          <w:p w14:paraId="3492FE1A">
            <w:pPr>
              <w:pStyle w:val="11"/>
              <w:bidi w:val="0"/>
              <w:ind w:firstLine="0" w:firstLineChars="0"/>
              <w:jc w:val="center"/>
              <w:rPr>
                <w:rFonts w:hint="eastAsia"/>
                <w:vertAlign w:val="baseline"/>
                <w:lang w:eastAsia="zh-CN"/>
              </w:rPr>
            </w:pPr>
            <w:r>
              <w:rPr>
                <w:rFonts w:hint="eastAsia"/>
              </w:rPr>
              <w:t>南雄珠玑镇灵潭村一带</w:t>
            </w:r>
          </w:p>
        </w:tc>
      </w:tr>
      <w:tr w14:paraId="57FD1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7E228C96">
            <w:pPr>
              <w:pStyle w:val="11"/>
              <w:bidi w:val="0"/>
              <w:ind w:firstLine="0" w:firstLineChars="0"/>
              <w:jc w:val="center"/>
              <w:rPr>
                <w:rFonts w:hint="eastAsia"/>
                <w:vertAlign w:val="baseline"/>
                <w:lang w:eastAsia="zh-CN"/>
              </w:rPr>
            </w:pPr>
            <w:r>
              <w:rPr>
                <w:rFonts w:hint="eastAsia"/>
              </w:rPr>
              <w:t>17</w:t>
            </w:r>
          </w:p>
        </w:tc>
        <w:tc>
          <w:tcPr>
            <w:tcW w:w="1322" w:type="pct"/>
            <w:vAlign w:val="center"/>
          </w:tcPr>
          <w:p w14:paraId="070A7EF6">
            <w:pPr>
              <w:pStyle w:val="11"/>
              <w:bidi w:val="0"/>
              <w:ind w:firstLine="0" w:firstLineChars="0"/>
              <w:jc w:val="center"/>
              <w:rPr>
                <w:rFonts w:hint="eastAsia"/>
                <w:vertAlign w:val="baseline"/>
                <w:lang w:eastAsia="zh-CN"/>
              </w:rPr>
            </w:pPr>
            <w:r>
              <w:rPr>
                <w:rFonts w:hint="eastAsia"/>
              </w:rPr>
              <w:t>竹、藤工艺编制技艺</w:t>
            </w:r>
          </w:p>
        </w:tc>
        <w:tc>
          <w:tcPr>
            <w:tcW w:w="751" w:type="pct"/>
            <w:vAlign w:val="center"/>
          </w:tcPr>
          <w:p w14:paraId="56BE9210">
            <w:pPr>
              <w:pStyle w:val="11"/>
              <w:bidi w:val="0"/>
              <w:ind w:firstLine="0" w:firstLineChars="0"/>
              <w:jc w:val="center"/>
              <w:rPr>
                <w:rFonts w:hint="eastAsia"/>
                <w:vertAlign w:val="baseline"/>
                <w:lang w:eastAsia="zh-CN"/>
              </w:rPr>
            </w:pPr>
            <w:r>
              <w:rPr>
                <w:rFonts w:hint="eastAsia"/>
              </w:rPr>
              <w:t>传统技艺</w:t>
            </w:r>
          </w:p>
        </w:tc>
        <w:tc>
          <w:tcPr>
            <w:tcW w:w="680" w:type="pct"/>
            <w:vAlign w:val="center"/>
          </w:tcPr>
          <w:p w14:paraId="085B45C9">
            <w:pPr>
              <w:pStyle w:val="11"/>
              <w:bidi w:val="0"/>
              <w:ind w:firstLine="0" w:firstLineChars="0"/>
              <w:jc w:val="center"/>
              <w:rPr>
                <w:rFonts w:hint="eastAsia"/>
                <w:vertAlign w:val="baseline"/>
                <w:lang w:eastAsia="zh-CN"/>
              </w:rPr>
            </w:pPr>
            <w:r>
              <w:rPr>
                <w:rFonts w:hint="eastAsia"/>
              </w:rPr>
              <w:t>县级</w:t>
            </w:r>
          </w:p>
        </w:tc>
        <w:tc>
          <w:tcPr>
            <w:tcW w:w="1755" w:type="pct"/>
            <w:tcBorders>
              <w:right w:val="nil"/>
            </w:tcBorders>
            <w:vAlign w:val="center"/>
          </w:tcPr>
          <w:p w14:paraId="2BFF08D1">
            <w:pPr>
              <w:pStyle w:val="11"/>
              <w:bidi w:val="0"/>
              <w:ind w:firstLine="0" w:firstLineChars="0"/>
              <w:jc w:val="center"/>
              <w:rPr>
                <w:rFonts w:hint="eastAsia"/>
                <w:vertAlign w:val="baseline"/>
                <w:lang w:eastAsia="zh-CN"/>
              </w:rPr>
            </w:pPr>
            <w:r>
              <w:rPr>
                <w:rFonts w:hint="eastAsia"/>
              </w:rPr>
              <w:t>南雄一带</w:t>
            </w:r>
          </w:p>
        </w:tc>
      </w:tr>
      <w:tr w14:paraId="7B561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2259FD34">
            <w:pPr>
              <w:pStyle w:val="11"/>
              <w:bidi w:val="0"/>
              <w:ind w:firstLine="0" w:firstLineChars="0"/>
              <w:jc w:val="center"/>
              <w:rPr>
                <w:rFonts w:hint="eastAsia"/>
                <w:vertAlign w:val="baseline"/>
                <w:lang w:eastAsia="zh-CN"/>
              </w:rPr>
            </w:pPr>
            <w:r>
              <w:rPr>
                <w:rFonts w:hint="eastAsia"/>
              </w:rPr>
              <w:t>18</w:t>
            </w:r>
          </w:p>
        </w:tc>
        <w:tc>
          <w:tcPr>
            <w:tcW w:w="1322" w:type="pct"/>
            <w:vAlign w:val="center"/>
          </w:tcPr>
          <w:p w14:paraId="75BEDC3A">
            <w:pPr>
              <w:pStyle w:val="11"/>
              <w:bidi w:val="0"/>
              <w:ind w:firstLine="0" w:firstLineChars="0"/>
              <w:jc w:val="center"/>
              <w:rPr>
                <w:rFonts w:hint="eastAsia"/>
                <w:vertAlign w:val="baseline"/>
                <w:lang w:eastAsia="zh-CN"/>
              </w:rPr>
            </w:pPr>
            <w:r>
              <w:rPr>
                <w:rFonts w:hint="eastAsia"/>
              </w:rPr>
              <w:t>饺俚糍制作技艺</w:t>
            </w:r>
          </w:p>
        </w:tc>
        <w:tc>
          <w:tcPr>
            <w:tcW w:w="751" w:type="pct"/>
            <w:vAlign w:val="center"/>
          </w:tcPr>
          <w:p w14:paraId="4FED7A38">
            <w:pPr>
              <w:pStyle w:val="11"/>
              <w:bidi w:val="0"/>
              <w:ind w:firstLine="0" w:firstLineChars="0"/>
              <w:jc w:val="center"/>
              <w:rPr>
                <w:rFonts w:hint="eastAsia"/>
                <w:vertAlign w:val="baseline"/>
                <w:lang w:eastAsia="zh-CN"/>
              </w:rPr>
            </w:pPr>
            <w:r>
              <w:rPr>
                <w:rFonts w:hint="eastAsia"/>
              </w:rPr>
              <w:t>传统技艺</w:t>
            </w:r>
          </w:p>
        </w:tc>
        <w:tc>
          <w:tcPr>
            <w:tcW w:w="680" w:type="pct"/>
            <w:vAlign w:val="center"/>
          </w:tcPr>
          <w:p w14:paraId="25680507">
            <w:pPr>
              <w:pStyle w:val="11"/>
              <w:bidi w:val="0"/>
              <w:ind w:firstLine="0" w:firstLineChars="0"/>
              <w:jc w:val="center"/>
              <w:rPr>
                <w:rFonts w:hint="eastAsia"/>
                <w:vertAlign w:val="baseline"/>
                <w:lang w:eastAsia="zh-CN"/>
              </w:rPr>
            </w:pPr>
            <w:r>
              <w:rPr>
                <w:rFonts w:hint="eastAsia"/>
              </w:rPr>
              <w:t>县级</w:t>
            </w:r>
          </w:p>
        </w:tc>
        <w:tc>
          <w:tcPr>
            <w:tcW w:w="1755" w:type="pct"/>
            <w:tcBorders>
              <w:right w:val="nil"/>
            </w:tcBorders>
            <w:vAlign w:val="center"/>
          </w:tcPr>
          <w:p w14:paraId="6E5AA57C">
            <w:pPr>
              <w:pStyle w:val="11"/>
              <w:bidi w:val="0"/>
              <w:ind w:firstLine="0" w:firstLineChars="0"/>
              <w:jc w:val="center"/>
              <w:rPr>
                <w:rFonts w:hint="eastAsia"/>
                <w:vertAlign w:val="baseline"/>
                <w:lang w:eastAsia="zh-CN"/>
              </w:rPr>
            </w:pPr>
            <w:r>
              <w:rPr>
                <w:rFonts w:hint="eastAsia"/>
              </w:rPr>
              <w:t>南雄市地区</w:t>
            </w:r>
          </w:p>
        </w:tc>
      </w:tr>
      <w:tr w14:paraId="2894F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489F12B3">
            <w:pPr>
              <w:pStyle w:val="11"/>
              <w:bidi w:val="0"/>
              <w:ind w:firstLine="0" w:firstLineChars="0"/>
              <w:jc w:val="center"/>
              <w:rPr>
                <w:rFonts w:hint="eastAsia"/>
                <w:vertAlign w:val="baseline"/>
                <w:lang w:eastAsia="zh-CN"/>
              </w:rPr>
            </w:pPr>
            <w:r>
              <w:rPr>
                <w:rFonts w:hint="eastAsia"/>
              </w:rPr>
              <w:t>19</w:t>
            </w:r>
          </w:p>
        </w:tc>
        <w:tc>
          <w:tcPr>
            <w:tcW w:w="1322" w:type="pct"/>
            <w:vAlign w:val="center"/>
          </w:tcPr>
          <w:p w14:paraId="2C864CD3">
            <w:pPr>
              <w:pStyle w:val="11"/>
              <w:bidi w:val="0"/>
              <w:ind w:firstLine="0" w:firstLineChars="0"/>
              <w:jc w:val="center"/>
              <w:rPr>
                <w:rFonts w:hint="eastAsia"/>
                <w:vertAlign w:val="baseline"/>
                <w:lang w:eastAsia="zh-CN"/>
              </w:rPr>
            </w:pPr>
            <w:r>
              <w:rPr>
                <w:rFonts w:hint="eastAsia"/>
              </w:rPr>
              <w:t>南雄板鸭制作技艺</w:t>
            </w:r>
          </w:p>
        </w:tc>
        <w:tc>
          <w:tcPr>
            <w:tcW w:w="751" w:type="pct"/>
            <w:vAlign w:val="center"/>
          </w:tcPr>
          <w:p w14:paraId="28CFD75C">
            <w:pPr>
              <w:pStyle w:val="11"/>
              <w:bidi w:val="0"/>
              <w:ind w:firstLine="0" w:firstLineChars="0"/>
              <w:jc w:val="center"/>
              <w:rPr>
                <w:rFonts w:hint="eastAsia"/>
                <w:vertAlign w:val="baseline"/>
                <w:lang w:eastAsia="zh-CN"/>
              </w:rPr>
            </w:pPr>
            <w:r>
              <w:rPr>
                <w:rFonts w:hint="eastAsia"/>
              </w:rPr>
              <w:t>传统技艺</w:t>
            </w:r>
          </w:p>
        </w:tc>
        <w:tc>
          <w:tcPr>
            <w:tcW w:w="680" w:type="pct"/>
            <w:vAlign w:val="center"/>
          </w:tcPr>
          <w:p w14:paraId="1CFE7A1F">
            <w:pPr>
              <w:pStyle w:val="11"/>
              <w:bidi w:val="0"/>
              <w:ind w:firstLine="0" w:firstLineChars="0"/>
              <w:jc w:val="center"/>
              <w:rPr>
                <w:rFonts w:hint="eastAsia"/>
                <w:vertAlign w:val="baseline"/>
                <w:lang w:eastAsia="zh-CN"/>
              </w:rPr>
            </w:pPr>
            <w:r>
              <w:rPr>
                <w:rFonts w:hint="eastAsia"/>
              </w:rPr>
              <w:t>县级</w:t>
            </w:r>
          </w:p>
        </w:tc>
        <w:tc>
          <w:tcPr>
            <w:tcW w:w="1755" w:type="pct"/>
            <w:tcBorders>
              <w:right w:val="nil"/>
            </w:tcBorders>
            <w:vAlign w:val="center"/>
          </w:tcPr>
          <w:p w14:paraId="1CF5090B">
            <w:pPr>
              <w:pStyle w:val="11"/>
              <w:bidi w:val="0"/>
              <w:ind w:firstLine="0" w:firstLineChars="0"/>
              <w:jc w:val="center"/>
              <w:rPr>
                <w:rFonts w:hint="eastAsia"/>
                <w:vertAlign w:val="baseline"/>
                <w:lang w:eastAsia="zh-CN"/>
              </w:rPr>
            </w:pPr>
            <w:r>
              <w:rPr>
                <w:rFonts w:hint="eastAsia"/>
              </w:rPr>
              <w:t>南雄城乡</w:t>
            </w:r>
          </w:p>
        </w:tc>
      </w:tr>
      <w:tr w14:paraId="53B86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Borders>
              <w:left w:val="nil"/>
            </w:tcBorders>
            <w:vAlign w:val="center"/>
          </w:tcPr>
          <w:p w14:paraId="0C4A208A">
            <w:pPr>
              <w:pStyle w:val="11"/>
              <w:bidi w:val="0"/>
              <w:ind w:firstLine="0" w:firstLineChars="0"/>
              <w:jc w:val="center"/>
              <w:rPr>
                <w:rFonts w:hint="eastAsia"/>
                <w:vertAlign w:val="baseline"/>
                <w:lang w:eastAsia="zh-CN"/>
              </w:rPr>
            </w:pPr>
            <w:r>
              <w:rPr>
                <w:rFonts w:hint="eastAsia"/>
              </w:rPr>
              <w:t>20</w:t>
            </w:r>
          </w:p>
        </w:tc>
        <w:tc>
          <w:tcPr>
            <w:tcW w:w="1322" w:type="pct"/>
            <w:vAlign w:val="center"/>
          </w:tcPr>
          <w:p w14:paraId="6C22EEFB">
            <w:pPr>
              <w:pStyle w:val="11"/>
              <w:bidi w:val="0"/>
              <w:ind w:firstLine="0" w:firstLineChars="0"/>
              <w:jc w:val="center"/>
              <w:rPr>
                <w:rFonts w:hint="eastAsia"/>
                <w:vertAlign w:val="baseline"/>
                <w:lang w:eastAsia="zh-CN"/>
              </w:rPr>
            </w:pPr>
            <w:r>
              <w:rPr>
                <w:rFonts w:hint="eastAsia"/>
              </w:rPr>
              <w:t>小水岭高脚狮</w:t>
            </w:r>
          </w:p>
        </w:tc>
        <w:tc>
          <w:tcPr>
            <w:tcW w:w="751" w:type="pct"/>
            <w:vAlign w:val="center"/>
          </w:tcPr>
          <w:p w14:paraId="6A0C7743">
            <w:pPr>
              <w:pStyle w:val="11"/>
              <w:bidi w:val="0"/>
              <w:ind w:firstLine="0" w:firstLineChars="0"/>
              <w:jc w:val="center"/>
              <w:rPr>
                <w:rFonts w:hint="eastAsia"/>
                <w:vertAlign w:val="baseline"/>
                <w:lang w:eastAsia="zh-CN"/>
              </w:rPr>
            </w:pPr>
            <w:r>
              <w:rPr>
                <w:rFonts w:hint="eastAsia"/>
              </w:rPr>
              <w:t>传统舞蹈</w:t>
            </w:r>
          </w:p>
        </w:tc>
        <w:tc>
          <w:tcPr>
            <w:tcW w:w="680" w:type="pct"/>
            <w:vAlign w:val="center"/>
          </w:tcPr>
          <w:p w14:paraId="7AF39F4E">
            <w:pPr>
              <w:pStyle w:val="11"/>
              <w:bidi w:val="0"/>
              <w:ind w:firstLine="0" w:firstLineChars="0"/>
              <w:jc w:val="center"/>
              <w:rPr>
                <w:rFonts w:hint="eastAsia"/>
                <w:vertAlign w:val="baseline"/>
                <w:lang w:eastAsia="zh-CN"/>
              </w:rPr>
            </w:pPr>
            <w:r>
              <w:rPr>
                <w:rFonts w:hint="eastAsia"/>
              </w:rPr>
              <w:t>县级</w:t>
            </w:r>
          </w:p>
        </w:tc>
        <w:tc>
          <w:tcPr>
            <w:tcW w:w="1755" w:type="pct"/>
            <w:tcBorders>
              <w:right w:val="nil"/>
            </w:tcBorders>
            <w:vAlign w:val="center"/>
          </w:tcPr>
          <w:p w14:paraId="327BE5C2">
            <w:pPr>
              <w:pStyle w:val="11"/>
              <w:bidi w:val="0"/>
              <w:ind w:firstLine="0" w:firstLineChars="0"/>
              <w:jc w:val="center"/>
              <w:rPr>
                <w:rFonts w:hint="eastAsia"/>
                <w:vertAlign w:val="baseline"/>
                <w:lang w:eastAsia="zh-CN"/>
              </w:rPr>
            </w:pPr>
            <w:r>
              <w:rPr>
                <w:rFonts w:hint="eastAsia"/>
              </w:rPr>
              <w:t>全安镇</w:t>
            </w:r>
          </w:p>
        </w:tc>
      </w:tr>
    </w:tbl>
    <w:p w14:paraId="699D9B57">
      <w:pPr>
        <w:bidi w:val="0"/>
        <w:rPr>
          <w:rFonts w:hint="eastAsia"/>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CF03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7A8FE33">
            <w:pPr>
              <w:bidi w:val="0"/>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6179820" cy="8442960"/>
                  <wp:effectExtent l="0" t="0" r="11430" b="15240"/>
                  <wp:docPr id="151" name="图片 151" descr="南雄年鉴2019_封底(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南雄年鉴2019_封底(1)"/>
                          <pic:cNvPicPr>
                            <a:picLocks noChangeAspect="1"/>
                          </pic:cNvPicPr>
                        </pic:nvPicPr>
                        <pic:blipFill>
                          <a:blip r:embed="rId138"/>
                          <a:stretch>
                            <a:fillRect/>
                          </a:stretch>
                        </pic:blipFill>
                        <pic:spPr>
                          <a:xfrm>
                            <a:off x="0" y="0"/>
                            <a:ext cx="6179820" cy="8442960"/>
                          </a:xfrm>
                          <a:prstGeom prst="rect">
                            <a:avLst/>
                          </a:prstGeom>
                        </pic:spPr>
                      </pic:pic>
                    </a:graphicData>
                  </a:graphic>
                </wp:inline>
              </w:drawing>
            </w:r>
          </w:p>
        </w:tc>
      </w:tr>
    </w:tbl>
    <w:p w14:paraId="1467ED52">
      <w:pPr>
        <w:ind w:left="0" w:leftChars="0" w:firstLine="0" w:firstLineChars="0"/>
      </w:pPr>
    </w:p>
    <w:sectPr>
      <w:headerReference r:id="rId7" w:type="first"/>
      <w:footerReference r:id="rId10" w:type="first"/>
      <w:headerReference r:id="rId5" w:type="default"/>
      <w:footerReference r:id="rId8" w:type="default"/>
      <w:headerReference r:id="rId6" w:type="even"/>
      <w:footerReference r:id="rId9" w:type="even"/>
      <w:pgSz w:w="11906" w:h="16838"/>
      <w:pgMar w:top="1440" w:right="1080" w:bottom="1440" w:left="1080" w:header="851" w:footer="992" w:gutter="0"/>
      <w:pgBorders>
        <w:top w:val="none" w:sz="0" w:space="0"/>
        <w:left w:val="none" w:sz="0" w:space="0"/>
        <w:bottom w:val="none" w:sz="0" w:space="0"/>
        <w:right w:val="none" w:sz="0" w:space="0"/>
      </w:pgBorders>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FZKTK--GBK1-0">
    <w:altName w:val="宋体"/>
    <w:panose1 w:val="00000000000000000000"/>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377AB6">
    <w:pPr>
      <w:pStyle w:val="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760A5C">
    <w:pPr>
      <w:pStyle w:val="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995335">
    <w:pPr>
      <w:pStyle w:val="5"/>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F9E795">
    <w:pPr>
      <w:pStyle w:val="6"/>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3B5CF2">
    <w:pPr>
      <w:pStyle w:val="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2737E2">
    <w:pPr>
      <w:pStyle w:val="6"/>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kwNjc2OWNjMmQ3ZDNiMmE4OTE5ZmNmMzZkZWE4ZDkifQ=="/>
  </w:docVars>
  <w:rsids>
    <w:rsidRoot w:val="064B7FB7"/>
    <w:rsid w:val="03302D2C"/>
    <w:rsid w:val="05092FAB"/>
    <w:rsid w:val="064B7FB7"/>
    <w:rsid w:val="0A51342A"/>
    <w:rsid w:val="103F3D25"/>
    <w:rsid w:val="10B77D5F"/>
    <w:rsid w:val="12784481"/>
    <w:rsid w:val="17192465"/>
    <w:rsid w:val="232079E6"/>
    <w:rsid w:val="2C567455"/>
    <w:rsid w:val="2FBD0A96"/>
    <w:rsid w:val="34AD7907"/>
    <w:rsid w:val="353972D0"/>
    <w:rsid w:val="38D40BFF"/>
    <w:rsid w:val="3DC15BF5"/>
    <w:rsid w:val="3EB73421"/>
    <w:rsid w:val="46564FF9"/>
    <w:rsid w:val="46FD0AA3"/>
    <w:rsid w:val="48E46C3C"/>
    <w:rsid w:val="4A1672C9"/>
    <w:rsid w:val="4A2F3EE7"/>
    <w:rsid w:val="4C856040"/>
    <w:rsid w:val="4E772300"/>
    <w:rsid w:val="503F236C"/>
    <w:rsid w:val="51DC6647"/>
    <w:rsid w:val="528374C6"/>
    <w:rsid w:val="5AFC762C"/>
    <w:rsid w:val="5CCC4A79"/>
    <w:rsid w:val="5D485594"/>
    <w:rsid w:val="5E207FF2"/>
    <w:rsid w:val="60BF02DD"/>
    <w:rsid w:val="629D1EDE"/>
    <w:rsid w:val="668B6317"/>
    <w:rsid w:val="715E39FD"/>
    <w:rsid w:val="74DD616A"/>
    <w:rsid w:val="76037E52"/>
    <w:rsid w:val="77E15F71"/>
    <w:rsid w:val="7B424F78"/>
    <w:rsid w:val="7C9C4A8B"/>
    <w:rsid w:val="7D871C1B"/>
    <w:rsid w:val="7F8756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宋体" w:hAnsi="宋体" w:eastAsia="宋体" w:cstheme="minorBidi"/>
      <w:kern w:val="2"/>
      <w:sz w:val="21"/>
      <w:szCs w:val="22"/>
      <w:lang w:val="en-US" w:eastAsia="zh-CN" w:bidi="ar-SA"/>
    </w:rPr>
  </w:style>
  <w:style w:type="paragraph" w:styleId="2">
    <w:name w:val="heading 1"/>
    <w:basedOn w:val="1"/>
    <w:next w:val="1"/>
    <w:qFormat/>
    <w:uiPriority w:val="9"/>
    <w:pPr>
      <w:keepNext/>
      <w:keepLines/>
      <w:spacing w:before="340" w:after="330" w:line="579" w:lineRule="auto"/>
      <w:ind w:firstLine="0" w:firstLineChars="0"/>
      <w:jc w:val="center"/>
      <w:outlineLvl w:val="0"/>
    </w:pPr>
    <w:rPr>
      <w:rFonts w:ascii="宋体" w:hAnsi="宋体" w:eastAsia="宋体"/>
      <w:b/>
      <w:bCs/>
      <w:kern w:val="44"/>
      <w:sz w:val="44"/>
      <w:szCs w:val="44"/>
    </w:rPr>
  </w:style>
  <w:style w:type="paragraph" w:styleId="3">
    <w:name w:val="heading 2"/>
    <w:basedOn w:val="1"/>
    <w:next w:val="1"/>
    <w:link w:val="10"/>
    <w:unhideWhenUsed/>
    <w:qFormat/>
    <w:uiPriority w:val="9"/>
    <w:pPr>
      <w:keepNext/>
      <w:keepLines/>
      <w:spacing w:before="260" w:after="260" w:line="416" w:lineRule="auto"/>
      <w:ind w:firstLine="0" w:firstLineChars="0"/>
      <w:jc w:val="center"/>
      <w:outlineLvl w:val="1"/>
    </w:pPr>
    <w:rPr>
      <w:rFonts w:ascii="宋体" w:hAnsi="宋体" w:eastAsia="宋体" w:cstheme="majorBidi"/>
      <w:b/>
      <w:bCs/>
      <w:sz w:val="36"/>
      <w:szCs w:val="32"/>
    </w:rPr>
  </w:style>
  <w:style w:type="paragraph" w:styleId="4">
    <w:name w:val="heading 3"/>
    <w:basedOn w:val="1"/>
    <w:next w:val="1"/>
    <w:unhideWhenUsed/>
    <w:qFormat/>
    <w:uiPriority w:val="9"/>
    <w:pPr>
      <w:keepNext/>
      <w:keepLines/>
      <w:spacing w:before="260" w:after="260" w:line="416" w:lineRule="auto"/>
      <w:ind w:firstLine="0" w:firstLineChars="0"/>
      <w:jc w:val="center"/>
      <w:outlineLvl w:val="2"/>
    </w:pPr>
    <w:rPr>
      <w:rFonts w:ascii="宋体" w:hAnsi="宋体" w:eastAsia="宋体"/>
      <w:b/>
      <w:bCs/>
      <w:sz w:val="32"/>
      <w:szCs w:val="32"/>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5">
    <w:name w:val="footer"/>
    <w:basedOn w:val="1"/>
    <w:unhideWhenUsed/>
    <w:qFormat/>
    <w:uiPriority w:val="99"/>
    <w:pPr>
      <w:tabs>
        <w:tab w:val="center" w:pos="4153"/>
        <w:tab w:val="right" w:pos="8306"/>
      </w:tabs>
      <w:snapToGrid w:val="0"/>
      <w:spacing w:line="240" w:lineRule="auto"/>
      <w:jc w:val="left"/>
    </w:pPr>
    <w:rPr>
      <w:sz w:val="18"/>
      <w:szCs w:val="18"/>
    </w:rPr>
  </w:style>
  <w:style w:type="paragraph" w:styleId="6">
    <w:name w:val="header"/>
    <w:basedOn w:val="1"/>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table" w:styleId="8">
    <w:name w:val="Table Grid"/>
    <w:basedOn w:val="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0">
    <w:name w:val="标题 2 Char"/>
    <w:basedOn w:val="9"/>
    <w:link w:val="3"/>
    <w:qFormat/>
    <w:uiPriority w:val="9"/>
    <w:rPr>
      <w:rFonts w:ascii="宋体" w:hAnsi="宋体" w:eastAsia="宋体" w:cstheme="majorBidi"/>
      <w:b/>
      <w:bCs/>
      <w:sz w:val="36"/>
      <w:szCs w:val="32"/>
    </w:rPr>
  </w:style>
  <w:style w:type="paragraph" w:customStyle="1" w:styleId="11">
    <w:name w:val="样式2"/>
    <w:basedOn w:val="1"/>
    <w:qFormat/>
    <w:uiPriority w:val="0"/>
    <w:pPr>
      <w:ind w:firstLine="0" w:firstLineChars="0"/>
      <w:jc w:val="left"/>
    </w:pPr>
  </w:style>
</w:styles>
</file>

<file path=word/_rels/document.xml.rels><?xml version="1.0" encoding="UTF-8" standalone="yes"?>
<Relationships xmlns="http://schemas.openxmlformats.org/package/2006/relationships"><Relationship Id="rId99" Type="http://schemas.openxmlformats.org/officeDocument/2006/relationships/image" Target="media/image88.jpeg"/><Relationship Id="rId98" Type="http://schemas.openxmlformats.org/officeDocument/2006/relationships/image" Target="media/image87.jpeg"/><Relationship Id="rId97" Type="http://schemas.openxmlformats.org/officeDocument/2006/relationships/image" Target="media/image86.jpeg"/><Relationship Id="rId96" Type="http://schemas.openxmlformats.org/officeDocument/2006/relationships/image" Target="media/image85.jpeg"/><Relationship Id="rId95" Type="http://schemas.openxmlformats.org/officeDocument/2006/relationships/image" Target="media/image84.jpeg"/><Relationship Id="rId94" Type="http://schemas.openxmlformats.org/officeDocument/2006/relationships/image" Target="media/image83.jpeg"/><Relationship Id="rId93" Type="http://schemas.openxmlformats.org/officeDocument/2006/relationships/image" Target="media/image82.jpeg"/><Relationship Id="rId92" Type="http://schemas.openxmlformats.org/officeDocument/2006/relationships/image" Target="media/image81.jpeg"/><Relationship Id="rId91" Type="http://schemas.openxmlformats.org/officeDocument/2006/relationships/image" Target="media/image80.jpeg"/><Relationship Id="rId90" Type="http://schemas.openxmlformats.org/officeDocument/2006/relationships/image" Target="media/image79.jpeg"/><Relationship Id="rId9" Type="http://schemas.openxmlformats.org/officeDocument/2006/relationships/footer" Target="footer2.xml"/><Relationship Id="rId89" Type="http://schemas.openxmlformats.org/officeDocument/2006/relationships/image" Target="media/image78.jpeg"/><Relationship Id="rId88" Type="http://schemas.openxmlformats.org/officeDocument/2006/relationships/image" Target="media/image77.jpeg"/><Relationship Id="rId87" Type="http://schemas.openxmlformats.org/officeDocument/2006/relationships/image" Target="media/image76.jpeg"/><Relationship Id="rId86" Type="http://schemas.openxmlformats.org/officeDocument/2006/relationships/image" Target="media/image75.jpeg"/><Relationship Id="rId85" Type="http://schemas.openxmlformats.org/officeDocument/2006/relationships/image" Target="media/image74.jpeg"/><Relationship Id="rId84" Type="http://schemas.openxmlformats.org/officeDocument/2006/relationships/image" Target="media/image73.jpeg"/><Relationship Id="rId83" Type="http://schemas.openxmlformats.org/officeDocument/2006/relationships/image" Target="media/image72.jpeg"/><Relationship Id="rId82" Type="http://schemas.openxmlformats.org/officeDocument/2006/relationships/image" Target="media/image71.jpeg"/><Relationship Id="rId81" Type="http://schemas.openxmlformats.org/officeDocument/2006/relationships/image" Target="media/image70.jpeg"/><Relationship Id="rId80" Type="http://schemas.openxmlformats.org/officeDocument/2006/relationships/image" Target="media/image69.jpeg"/><Relationship Id="rId8" Type="http://schemas.openxmlformats.org/officeDocument/2006/relationships/footer" Target="footer1.xml"/><Relationship Id="rId79" Type="http://schemas.openxmlformats.org/officeDocument/2006/relationships/image" Target="media/image68.jpeg"/><Relationship Id="rId78" Type="http://schemas.openxmlformats.org/officeDocument/2006/relationships/image" Target="media/image67.jpeg"/><Relationship Id="rId77" Type="http://schemas.openxmlformats.org/officeDocument/2006/relationships/image" Target="media/image66.jpeg"/><Relationship Id="rId76" Type="http://schemas.openxmlformats.org/officeDocument/2006/relationships/image" Target="media/image65.jpeg"/><Relationship Id="rId75" Type="http://schemas.openxmlformats.org/officeDocument/2006/relationships/image" Target="media/image64.jpeg"/><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header" Target="header3.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header" Target="header2.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header" Target="head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endnotes" Target="endnotes.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notes" Target="footnotes.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9" Type="http://schemas.openxmlformats.org/officeDocument/2006/relationships/fontTable" Target="fontTable.xml"/><Relationship Id="rId138" Type="http://schemas.openxmlformats.org/officeDocument/2006/relationships/image" Target="media/image127.jpeg"/><Relationship Id="rId137" Type="http://schemas.openxmlformats.org/officeDocument/2006/relationships/image" Target="media/image126.jpeg"/><Relationship Id="rId136" Type="http://schemas.openxmlformats.org/officeDocument/2006/relationships/image" Target="media/image125.jpeg"/><Relationship Id="rId135" Type="http://schemas.openxmlformats.org/officeDocument/2006/relationships/image" Target="media/image124.jpeg"/><Relationship Id="rId134" Type="http://schemas.openxmlformats.org/officeDocument/2006/relationships/image" Target="media/image123.jpeg"/><Relationship Id="rId133" Type="http://schemas.openxmlformats.org/officeDocument/2006/relationships/image" Target="media/image122.jpeg"/><Relationship Id="rId132" Type="http://schemas.openxmlformats.org/officeDocument/2006/relationships/image" Target="media/image121.jpeg"/><Relationship Id="rId131" Type="http://schemas.openxmlformats.org/officeDocument/2006/relationships/image" Target="media/image120.jpeg"/><Relationship Id="rId130" Type="http://schemas.openxmlformats.org/officeDocument/2006/relationships/image" Target="media/image119.jpeg"/><Relationship Id="rId13" Type="http://schemas.openxmlformats.org/officeDocument/2006/relationships/image" Target="media/image2.jpeg"/><Relationship Id="rId129" Type="http://schemas.openxmlformats.org/officeDocument/2006/relationships/image" Target="media/image118.jpeg"/><Relationship Id="rId128" Type="http://schemas.openxmlformats.org/officeDocument/2006/relationships/image" Target="media/image117.jpeg"/><Relationship Id="rId127" Type="http://schemas.openxmlformats.org/officeDocument/2006/relationships/image" Target="media/image116.jpeg"/><Relationship Id="rId126" Type="http://schemas.openxmlformats.org/officeDocument/2006/relationships/image" Target="media/image115.jpeg"/><Relationship Id="rId125" Type="http://schemas.openxmlformats.org/officeDocument/2006/relationships/image" Target="media/image114.jpeg"/><Relationship Id="rId124" Type="http://schemas.openxmlformats.org/officeDocument/2006/relationships/image" Target="media/image113.jpeg"/><Relationship Id="rId123" Type="http://schemas.openxmlformats.org/officeDocument/2006/relationships/image" Target="media/image112.jpeg"/><Relationship Id="rId122" Type="http://schemas.openxmlformats.org/officeDocument/2006/relationships/image" Target="media/image111.jpeg"/><Relationship Id="rId121" Type="http://schemas.openxmlformats.org/officeDocument/2006/relationships/image" Target="media/image110.jpeg"/><Relationship Id="rId120" Type="http://schemas.openxmlformats.org/officeDocument/2006/relationships/image" Target="media/image109.jpeg"/><Relationship Id="rId12" Type="http://schemas.openxmlformats.org/officeDocument/2006/relationships/image" Target="media/image1.jpeg"/><Relationship Id="rId119" Type="http://schemas.openxmlformats.org/officeDocument/2006/relationships/image" Target="media/image108.jpeg"/><Relationship Id="rId118" Type="http://schemas.openxmlformats.org/officeDocument/2006/relationships/image" Target="media/image107.jpeg"/><Relationship Id="rId117" Type="http://schemas.openxmlformats.org/officeDocument/2006/relationships/image" Target="media/image106.jpeg"/><Relationship Id="rId116" Type="http://schemas.openxmlformats.org/officeDocument/2006/relationships/image" Target="media/image105.jpeg"/><Relationship Id="rId115" Type="http://schemas.openxmlformats.org/officeDocument/2006/relationships/image" Target="media/image104.jpeg"/><Relationship Id="rId114" Type="http://schemas.openxmlformats.org/officeDocument/2006/relationships/image" Target="media/image103.jpeg"/><Relationship Id="rId113" Type="http://schemas.openxmlformats.org/officeDocument/2006/relationships/image" Target="media/image102.jpeg"/><Relationship Id="rId112" Type="http://schemas.openxmlformats.org/officeDocument/2006/relationships/image" Target="media/image101.jpeg"/><Relationship Id="rId111" Type="http://schemas.openxmlformats.org/officeDocument/2006/relationships/image" Target="media/image100.jpeg"/><Relationship Id="rId110" Type="http://schemas.openxmlformats.org/officeDocument/2006/relationships/image" Target="media/image99.jpeg"/><Relationship Id="rId11" Type="http://schemas.openxmlformats.org/officeDocument/2006/relationships/theme" Target="theme/theme1.xml"/><Relationship Id="rId109" Type="http://schemas.openxmlformats.org/officeDocument/2006/relationships/image" Target="media/image98.jpeg"/><Relationship Id="rId108" Type="http://schemas.openxmlformats.org/officeDocument/2006/relationships/image" Target="media/image97.jpeg"/><Relationship Id="rId107" Type="http://schemas.openxmlformats.org/officeDocument/2006/relationships/image" Target="media/image96.jpeg"/><Relationship Id="rId106" Type="http://schemas.openxmlformats.org/officeDocument/2006/relationships/image" Target="media/image95.jpeg"/><Relationship Id="rId105" Type="http://schemas.openxmlformats.org/officeDocument/2006/relationships/image" Target="media/image94.jpeg"/><Relationship Id="rId104" Type="http://schemas.openxmlformats.org/officeDocument/2006/relationships/image" Target="media/image93.jpeg"/><Relationship Id="rId103" Type="http://schemas.openxmlformats.org/officeDocument/2006/relationships/image" Target="media/image92.jpeg"/><Relationship Id="rId102" Type="http://schemas.openxmlformats.org/officeDocument/2006/relationships/image" Target="media/image91.jpeg"/><Relationship Id="rId101" Type="http://schemas.openxmlformats.org/officeDocument/2006/relationships/image" Target="media/image90.jpeg"/><Relationship Id="rId100" Type="http://schemas.openxmlformats.org/officeDocument/2006/relationships/image" Target="media/image89.jpe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550</Pages>
  <Words>2831</Words>
  <Characters>3006</Characters>
  <Lines>0</Lines>
  <Paragraphs>0</Paragraphs>
  <TotalTime>4</TotalTime>
  <ScaleCrop>false</ScaleCrop>
  <LinksUpToDate>false</LinksUpToDate>
  <CharactersWithSpaces>3289</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2020-12-10T09:03:00Z</dcterms:created>
  <dc:creator>administrator1</dc:creator>
  <cp:lastModifiedBy>叶子</cp:lastModifiedBy>
  <dcterms:modified xsi:type="dcterms:W3CDTF">2025-04-23T07:58:12Z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EA2589DD37A247E79F120FD344755FCC</vt:lpwstr>
  </property>
  <property fmtid="{D5CDD505-2E9C-101B-9397-08002B2CF9AE}" pid="4" name="KSOTemplateDocerSaveRecord">
    <vt:lpwstr>eyJoZGlkIjoiMDkwNjc2OWNjMmQ3ZDNiMmE4OTE5ZmNmMzZkZWE4ZDkiLCJ1c2VySWQiOiIzNzk0ODUwMTYifQ==</vt:lpwstr>
  </property>
</Properties>
</file>